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48DF4">
      <w:pPr>
        <w:pStyle w:val="4"/>
        <w:keepNext w:val="0"/>
        <w:keepLines w:val="0"/>
        <w:pageBreakBefore w:val="0"/>
        <w:kinsoku/>
        <w:wordWrap/>
        <w:overflowPunct/>
        <w:topLinePunct w:val="0"/>
        <w:bidi w:val="0"/>
        <w:spacing w:line="264" w:lineRule="auto"/>
      </w:pPr>
    </w:p>
    <w:p w14:paraId="574DD523">
      <w:pPr>
        <w:pStyle w:val="4"/>
        <w:keepNext w:val="0"/>
        <w:keepLines w:val="0"/>
        <w:pageBreakBefore w:val="0"/>
        <w:kinsoku/>
        <w:wordWrap/>
        <w:overflowPunct/>
        <w:topLinePunct w:val="0"/>
        <w:bidi w:val="0"/>
        <w:spacing w:line="265" w:lineRule="auto"/>
      </w:pPr>
    </w:p>
    <w:p w14:paraId="251B82AE">
      <w:pPr>
        <w:pStyle w:val="4"/>
        <w:keepNext w:val="0"/>
        <w:keepLines w:val="0"/>
        <w:pageBreakBefore w:val="0"/>
        <w:kinsoku/>
        <w:wordWrap/>
        <w:overflowPunct/>
        <w:topLinePunct w:val="0"/>
        <w:bidi w:val="0"/>
        <w:spacing w:line="265" w:lineRule="auto"/>
      </w:pPr>
    </w:p>
    <w:p w14:paraId="2D7A2084">
      <w:pPr>
        <w:pStyle w:val="4"/>
        <w:keepNext w:val="0"/>
        <w:keepLines w:val="0"/>
        <w:pageBreakBefore w:val="0"/>
        <w:kinsoku/>
        <w:wordWrap/>
        <w:overflowPunct/>
        <w:topLinePunct w:val="0"/>
        <w:bidi w:val="0"/>
        <w:spacing w:line="265" w:lineRule="auto"/>
      </w:pPr>
    </w:p>
    <w:p w14:paraId="77725A81">
      <w:pPr>
        <w:keepNext w:val="0"/>
        <w:keepLines w:val="0"/>
        <w:pageBreakBefore w:val="0"/>
        <w:kinsoku/>
        <w:wordWrap/>
        <w:overflowPunct/>
        <w:topLinePunct w:val="0"/>
        <w:bidi w:val="0"/>
        <w:spacing w:before="114" w:line="226" w:lineRule="auto"/>
        <w:ind w:left="40"/>
        <w:rPr>
          <w:rFonts w:hint="eastAsia" w:ascii="黑体" w:hAnsi="黑体" w:eastAsia="黑体" w:cs="黑体"/>
          <w:sz w:val="35"/>
          <w:szCs w:val="35"/>
          <w:lang w:eastAsia="zh-CN"/>
        </w:rPr>
      </w:pPr>
      <w:r>
        <w:rPr>
          <w:rFonts w:hint="eastAsia" w:ascii="黑体" w:hAnsi="黑体" w:eastAsia="黑体" w:cs="黑体"/>
          <w:spacing w:val="9"/>
          <w:sz w:val="35"/>
          <w:szCs w:val="35"/>
          <w:lang w:eastAsia="zh-CN"/>
        </w:rPr>
        <w:t>河南省商务中等职业学校学生综合素养提升项目</w:t>
      </w:r>
    </w:p>
    <w:p w14:paraId="38681C8A">
      <w:pPr>
        <w:pStyle w:val="4"/>
        <w:keepNext w:val="0"/>
        <w:keepLines w:val="0"/>
        <w:pageBreakBefore w:val="0"/>
        <w:kinsoku/>
        <w:wordWrap/>
        <w:overflowPunct/>
        <w:topLinePunct w:val="0"/>
        <w:bidi w:val="0"/>
        <w:spacing w:line="263" w:lineRule="auto"/>
      </w:pPr>
    </w:p>
    <w:p w14:paraId="407153F2">
      <w:pPr>
        <w:pStyle w:val="4"/>
        <w:keepNext w:val="0"/>
        <w:keepLines w:val="0"/>
        <w:pageBreakBefore w:val="0"/>
        <w:kinsoku/>
        <w:wordWrap/>
        <w:overflowPunct/>
        <w:topLinePunct w:val="0"/>
        <w:bidi w:val="0"/>
        <w:spacing w:line="264" w:lineRule="auto"/>
      </w:pPr>
    </w:p>
    <w:p w14:paraId="6DC9B14C">
      <w:pPr>
        <w:pStyle w:val="4"/>
        <w:keepNext w:val="0"/>
        <w:keepLines w:val="0"/>
        <w:pageBreakBefore w:val="0"/>
        <w:kinsoku/>
        <w:wordWrap/>
        <w:overflowPunct/>
        <w:topLinePunct w:val="0"/>
        <w:bidi w:val="0"/>
        <w:spacing w:line="264" w:lineRule="auto"/>
      </w:pPr>
    </w:p>
    <w:p w14:paraId="1AC7C705">
      <w:pPr>
        <w:pStyle w:val="4"/>
        <w:keepNext w:val="0"/>
        <w:keepLines w:val="0"/>
        <w:pageBreakBefore w:val="0"/>
        <w:kinsoku/>
        <w:wordWrap/>
        <w:overflowPunct/>
        <w:topLinePunct w:val="0"/>
        <w:bidi w:val="0"/>
        <w:spacing w:line="264" w:lineRule="auto"/>
      </w:pPr>
    </w:p>
    <w:p w14:paraId="35E0A219">
      <w:pPr>
        <w:pStyle w:val="4"/>
        <w:keepNext w:val="0"/>
        <w:keepLines w:val="0"/>
        <w:pageBreakBefore w:val="0"/>
        <w:kinsoku/>
        <w:wordWrap/>
        <w:overflowPunct/>
        <w:topLinePunct w:val="0"/>
        <w:bidi w:val="0"/>
        <w:spacing w:line="264" w:lineRule="auto"/>
      </w:pPr>
    </w:p>
    <w:p w14:paraId="5F8798FD">
      <w:pPr>
        <w:pStyle w:val="4"/>
        <w:keepNext w:val="0"/>
        <w:keepLines w:val="0"/>
        <w:pageBreakBefore w:val="0"/>
        <w:kinsoku/>
        <w:wordWrap/>
        <w:overflowPunct/>
        <w:topLinePunct w:val="0"/>
        <w:bidi w:val="0"/>
        <w:spacing w:line="264" w:lineRule="auto"/>
      </w:pPr>
    </w:p>
    <w:p w14:paraId="12B2111B">
      <w:pPr>
        <w:keepNext w:val="0"/>
        <w:keepLines w:val="0"/>
        <w:pageBreakBefore w:val="0"/>
        <w:kinsoku/>
        <w:wordWrap/>
        <w:overflowPunct/>
        <w:topLinePunct w:val="0"/>
        <w:bidi w:val="0"/>
        <w:spacing w:before="230" w:line="224" w:lineRule="auto"/>
        <w:ind w:left="2211"/>
        <w:rPr>
          <w:rFonts w:ascii="黑体" w:hAnsi="黑体" w:eastAsia="黑体" w:cs="黑体"/>
          <w:sz w:val="71"/>
          <w:szCs w:val="71"/>
        </w:rPr>
      </w:pPr>
      <w:r>
        <w:rPr>
          <w:rFonts w:ascii="黑体" w:hAnsi="黑体" w:eastAsia="黑体" w:cs="黑体"/>
          <w:spacing w:val="-6"/>
          <w:sz w:val="71"/>
          <w:szCs w:val="71"/>
        </w:rPr>
        <w:t>招 标</w:t>
      </w:r>
      <w:r>
        <w:rPr>
          <w:rFonts w:ascii="黑体" w:hAnsi="黑体" w:eastAsia="黑体" w:cs="黑体"/>
          <w:spacing w:val="43"/>
          <w:sz w:val="71"/>
          <w:szCs w:val="71"/>
        </w:rPr>
        <w:t xml:space="preserve"> </w:t>
      </w:r>
      <w:r>
        <w:rPr>
          <w:rFonts w:ascii="黑体" w:hAnsi="黑体" w:eastAsia="黑体" w:cs="黑体"/>
          <w:spacing w:val="-6"/>
          <w:sz w:val="71"/>
          <w:szCs w:val="71"/>
        </w:rPr>
        <w:t>文</w:t>
      </w:r>
      <w:r>
        <w:rPr>
          <w:rFonts w:ascii="黑体" w:hAnsi="黑体" w:eastAsia="黑体" w:cs="黑体"/>
          <w:spacing w:val="28"/>
          <w:sz w:val="71"/>
          <w:szCs w:val="71"/>
        </w:rPr>
        <w:t xml:space="preserve"> </w:t>
      </w:r>
      <w:r>
        <w:rPr>
          <w:rFonts w:ascii="黑体" w:hAnsi="黑体" w:eastAsia="黑体" w:cs="黑体"/>
          <w:spacing w:val="-6"/>
          <w:sz w:val="71"/>
          <w:szCs w:val="71"/>
        </w:rPr>
        <w:t>件</w:t>
      </w:r>
    </w:p>
    <w:p w14:paraId="502902A7">
      <w:pPr>
        <w:pStyle w:val="4"/>
        <w:keepNext w:val="0"/>
        <w:keepLines w:val="0"/>
        <w:pageBreakBefore w:val="0"/>
        <w:kinsoku/>
        <w:wordWrap/>
        <w:overflowPunct/>
        <w:topLinePunct w:val="0"/>
        <w:bidi w:val="0"/>
        <w:spacing w:line="243" w:lineRule="auto"/>
      </w:pPr>
    </w:p>
    <w:p w14:paraId="1F25BD73">
      <w:pPr>
        <w:pStyle w:val="4"/>
        <w:keepNext w:val="0"/>
        <w:keepLines w:val="0"/>
        <w:pageBreakBefore w:val="0"/>
        <w:kinsoku/>
        <w:wordWrap/>
        <w:overflowPunct/>
        <w:topLinePunct w:val="0"/>
        <w:bidi w:val="0"/>
        <w:spacing w:line="244" w:lineRule="auto"/>
      </w:pPr>
    </w:p>
    <w:p w14:paraId="3D2E0277">
      <w:pPr>
        <w:keepNext w:val="0"/>
        <w:keepLines w:val="0"/>
        <w:pageBreakBefore w:val="0"/>
        <w:kinsoku/>
        <w:wordWrap/>
        <w:overflowPunct/>
        <w:topLinePunct w:val="0"/>
        <w:bidi w:val="0"/>
        <w:spacing w:before="101" w:line="226" w:lineRule="auto"/>
        <w:ind w:left="1687"/>
        <w:rPr>
          <w:rFonts w:hint="eastAsia" w:ascii="黑体" w:hAnsi="黑体" w:eastAsia="黑体" w:cs="黑体"/>
          <w:sz w:val="31"/>
          <w:szCs w:val="31"/>
          <w:lang w:eastAsia="zh-CN"/>
        </w:rPr>
      </w:pPr>
      <w:r>
        <w:rPr>
          <w:rFonts w:ascii="黑体" w:hAnsi="黑体" w:eastAsia="黑体" w:cs="黑体"/>
          <w:spacing w:val="7"/>
          <w:sz w:val="31"/>
          <w:szCs w:val="31"/>
        </w:rPr>
        <w:t>项目编号：</w:t>
      </w:r>
      <w:r>
        <w:rPr>
          <w:rFonts w:hint="eastAsia" w:ascii="黑体" w:hAnsi="黑体" w:eastAsia="黑体" w:cs="黑体"/>
          <w:spacing w:val="7"/>
          <w:sz w:val="31"/>
          <w:szCs w:val="31"/>
          <w:lang w:eastAsia="zh-CN"/>
        </w:rPr>
        <w:t>豫财招标采购-2026-317</w:t>
      </w:r>
    </w:p>
    <w:p w14:paraId="09D1E450">
      <w:pPr>
        <w:pStyle w:val="4"/>
        <w:keepNext w:val="0"/>
        <w:keepLines w:val="0"/>
        <w:pageBreakBefore w:val="0"/>
        <w:kinsoku/>
        <w:wordWrap/>
        <w:overflowPunct/>
        <w:topLinePunct w:val="0"/>
        <w:bidi w:val="0"/>
        <w:spacing w:line="316" w:lineRule="auto"/>
      </w:pPr>
    </w:p>
    <w:p w14:paraId="4A2D1E04">
      <w:pPr>
        <w:keepNext w:val="0"/>
        <w:keepLines w:val="0"/>
        <w:pageBreakBefore w:val="0"/>
        <w:kinsoku/>
        <w:wordWrap/>
        <w:overflowPunct/>
        <w:topLinePunct w:val="0"/>
        <w:bidi w:val="0"/>
        <w:spacing w:line="4334" w:lineRule="exact"/>
      </w:pPr>
    </w:p>
    <w:p w14:paraId="30B21AD3">
      <w:pPr>
        <w:pStyle w:val="4"/>
        <w:keepNext w:val="0"/>
        <w:keepLines w:val="0"/>
        <w:pageBreakBefore w:val="0"/>
        <w:kinsoku/>
        <w:wordWrap/>
        <w:overflowPunct/>
        <w:topLinePunct w:val="0"/>
        <w:bidi w:val="0"/>
      </w:pPr>
    </w:p>
    <w:p w14:paraId="3E23D043">
      <w:pPr>
        <w:pStyle w:val="4"/>
        <w:keepNext w:val="0"/>
        <w:keepLines w:val="0"/>
        <w:pageBreakBefore w:val="0"/>
        <w:kinsoku/>
        <w:wordWrap/>
        <w:overflowPunct/>
        <w:topLinePunct w:val="0"/>
        <w:bidi w:val="0"/>
      </w:pPr>
    </w:p>
    <w:p w14:paraId="5E85D563">
      <w:pPr>
        <w:pStyle w:val="4"/>
        <w:keepNext w:val="0"/>
        <w:keepLines w:val="0"/>
        <w:pageBreakBefore w:val="0"/>
        <w:kinsoku/>
        <w:wordWrap/>
        <w:overflowPunct/>
        <w:topLinePunct w:val="0"/>
        <w:bidi w:val="0"/>
      </w:pPr>
    </w:p>
    <w:p w14:paraId="50E4A7BC">
      <w:pPr>
        <w:pStyle w:val="4"/>
        <w:keepNext w:val="0"/>
        <w:keepLines w:val="0"/>
        <w:pageBreakBefore w:val="0"/>
        <w:kinsoku/>
        <w:wordWrap/>
        <w:overflowPunct/>
        <w:topLinePunct w:val="0"/>
        <w:bidi w:val="0"/>
      </w:pPr>
    </w:p>
    <w:p w14:paraId="6CDB1321">
      <w:pPr>
        <w:pStyle w:val="4"/>
        <w:keepNext w:val="0"/>
        <w:keepLines w:val="0"/>
        <w:pageBreakBefore w:val="0"/>
        <w:kinsoku/>
        <w:wordWrap/>
        <w:overflowPunct/>
        <w:topLinePunct w:val="0"/>
        <w:bidi w:val="0"/>
      </w:pPr>
    </w:p>
    <w:p w14:paraId="5BCF1CAF">
      <w:pPr>
        <w:keepNext w:val="0"/>
        <w:keepLines w:val="0"/>
        <w:pageBreakBefore w:val="0"/>
        <w:kinsoku/>
        <w:wordWrap/>
        <w:overflowPunct/>
        <w:topLinePunct w:val="0"/>
        <w:bidi w:val="0"/>
        <w:spacing w:before="101" w:line="226" w:lineRule="auto"/>
        <w:ind w:left="554"/>
        <w:rPr>
          <w:rFonts w:hint="eastAsia" w:ascii="黑体" w:hAnsi="黑体" w:eastAsia="黑体" w:cs="黑体"/>
          <w:sz w:val="31"/>
          <w:szCs w:val="31"/>
          <w:lang w:eastAsia="zh-CN"/>
        </w:rPr>
      </w:pPr>
      <w:r>
        <w:rPr>
          <w:rFonts w:ascii="黑体" w:hAnsi="黑体" w:eastAsia="黑体" w:cs="黑体"/>
          <w:spacing w:val="8"/>
          <w:sz w:val="31"/>
          <w:szCs w:val="31"/>
        </w:rPr>
        <w:t>采   购   人：</w:t>
      </w:r>
      <w:r>
        <w:rPr>
          <w:rFonts w:hint="eastAsia" w:ascii="黑体" w:hAnsi="黑体" w:eastAsia="黑体" w:cs="黑体"/>
          <w:spacing w:val="8"/>
          <w:sz w:val="31"/>
          <w:szCs w:val="31"/>
          <w:lang w:eastAsia="zh-CN"/>
        </w:rPr>
        <w:t>河南省商务中等职业学校</w:t>
      </w:r>
    </w:p>
    <w:p w14:paraId="7B788603">
      <w:pPr>
        <w:keepNext w:val="0"/>
        <w:keepLines w:val="0"/>
        <w:pageBreakBefore w:val="0"/>
        <w:kinsoku/>
        <w:wordWrap/>
        <w:overflowPunct/>
        <w:topLinePunct w:val="0"/>
        <w:bidi w:val="0"/>
        <w:spacing w:before="242" w:line="227" w:lineRule="auto"/>
        <w:ind w:left="554"/>
        <w:rPr>
          <w:rFonts w:hint="eastAsia" w:ascii="黑体" w:hAnsi="黑体" w:eastAsia="黑体" w:cs="黑体"/>
          <w:sz w:val="31"/>
          <w:szCs w:val="31"/>
          <w:lang w:eastAsia="zh-CN"/>
        </w:rPr>
      </w:pPr>
      <w:r>
        <w:rPr>
          <w:rFonts w:ascii="黑体" w:hAnsi="黑体" w:eastAsia="黑体" w:cs="黑体"/>
          <w:spacing w:val="9"/>
          <w:sz w:val="31"/>
          <w:szCs w:val="31"/>
        </w:rPr>
        <w:t>采购代理机构：</w:t>
      </w:r>
      <w:r>
        <w:rPr>
          <w:rFonts w:hint="eastAsia" w:ascii="黑体" w:hAnsi="黑体" w:eastAsia="黑体" w:cs="黑体"/>
          <w:spacing w:val="9"/>
          <w:sz w:val="31"/>
          <w:szCs w:val="31"/>
          <w:lang w:eastAsia="zh-CN"/>
        </w:rPr>
        <w:t>中诚景信工程咨询有限公司</w:t>
      </w:r>
    </w:p>
    <w:p w14:paraId="3D2E8285">
      <w:pPr>
        <w:keepNext w:val="0"/>
        <w:keepLines w:val="0"/>
        <w:pageBreakBefore w:val="0"/>
        <w:kinsoku/>
        <w:wordWrap/>
        <w:overflowPunct/>
        <w:topLinePunct w:val="0"/>
        <w:bidi w:val="0"/>
        <w:spacing w:before="241" w:line="228" w:lineRule="auto"/>
        <w:ind w:left="606"/>
        <w:rPr>
          <w:rFonts w:ascii="黑体" w:hAnsi="黑体" w:eastAsia="黑体" w:cs="黑体"/>
          <w:sz w:val="31"/>
          <w:szCs w:val="31"/>
        </w:rPr>
      </w:pPr>
      <w:r>
        <w:rPr>
          <w:rFonts w:ascii="黑体" w:hAnsi="黑体" w:eastAsia="黑体" w:cs="黑体"/>
          <w:spacing w:val="2"/>
          <w:sz w:val="31"/>
          <w:szCs w:val="31"/>
        </w:rPr>
        <w:t>日</w:t>
      </w:r>
      <w:r>
        <w:rPr>
          <w:rFonts w:ascii="黑体" w:hAnsi="黑体" w:eastAsia="黑体" w:cs="黑体"/>
          <w:spacing w:val="6"/>
          <w:sz w:val="31"/>
          <w:szCs w:val="31"/>
        </w:rPr>
        <w:t xml:space="preserve">        </w:t>
      </w:r>
      <w:r>
        <w:rPr>
          <w:rFonts w:ascii="黑体" w:hAnsi="黑体" w:eastAsia="黑体" w:cs="黑体"/>
          <w:spacing w:val="2"/>
          <w:sz w:val="31"/>
          <w:szCs w:val="31"/>
        </w:rPr>
        <w:t>期：二〇二六年</w:t>
      </w:r>
      <w:r>
        <w:rPr>
          <w:rFonts w:hint="eastAsia" w:ascii="黑体" w:hAnsi="黑体" w:eastAsia="黑体" w:cs="黑体"/>
          <w:spacing w:val="2"/>
          <w:sz w:val="31"/>
          <w:szCs w:val="31"/>
          <w:lang w:eastAsia="zh-CN"/>
        </w:rPr>
        <w:t>四</w:t>
      </w:r>
      <w:r>
        <w:rPr>
          <w:rFonts w:ascii="黑体" w:hAnsi="黑体" w:eastAsia="黑体" w:cs="黑体"/>
          <w:spacing w:val="2"/>
          <w:sz w:val="31"/>
          <w:szCs w:val="31"/>
        </w:rPr>
        <w:t>月</w:t>
      </w:r>
    </w:p>
    <w:p w14:paraId="0FBA0EDC">
      <w:pPr>
        <w:keepNext w:val="0"/>
        <w:keepLines w:val="0"/>
        <w:pageBreakBefore w:val="0"/>
        <w:kinsoku/>
        <w:wordWrap/>
        <w:overflowPunct/>
        <w:topLinePunct w:val="0"/>
        <w:bidi w:val="0"/>
        <w:spacing w:before="201" w:line="227" w:lineRule="auto"/>
        <w:ind w:left="4164"/>
        <w:outlineLvl w:val="0"/>
        <w:rPr>
          <w:rFonts w:ascii="宋体" w:hAnsi="宋体" w:eastAsia="宋体" w:cs="宋体"/>
          <w:sz w:val="31"/>
          <w:szCs w:val="31"/>
        </w:rPr>
      </w:pPr>
      <w:bookmarkStart w:id="0" w:name="_Toc19763"/>
      <w:bookmarkStart w:id="1" w:name="_Toc5822"/>
      <w:r>
        <w:rPr>
          <w:rFonts w:ascii="宋体" w:hAnsi="宋体" w:eastAsia="宋体" w:cs="宋体"/>
          <w:b/>
          <w:bCs/>
          <w:spacing w:val="-36"/>
          <w:sz w:val="31"/>
          <w:szCs w:val="31"/>
        </w:rPr>
        <w:br w:type="page"/>
      </w:r>
      <w:r>
        <w:rPr>
          <w:rFonts w:ascii="宋体" w:hAnsi="宋体" w:eastAsia="宋体" w:cs="宋体"/>
          <w:b/>
          <w:bCs/>
          <w:spacing w:val="-36"/>
          <w:sz w:val="31"/>
          <w:szCs w:val="31"/>
        </w:rPr>
        <w:t>目</w:t>
      </w:r>
      <w:r>
        <w:rPr>
          <w:rFonts w:ascii="宋体" w:hAnsi="宋体" w:eastAsia="宋体" w:cs="宋体"/>
          <w:spacing w:val="12"/>
          <w:sz w:val="31"/>
          <w:szCs w:val="31"/>
        </w:rPr>
        <w:t xml:space="preserve">  </w:t>
      </w:r>
      <w:r>
        <w:rPr>
          <w:rFonts w:ascii="宋体" w:hAnsi="宋体" w:eastAsia="宋体" w:cs="宋体"/>
          <w:b/>
          <w:bCs/>
          <w:spacing w:val="-36"/>
          <w:sz w:val="31"/>
          <w:szCs w:val="31"/>
        </w:rPr>
        <w:t>录</w:t>
      </w:r>
      <w:bookmarkEnd w:id="0"/>
      <w:bookmarkEnd w:id="1"/>
    </w:p>
    <w:sdt>
      <w:sdtPr>
        <w:rPr>
          <w:rFonts w:ascii="宋体" w:hAnsi="宋体" w:eastAsia="宋体" w:cs="Arial"/>
          <w:snapToGrid w:val="0"/>
          <w:color w:val="000000"/>
          <w:kern w:val="0"/>
          <w:sz w:val="21"/>
          <w:szCs w:val="21"/>
          <w:lang w:val="en-US" w:eastAsia="en-US" w:bidi="ar-SA"/>
        </w:rPr>
        <w:id w:val="147479004"/>
        <w15:color w:val="DBDBDB"/>
        <w:docPartObj>
          <w:docPartGallery w:val="Table of Contents"/>
          <w:docPartUnique/>
        </w:docPartObj>
      </w:sdtPr>
      <w:sdtEndPr>
        <w:rPr>
          <w:rFonts w:ascii="Times New Roman" w:hAnsi="Times New Roman" w:eastAsia="Times New Roman" w:cs="Times New Roman"/>
          <w:snapToGrid w:val="0"/>
          <w:color w:val="000000"/>
          <w:kern w:val="0"/>
          <w:sz w:val="21"/>
          <w:szCs w:val="20"/>
          <w:lang w:val="en-US" w:eastAsia="en-US" w:bidi="ar-SA"/>
        </w:rPr>
      </w:sdtEndPr>
      <w:sdtContent>
        <w:p w14:paraId="1DEEA6C8">
          <w:pPr>
            <w:keepNext w:val="0"/>
            <w:keepLines w:val="0"/>
            <w:pageBreakBefore w:val="0"/>
            <w:kinsoku/>
            <w:wordWrap/>
            <w:overflowPunct/>
            <w:topLinePunct w:val="0"/>
            <w:bidi w:val="0"/>
            <w:spacing w:line="227" w:lineRule="auto"/>
            <w:rPr>
              <w:rFonts w:ascii="Times New Roman" w:hAnsi="Times New Roman" w:eastAsia="Times New Roman" w:cs="Times New Roman"/>
              <w:snapToGrid w:val="0"/>
              <w:color w:val="000000"/>
              <w:kern w:val="0"/>
              <w:sz w:val="21"/>
              <w:szCs w:val="20"/>
              <w:lang w:val="en-US" w:eastAsia="en-US" w:bidi="ar-SA"/>
            </w:rPr>
          </w:pP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TOC \o "1-3" \h \u </w:instrText>
          </w:r>
          <w:r>
            <w:rPr>
              <w:rFonts w:ascii="Times New Roman" w:hAnsi="Times New Roman" w:eastAsia="Times New Roman" w:cs="Times New Roman"/>
              <w:sz w:val="20"/>
              <w:szCs w:val="20"/>
            </w:rPr>
            <w:fldChar w:fldCharType="separate"/>
          </w:r>
        </w:p>
        <w:p w14:paraId="3FFBC748">
          <w:pPr>
            <w:pStyle w:val="12"/>
            <w:keepNext w:val="0"/>
            <w:keepLines w:val="0"/>
            <w:pageBreakBefore w:val="0"/>
            <w:widowControl/>
            <w:tabs>
              <w:tab w:val="right" w:leader="dot" w:pos="9175"/>
            </w:tabs>
            <w:kinsoku w:val="0"/>
            <w:wordWrap/>
            <w:overflowPunct/>
            <w:topLinePunct w:val="0"/>
            <w:autoSpaceDE w:val="0"/>
            <w:autoSpaceDN w:val="0"/>
            <w:bidi w:val="0"/>
            <w:adjustRightInd w:val="0"/>
            <w:snapToGrid w:val="0"/>
            <w:spacing w:line="480" w:lineRule="auto"/>
            <w:textAlignment w:val="baseline"/>
            <w:rPr>
              <w:b/>
              <w:bCs/>
            </w:rPr>
          </w:pPr>
          <w:r>
            <w:rPr>
              <w:rFonts w:ascii="Times New Roman" w:hAnsi="Times New Roman" w:eastAsia="Times New Roman" w:cs="Times New Roman"/>
              <w:b/>
              <w:bCs/>
              <w:szCs w:val="20"/>
            </w:rPr>
            <w:fldChar w:fldCharType="begin"/>
          </w:r>
          <w:r>
            <w:rPr>
              <w:rFonts w:ascii="Times New Roman" w:hAnsi="Times New Roman" w:eastAsia="Times New Roman" w:cs="Times New Roman"/>
              <w:b/>
              <w:bCs/>
              <w:szCs w:val="20"/>
            </w:rPr>
            <w:instrText xml:space="preserve"> HYPERLINK \l _Toc19763 </w:instrText>
          </w:r>
          <w:r>
            <w:rPr>
              <w:rFonts w:ascii="Times New Roman" w:hAnsi="Times New Roman" w:eastAsia="Times New Roman" w:cs="Times New Roman"/>
              <w:b/>
              <w:bCs/>
              <w:szCs w:val="20"/>
            </w:rPr>
            <w:fldChar w:fldCharType="separate"/>
          </w:r>
          <w:r>
            <w:rPr>
              <w:rFonts w:ascii="宋体" w:hAnsi="宋体" w:eastAsia="宋体" w:cs="宋体"/>
              <w:b/>
              <w:bCs/>
              <w:spacing w:val="-36"/>
              <w:szCs w:val="31"/>
            </w:rPr>
            <w:t>目</w:t>
          </w:r>
          <w:r>
            <w:rPr>
              <w:rFonts w:ascii="宋体" w:hAnsi="宋体" w:eastAsia="宋体" w:cs="宋体"/>
              <w:b/>
              <w:bCs/>
              <w:spacing w:val="12"/>
              <w:szCs w:val="31"/>
            </w:rPr>
            <w:t xml:space="preserve">  </w:t>
          </w:r>
          <w:r>
            <w:rPr>
              <w:rFonts w:ascii="宋体" w:hAnsi="宋体" w:eastAsia="宋体" w:cs="宋体"/>
              <w:b/>
              <w:bCs/>
              <w:spacing w:val="-36"/>
              <w:szCs w:val="31"/>
            </w:rPr>
            <w:t>录</w:t>
          </w:r>
          <w:r>
            <w:rPr>
              <w:b/>
              <w:bCs/>
            </w:rPr>
            <w:tab/>
          </w:r>
          <w:r>
            <w:rPr>
              <w:b/>
              <w:bCs/>
            </w:rPr>
            <w:fldChar w:fldCharType="begin"/>
          </w:r>
          <w:r>
            <w:rPr>
              <w:b/>
              <w:bCs/>
            </w:rPr>
            <w:instrText xml:space="preserve"> PAGEREF _Toc19763 \h </w:instrText>
          </w:r>
          <w:r>
            <w:rPr>
              <w:b/>
              <w:bCs/>
            </w:rPr>
            <w:fldChar w:fldCharType="separate"/>
          </w:r>
          <w:r>
            <w:rPr>
              <w:b/>
              <w:bCs/>
            </w:rPr>
            <w:t>2</w:t>
          </w:r>
          <w:r>
            <w:rPr>
              <w:b/>
              <w:bCs/>
            </w:rPr>
            <w:fldChar w:fldCharType="end"/>
          </w:r>
          <w:r>
            <w:rPr>
              <w:rFonts w:ascii="Times New Roman" w:hAnsi="Times New Roman" w:eastAsia="Times New Roman" w:cs="Times New Roman"/>
              <w:b/>
              <w:bCs/>
              <w:szCs w:val="20"/>
            </w:rPr>
            <w:fldChar w:fldCharType="end"/>
          </w:r>
        </w:p>
        <w:p w14:paraId="4A831C28">
          <w:pPr>
            <w:pStyle w:val="12"/>
            <w:keepNext w:val="0"/>
            <w:keepLines w:val="0"/>
            <w:pageBreakBefore w:val="0"/>
            <w:widowControl/>
            <w:tabs>
              <w:tab w:val="right" w:leader="dot" w:pos="9175"/>
            </w:tabs>
            <w:kinsoku w:val="0"/>
            <w:wordWrap/>
            <w:overflowPunct/>
            <w:topLinePunct w:val="0"/>
            <w:autoSpaceDE w:val="0"/>
            <w:autoSpaceDN w:val="0"/>
            <w:bidi w:val="0"/>
            <w:adjustRightInd w:val="0"/>
            <w:snapToGrid w:val="0"/>
            <w:spacing w:line="480" w:lineRule="auto"/>
            <w:textAlignment w:val="baseline"/>
            <w:rPr>
              <w:b/>
              <w:bCs/>
            </w:rPr>
          </w:pPr>
          <w:r>
            <w:rPr>
              <w:rFonts w:ascii="Times New Roman" w:hAnsi="Times New Roman" w:eastAsia="Times New Roman" w:cs="Times New Roman"/>
              <w:b/>
              <w:bCs/>
              <w:szCs w:val="20"/>
            </w:rPr>
            <w:fldChar w:fldCharType="begin"/>
          </w:r>
          <w:r>
            <w:rPr>
              <w:rFonts w:ascii="Times New Roman" w:hAnsi="Times New Roman" w:eastAsia="Times New Roman" w:cs="Times New Roman"/>
              <w:b/>
              <w:bCs/>
              <w:szCs w:val="20"/>
            </w:rPr>
            <w:instrText xml:space="preserve"> HYPERLINK \l _Toc28310 </w:instrText>
          </w:r>
          <w:r>
            <w:rPr>
              <w:rFonts w:ascii="Times New Roman" w:hAnsi="Times New Roman" w:eastAsia="Times New Roman" w:cs="Times New Roman"/>
              <w:b/>
              <w:bCs/>
              <w:szCs w:val="20"/>
            </w:rPr>
            <w:fldChar w:fldCharType="separate"/>
          </w:r>
          <w:r>
            <w:rPr>
              <w:rFonts w:ascii="宋体" w:hAnsi="宋体" w:eastAsia="宋体" w:cs="宋体"/>
              <w:b/>
              <w:bCs/>
              <w:spacing w:val="6"/>
              <w:szCs w:val="31"/>
            </w:rPr>
            <w:t>特别提示</w:t>
          </w:r>
          <w:r>
            <w:rPr>
              <w:b/>
              <w:bCs/>
            </w:rPr>
            <w:tab/>
          </w:r>
          <w:r>
            <w:rPr>
              <w:b/>
              <w:bCs/>
            </w:rPr>
            <w:fldChar w:fldCharType="begin"/>
          </w:r>
          <w:r>
            <w:rPr>
              <w:b/>
              <w:bCs/>
            </w:rPr>
            <w:instrText xml:space="preserve"> PAGEREF _Toc28310 \h </w:instrText>
          </w:r>
          <w:r>
            <w:rPr>
              <w:b/>
              <w:bCs/>
            </w:rPr>
            <w:fldChar w:fldCharType="separate"/>
          </w:r>
          <w:r>
            <w:rPr>
              <w:b/>
              <w:bCs/>
            </w:rPr>
            <w:t>4</w:t>
          </w:r>
          <w:r>
            <w:rPr>
              <w:b/>
              <w:bCs/>
            </w:rPr>
            <w:fldChar w:fldCharType="end"/>
          </w:r>
          <w:r>
            <w:rPr>
              <w:rFonts w:ascii="Times New Roman" w:hAnsi="Times New Roman" w:eastAsia="Times New Roman" w:cs="Times New Roman"/>
              <w:b/>
              <w:bCs/>
              <w:szCs w:val="20"/>
            </w:rPr>
            <w:fldChar w:fldCharType="end"/>
          </w:r>
        </w:p>
        <w:p w14:paraId="497CD947">
          <w:pPr>
            <w:pStyle w:val="12"/>
            <w:keepNext w:val="0"/>
            <w:keepLines w:val="0"/>
            <w:pageBreakBefore w:val="0"/>
            <w:widowControl/>
            <w:tabs>
              <w:tab w:val="right" w:leader="dot" w:pos="9175"/>
            </w:tabs>
            <w:kinsoku w:val="0"/>
            <w:wordWrap/>
            <w:overflowPunct/>
            <w:topLinePunct w:val="0"/>
            <w:autoSpaceDE w:val="0"/>
            <w:autoSpaceDN w:val="0"/>
            <w:bidi w:val="0"/>
            <w:adjustRightInd w:val="0"/>
            <w:snapToGrid w:val="0"/>
            <w:spacing w:line="480" w:lineRule="auto"/>
            <w:textAlignment w:val="baseline"/>
            <w:rPr>
              <w:b/>
              <w:bCs/>
            </w:rPr>
          </w:pPr>
          <w:r>
            <w:rPr>
              <w:rFonts w:ascii="Times New Roman" w:hAnsi="Times New Roman" w:eastAsia="Times New Roman" w:cs="Times New Roman"/>
              <w:b/>
              <w:bCs/>
              <w:szCs w:val="20"/>
            </w:rPr>
            <w:fldChar w:fldCharType="begin"/>
          </w:r>
          <w:r>
            <w:rPr>
              <w:rFonts w:ascii="Times New Roman" w:hAnsi="Times New Roman" w:eastAsia="Times New Roman" w:cs="Times New Roman"/>
              <w:b/>
              <w:bCs/>
              <w:szCs w:val="20"/>
            </w:rPr>
            <w:instrText xml:space="preserve"> HYPERLINK \l _Toc4838 </w:instrText>
          </w:r>
          <w:r>
            <w:rPr>
              <w:rFonts w:ascii="Times New Roman" w:hAnsi="Times New Roman" w:eastAsia="Times New Roman" w:cs="Times New Roman"/>
              <w:b/>
              <w:bCs/>
              <w:szCs w:val="20"/>
            </w:rPr>
            <w:fldChar w:fldCharType="separate"/>
          </w:r>
          <w:r>
            <w:rPr>
              <w:rFonts w:ascii="宋体" w:hAnsi="宋体" w:eastAsia="宋体" w:cs="宋体"/>
              <w:b/>
              <w:bCs/>
              <w:spacing w:val="7"/>
              <w:szCs w:val="31"/>
            </w:rPr>
            <w:t>第一章 招标公告</w:t>
          </w:r>
          <w:r>
            <w:rPr>
              <w:b/>
              <w:bCs/>
            </w:rPr>
            <w:tab/>
          </w:r>
          <w:r>
            <w:rPr>
              <w:b/>
              <w:bCs/>
            </w:rPr>
            <w:fldChar w:fldCharType="begin"/>
          </w:r>
          <w:r>
            <w:rPr>
              <w:b/>
              <w:bCs/>
            </w:rPr>
            <w:instrText xml:space="preserve"> PAGEREF _Toc4838 \h </w:instrText>
          </w:r>
          <w:r>
            <w:rPr>
              <w:b/>
              <w:bCs/>
            </w:rPr>
            <w:fldChar w:fldCharType="separate"/>
          </w:r>
          <w:r>
            <w:rPr>
              <w:b/>
              <w:bCs/>
            </w:rPr>
            <w:t>6</w:t>
          </w:r>
          <w:r>
            <w:rPr>
              <w:b/>
              <w:bCs/>
            </w:rPr>
            <w:fldChar w:fldCharType="end"/>
          </w:r>
          <w:r>
            <w:rPr>
              <w:rFonts w:ascii="Times New Roman" w:hAnsi="Times New Roman" w:eastAsia="Times New Roman" w:cs="Times New Roman"/>
              <w:b/>
              <w:bCs/>
              <w:szCs w:val="20"/>
            </w:rPr>
            <w:fldChar w:fldCharType="end"/>
          </w:r>
        </w:p>
        <w:p w14:paraId="52C5DD18">
          <w:pPr>
            <w:pStyle w:val="12"/>
            <w:keepNext w:val="0"/>
            <w:keepLines w:val="0"/>
            <w:pageBreakBefore w:val="0"/>
            <w:widowControl/>
            <w:tabs>
              <w:tab w:val="right" w:leader="dot" w:pos="9175"/>
            </w:tabs>
            <w:kinsoku w:val="0"/>
            <w:wordWrap/>
            <w:overflowPunct/>
            <w:topLinePunct w:val="0"/>
            <w:autoSpaceDE w:val="0"/>
            <w:autoSpaceDN w:val="0"/>
            <w:bidi w:val="0"/>
            <w:adjustRightInd w:val="0"/>
            <w:snapToGrid w:val="0"/>
            <w:spacing w:line="480" w:lineRule="auto"/>
            <w:textAlignment w:val="baseline"/>
          </w:pPr>
          <w:r>
            <w:rPr>
              <w:rFonts w:ascii="Times New Roman" w:hAnsi="Times New Roman" w:eastAsia="Times New Roman" w:cs="Times New Roman"/>
              <w:b/>
              <w:bCs/>
              <w:szCs w:val="20"/>
            </w:rPr>
            <w:fldChar w:fldCharType="begin"/>
          </w:r>
          <w:r>
            <w:rPr>
              <w:rFonts w:ascii="Times New Roman" w:hAnsi="Times New Roman" w:eastAsia="Times New Roman" w:cs="Times New Roman"/>
              <w:b/>
              <w:bCs/>
              <w:szCs w:val="20"/>
            </w:rPr>
            <w:instrText xml:space="preserve"> HYPERLINK \l _Toc11770 </w:instrText>
          </w:r>
          <w:r>
            <w:rPr>
              <w:rFonts w:ascii="Times New Roman" w:hAnsi="Times New Roman" w:eastAsia="Times New Roman" w:cs="Times New Roman"/>
              <w:b/>
              <w:bCs/>
              <w:szCs w:val="20"/>
            </w:rPr>
            <w:fldChar w:fldCharType="separate"/>
          </w:r>
          <w:r>
            <w:rPr>
              <w:rFonts w:ascii="宋体" w:hAnsi="宋体" w:eastAsia="宋体" w:cs="宋体"/>
              <w:b/>
              <w:bCs/>
              <w:spacing w:val="8"/>
              <w:szCs w:val="31"/>
            </w:rPr>
            <w:t>第二章 投标人须知</w:t>
          </w:r>
          <w:r>
            <w:rPr>
              <w:b/>
              <w:bCs/>
            </w:rPr>
            <w:tab/>
          </w:r>
          <w:r>
            <w:rPr>
              <w:b/>
              <w:bCs/>
            </w:rPr>
            <w:fldChar w:fldCharType="begin"/>
          </w:r>
          <w:r>
            <w:rPr>
              <w:b/>
              <w:bCs/>
            </w:rPr>
            <w:instrText xml:space="preserve"> PAGEREF _Toc11770 \h </w:instrText>
          </w:r>
          <w:r>
            <w:rPr>
              <w:b/>
              <w:bCs/>
            </w:rPr>
            <w:fldChar w:fldCharType="separate"/>
          </w:r>
          <w:r>
            <w:rPr>
              <w:b/>
              <w:bCs/>
            </w:rPr>
            <w:t>10</w:t>
          </w:r>
          <w:r>
            <w:rPr>
              <w:b/>
              <w:bCs/>
            </w:rPr>
            <w:fldChar w:fldCharType="end"/>
          </w:r>
          <w:r>
            <w:rPr>
              <w:rFonts w:ascii="Times New Roman" w:hAnsi="Times New Roman" w:eastAsia="Times New Roman" w:cs="Times New Roman"/>
              <w:b/>
              <w:bCs/>
              <w:szCs w:val="20"/>
            </w:rPr>
            <w:fldChar w:fldCharType="end"/>
          </w:r>
        </w:p>
        <w:p w14:paraId="772E318E">
          <w:pPr>
            <w:pStyle w:val="13"/>
            <w:keepNext w:val="0"/>
            <w:keepLines w:val="0"/>
            <w:pageBreakBefore w:val="0"/>
            <w:widowControl/>
            <w:tabs>
              <w:tab w:val="right" w:leader="dot" w:pos="9175"/>
            </w:tabs>
            <w:kinsoku w:val="0"/>
            <w:wordWrap/>
            <w:overflowPunct/>
            <w:topLinePunct w:val="0"/>
            <w:autoSpaceDE w:val="0"/>
            <w:autoSpaceDN w:val="0"/>
            <w:bidi w:val="0"/>
            <w:adjustRightInd w:val="0"/>
            <w:snapToGrid w:val="0"/>
            <w:spacing w:line="480" w:lineRule="auto"/>
            <w:textAlignment w:val="baseline"/>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_Toc8294 </w:instrText>
          </w:r>
          <w:r>
            <w:rPr>
              <w:rFonts w:ascii="Times New Roman" w:hAnsi="Times New Roman" w:eastAsia="Times New Roman" w:cs="Times New Roman"/>
              <w:szCs w:val="20"/>
            </w:rPr>
            <w:fldChar w:fldCharType="separate"/>
          </w:r>
          <w:r>
            <w:rPr>
              <w:rFonts w:ascii="宋体" w:hAnsi="宋体" w:eastAsia="宋体" w:cs="宋体"/>
              <w:bCs/>
              <w:spacing w:val="-1"/>
              <w:szCs w:val="28"/>
            </w:rPr>
            <w:t>投标人须知前附表</w:t>
          </w:r>
          <w:r>
            <w:tab/>
          </w:r>
          <w:r>
            <w:fldChar w:fldCharType="begin"/>
          </w:r>
          <w:r>
            <w:instrText xml:space="preserve"> PAGEREF _Toc8294 \h </w:instrText>
          </w:r>
          <w:r>
            <w:fldChar w:fldCharType="separate"/>
          </w:r>
          <w:r>
            <w:t>10</w:t>
          </w:r>
          <w:r>
            <w:fldChar w:fldCharType="end"/>
          </w:r>
          <w:r>
            <w:rPr>
              <w:rFonts w:ascii="Times New Roman" w:hAnsi="Times New Roman" w:eastAsia="Times New Roman" w:cs="Times New Roman"/>
              <w:szCs w:val="20"/>
            </w:rPr>
            <w:fldChar w:fldCharType="end"/>
          </w:r>
        </w:p>
        <w:p w14:paraId="39AC30AE">
          <w:pPr>
            <w:pStyle w:val="13"/>
            <w:keepNext w:val="0"/>
            <w:keepLines w:val="0"/>
            <w:pageBreakBefore w:val="0"/>
            <w:widowControl/>
            <w:tabs>
              <w:tab w:val="right" w:leader="dot" w:pos="9175"/>
            </w:tabs>
            <w:kinsoku w:val="0"/>
            <w:wordWrap/>
            <w:overflowPunct/>
            <w:topLinePunct w:val="0"/>
            <w:autoSpaceDE w:val="0"/>
            <w:autoSpaceDN w:val="0"/>
            <w:bidi w:val="0"/>
            <w:adjustRightInd w:val="0"/>
            <w:snapToGrid w:val="0"/>
            <w:spacing w:line="480" w:lineRule="auto"/>
            <w:textAlignment w:val="baseline"/>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_Toc11037 </w:instrText>
          </w:r>
          <w:r>
            <w:rPr>
              <w:rFonts w:ascii="Times New Roman" w:hAnsi="Times New Roman" w:eastAsia="Times New Roman" w:cs="Times New Roman"/>
              <w:szCs w:val="20"/>
            </w:rPr>
            <w:fldChar w:fldCharType="separate"/>
          </w:r>
          <w:r>
            <w:rPr>
              <w:rFonts w:ascii="宋体" w:hAnsi="宋体" w:eastAsia="宋体" w:cs="宋体"/>
              <w:bCs/>
              <w:spacing w:val="-9"/>
              <w:szCs w:val="28"/>
            </w:rPr>
            <w:t>1.总则</w:t>
          </w:r>
          <w:r>
            <w:tab/>
          </w:r>
          <w:r>
            <w:fldChar w:fldCharType="begin"/>
          </w:r>
          <w:r>
            <w:instrText xml:space="preserve"> PAGEREF _Toc11037 \h </w:instrText>
          </w:r>
          <w:r>
            <w:fldChar w:fldCharType="separate"/>
          </w:r>
          <w:r>
            <w:t>18</w:t>
          </w:r>
          <w:r>
            <w:fldChar w:fldCharType="end"/>
          </w:r>
          <w:r>
            <w:rPr>
              <w:rFonts w:ascii="Times New Roman" w:hAnsi="Times New Roman" w:eastAsia="Times New Roman" w:cs="Times New Roman"/>
              <w:szCs w:val="20"/>
            </w:rPr>
            <w:fldChar w:fldCharType="end"/>
          </w:r>
        </w:p>
        <w:p w14:paraId="6E2F3327">
          <w:pPr>
            <w:pStyle w:val="13"/>
            <w:keepNext w:val="0"/>
            <w:keepLines w:val="0"/>
            <w:pageBreakBefore w:val="0"/>
            <w:widowControl/>
            <w:tabs>
              <w:tab w:val="right" w:leader="dot" w:pos="9175"/>
            </w:tabs>
            <w:kinsoku w:val="0"/>
            <w:wordWrap/>
            <w:overflowPunct/>
            <w:topLinePunct w:val="0"/>
            <w:autoSpaceDE w:val="0"/>
            <w:autoSpaceDN w:val="0"/>
            <w:bidi w:val="0"/>
            <w:adjustRightInd w:val="0"/>
            <w:snapToGrid w:val="0"/>
            <w:spacing w:line="480" w:lineRule="auto"/>
            <w:textAlignment w:val="baseline"/>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_Toc7729 </w:instrText>
          </w:r>
          <w:r>
            <w:rPr>
              <w:rFonts w:ascii="Times New Roman" w:hAnsi="Times New Roman" w:eastAsia="Times New Roman" w:cs="Times New Roman"/>
              <w:szCs w:val="20"/>
            </w:rPr>
            <w:fldChar w:fldCharType="separate"/>
          </w:r>
          <w:r>
            <w:rPr>
              <w:rFonts w:ascii="宋体" w:hAnsi="宋体" w:eastAsia="宋体" w:cs="宋体"/>
              <w:bCs/>
              <w:spacing w:val="-3"/>
              <w:szCs w:val="28"/>
            </w:rPr>
            <w:t>2.招标文件</w:t>
          </w:r>
          <w:r>
            <w:tab/>
          </w:r>
          <w:r>
            <w:fldChar w:fldCharType="begin"/>
          </w:r>
          <w:r>
            <w:instrText xml:space="preserve"> PAGEREF _Toc7729 \h </w:instrText>
          </w:r>
          <w:r>
            <w:fldChar w:fldCharType="separate"/>
          </w:r>
          <w:r>
            <w:t>20</w:t>
          </w:r>
          <w:r>
            <w:fldChar w:fldCharType="end"/>
          </w:r>
          <w:r>
            <w:rPr>
              <w:rFonts w:ascii="Times New Roman" w:hAnsi="Times New Roman" w:eastAsia="Times New Roman" w:cs="Times New Roman"/>
              <w:szCs w:val="20"/>
            </w:rPr>
            <w:fldChar w:fldCharType="end"/>
          </w:r>
        </w:p>
        <w:p w14:paraId="1116CA55">
          <w:pPr>
            <w:pStyle w:val="13"/>
            <w:keepNext w:val="0"/>
            <w:keepLines w:val="0"/>
            <w:pageBreakBefore w:val="0"/>
            <w:widowControl/>
            <w:tabs>
              <w:tab w:val="right" w:leader="dot" w:pos="9175"/>
            </w:tabs>
            <w:kinsoku w:val="0"/>
            <w:wordWrap/>
            <w:overflowPunct/>
            <w:topLinePunct w:val="0"/>
            <w:autoSpaceDE w:val="0"/>
            <w:autoSpaceDN w:val="0"/>
            <w:bidi w:val="0"/>
            <w:adjustRightInd w:val="0"/>
            <w:snapToGrid w:val="0"/>
            <w:spacing w:line="480" w:lineRule="auto"/>
            <w:textAlignment w:val="baseline"/>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_Toc8118 </w:instrText>
          </w:r>
          <w:r>
            <w:rPr>
              <w:rFonts w:ascii="Times New Roman" w:hAnsi="Times New Roman" w:eastAsia="Times New Roman" w:cs="Times New Roman"/>
              <w:szCs w:val="20"/>
            </w:rPr>
            <w:fldChar w:fldCharType="separate"/>
          </w:r>
          <w:r>
            <w:rPr>
              <w:rFonts w:ascii="宋体" w:hAnsi="宋体" w:eastAsia="宋体" w:cs="宋体"/>
              <w:bCs/>
              <w:spacing w:val="-3"/>
              <w:szCs w:val="28"/>
            </w:rPr>
            <w:t>3.投标文件</w:t>
          </w:r>
          <w:r>
            <w:tab/>
          </w:r>
          <w:r>
            <w:fldChar w:fldCharType="begin"/>
          </w:r>
          <w:r>
            <w:instrText xml:space="preserve"> PAGEREF _Toc8118 \h </w:instrText>
          </w:r>
          <w:r>
            <w:fldChar w:fldCharType="separate"/>
          </w:r>
          <w:r>
            <w:t>21</w:t>
          </w:r>
          <w:r>
            <w:fldChar w:fldCharType="end"/>
          </w:r>
          <w:r>
            <w:rPr>
              <w:rFonts w:ascii="Times New Roman" w:hAnsi="Times New Roman" w:eastAsia="Times New Roman" w:cs="Times New Roman"/>
              <w:szCs w:val="20"/>
            </w:rPr>
            <w:fldChar w:fldCharType="end"/>
          </w:r>
        </w:p>
        <w:p w14:paraId="34B6499D">
          <w:pPr>
            <w:pStyle w:val="13"/>
            <w:keepNext w:val="0"/>
            <w:keepLines w:val="0"/>
            <w:pageBreakBefore w:val="0"/>
            <w:widowControl/>
            <w:tabs>
              <w:tab w:val="right" w:leader="dot" w:pos="9175"/>
            </w:tabs>
            <w:kinsoku w:val="0"/>
            <w:wordWrap/>
            <w:overflowPunct/>
            <w:topLinePunct w:val="0"/>
            <w:autoSpaceDE w:val="0"/>
            <w:autoSpaceDN w:val="0"/>
            <w:bidi w:val="0"/>
            <w:adjustRightInd w:val="0"/>
            <w:snapToGrid w:val="0"/>
            <w:spacing w:line="480" w:lineRule="auto"/>
            <w:textAlignment w:val="baseline"/>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_Toc3477 </w:instrText>
          </w:r>
          <w:r>
            <w:rPr>
              <w:rFonts w:ascii="Times New Roman" w:hAnsi="Times New Roman" w:eastAsia="Times New Roman" w:cs="Times New Roman"/>
              <w:szCs w:val="20"/>
            </w:rPr>
            <w:fldChar w:fldCharType="separate"/>
          </w:r>
          <w:r>
            <w:rPr>
              <w:rFonts w:ascii="宋体" w:hAnsi="宋体" w:eastAsia="宋体" w:cs="宋体"/>
              <w:bCs/>
              <w:spacing w:val="-3"/>
              <w:szCs w:val="28"/>
            </w:rPr>
            <w:t>4.投标</w:t>
          </w:r>
          <w:r>
            <w:tab/>
          </w:r>
          <w:r>
            <w:fldChar w:fldCharType="begin"/>
          </w:r>
          <w:r>
            <w:instrText xml:space="preserve"> PAGEREF _Toc3477 \h </w:instrText>
          </w:r>
          <w:r>
            <w:fldChar w:fldCharType="separate"/>
          </w:r>
          <w:r>
            <w:t>22</w:t>
          </w:r>
          <w:r>
            <w:fldChar w:fldCharType="end"/>
          </w:r>
          <w:r>
            <w:rPr>
              <w:rFonts w:ascii="Times New Roman" w:hAnsi="Times New Roman" w:eastAsia="Times New Roman" w:cs="Times New Roman"/>
              <w:szCs w:val="20"/>
            </w:rPr>
            <w:fldChar w:fldCharType="end"/>
          </w:r>
        </w:p>
        <w:p w14:paraId="0530D7DA">
          <w:pPr>
            <w:pStyle w:val="13"/>
            <w:keepNext w:val="0"/>
            <w:keepLines w:val="0"/>
            <w:pageBreakBefore w:val="0"/>
            <w:widowControl/>
            <w:tabs>
              <w:tab w:val="right" w:leader="dot" w:pos="9175"/>
            </w:tabs>
            <w:kinsoku w:val="0"/>
            <w:wordWrap/>
            <w:overflowPunct/>
            <w:topLinePunct w:val="0"/>
            <w:autoSpaceDE w:val="0"/>
            <w:autoSpaceDN w:val="0"/>
            <w:bidi w:val="0"/>
            <w:adjustRightInd w:val="0"/>
            <w:snapToGrid w:val="0"/>
            <w:spacing w:line="480" w:lineRule="auto"/>
            <w:textAlignment w:val="baseline"/>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_Toc9377 </w:instrText>
          </w:r>
          <w:r>
            <w:rPr>
              <w:rFonts w:ascii="Times New Roman" w:hAnsi="Times New Roman" w:eastAsia="Times New Roman" w:cs="Times New Roman"/>
              <w:szCs w:val="20"/>
            </w:rPr>
            <w:fldChar w:fldCharType="separate"/>
          </w:r>
          <w:r>
            <w:rPr>
              <w:rFonts w:ascii="宋体" w:hAnsi="宋体" w:eastAsia="宋体" w:cs="宋体"/>
              <w:bCs/>
              <w:spacing w:val="-5"/>
              <w:szCs w:val="28"/>
            </w:rPr>
            <w:t>5.开标</w:t>
          </w:r>
          <w:r>
            <w:tab/>
          </w:r>
          <w:r>
            <w:fldChar w:fldCharType="begin"/>
          </w:r>
          <w:r>
            <w:instrText xml:space="preserve"> PAGEREF _Toc9377 \h </w:instrText>
          </w:r>
          <w:r>
            <w:fldChar w:fldCharType="separate"/>
          </w:r>
          <w:r>
            <w:t>23</w:t>
          </w:r>
          <w:r>
            <w:fldChar w:fldCharType="end"/>
          </w:r>
          <w:r>
            <w:rPr>
              <w:rFonts w:ascii="Times New Roman" w:hAnsi="Times New Roman" w:eastAsia="Times New Roman" w:cs="Times New Roman"/>
              <w:szCs w:val="20"/>
            </w:rPr>
            <w:fldChar w:fldCharType="end"/>
          </w:r>
        </w:p>
        <w:p w14:paraId="76AE66C8">
          <w:pPr>
            <w:pStyle w:val="13"/>
            <w:keepNext w:val="0"/>
            <w:keepLines w:val="0"/>
            <w:pageBreakBefore w:val="0"/>
            <w:widowControl/>
            <w:tabs>
              <w:tab w:val="right" w:leader="dot" w:pos="9175"/>
            </w:tabs>
            <w:kinsoku w:val="0"/>
            <w:wordWrap/>
            <w:overflowPunct/>
            <w:topLinePunct w:val="0"/>
            <w:autoSpaceDE w:val="0"/>
            <w:autoSpaceDN w:val="0"/>
            <w:bidi w:val="0"/>
            <w:adjustRightInd w:val="0"/>
            <w:snapToGrid w:val="0"/>
            <w:spacing w:line="480" w:lineRule="auto"/>
            <w:textAlignment w:val="baseline"/>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_Toc21939 </w:instrText>
          </w:r>
          <w:r>
            <w:rPr>
              <w:rFonts w:ascii="Times New Roman" w:hAnsi="Times New Roman" w:eastAsia="Times New Roman" w:cs="Times New Roman"/>
              <w:szCs w:val="20"/>
            </w:rPr>
            <w:fldChar w:fldCharType="separate"/>
          </w:r>
          <w:r>
            <w:rPr>
              <w:rFonts w:ascii="宋体" w:hAnsi="宋体" w:eastAsia="宋体" w:cs="宋体"/>
              <w:bCs/>
              <w:spacing w:val="-2"/>
              <w:szCs w:val="28"/>
            </w:rPr>
            <w:t>6.资格审查及评标</w:t>
          </w:r>
          <w:r>
            <w:tab/>
          </w:r>
          <w:r>
            <w:fldChar w:fldCharType="begin"/>
          </w:r>
          <w:r>
            <w:instrText xml:space="preserve"> PAGEREF _Toc21939 \h </w:instrText>
          </w:r>
          <w:r>
            <w:fldChar w:fldCharType="separate"/>
          </w:r>
          <w:r>
            <w:t>23</w:t>
          </w:r>
          <w:r>
            <w:fldChar w:fldCharType="end"/>
          </w:r>
          <w:r>
            <w:rPr>
              <w:rFonts w:ascii="Times New Roman" w:hAnsi="Times New Roman" w:eastAsia="Times New Roman" w:cs="Times New Roman"/>
              <w:szCs w:val="20"/>
            </w:rPr>
            <w:fldChar w:fldCharType="end"/>
          </w:r>
        </w:p>
        <w:p w14:paraId="5138AE2E">
          <w:pPr>
            <w:pStyle w:val="13"/>
            <w:keepNext w:val="0"/>
            <w:keepLines w:val="0"/>
            <w:pageBreakBefore w:val="0"/>
            <w:widowControl/>
            <w:tabs>
              <w:tab w:val="right" w:leader="dot" w:pos="9175"/>
            </w:tabs>
            <w:kinsoku w:val="0"/>
            <w:wordWrap/>
            <w:overflowPunct/>
            <w:topLinePunct w:val="0"/>
            <w:autoSpaceDE w:val="0"/>
            <w:autoSpaceDN w:val="0"/>
            <w:bidi w:val="0"/>
            <w:adjustRightInd w:val="0"/>
            <w:snapToGrid w:val="0"/>
            <w:spacing w:line="480" w:lineRule="auto"/>
            <w:textAlignment w:val="baseline"/>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_Toc22345 </w:instrText>
          </w:r>
          <w:r>
            <w:rPr>
              <w:rFonts w:ascii="Times New Roman" w:hAnsi="Times New Roman" w:eastAsia="Times New Roman" w:cs="Times New Roman"/>
              <w:szCs w:val="20"/>
            </w:rPr>
            <w:fldChar w:fldCharType="separate"/>
          </w:r>
          <w:r>
            <w:rPr>
              <w:rFonts w:ascii="宋体" w:hAnsi="宋体" w:eastAsia="宋体" w:cs="宋体"/>
              <w:bCs/>
              <w:spacing w:val="-3"/>
              <w:szCs w:val="28"/>
            </w:rPr>
            <w:t>7.合同授予</w:t>
          </w:r>
          <w:r>
            <w:tab/>
          </w:r>
          <w:r>
            <w:fldChar w:fldCharType="begin"/>
          </w:r>
          <w:r>
            <w:instrText xml:space="preserve"> PAGEREF _Toc22345 \h </w:instrText>
          </w:r>
          <w:r>
            <w:fldChar w:fldCharType="separate"/>
          </w:r>
          <w:r>
            <w:t>24</w:t>
          </w:r>
          <w:r>
            <w:fldChar w:fldCharType="end"/>
          </w:r>
          <w:r>
            <w:rPr>
              <w:rFonts w:ascii="Times New Roman" w:hAnsi="Times New Roman" w:eastAsia="Times New Roman" w:cs="Times New Roman"/>
              <w:szCs w:val="20"/>
            </w:rPr>
            <w:fldChar w:fldCharType="end"/>
          </w:r>
        </w:p>
        <w:p w14:paraId="494E481F">
          <w:pPr>
            <w:pStyle w:val="13"/>
            <w:keepNext w:val="0"/>
            <w:keepLines w:val="0"/>
            <w:pageBreakBefore w:val="0"/>
            <w:widowControl/>
            <w:tabs>
              <w:tab w:val="right" w:leader="dot" w:pos="9175"/>
            </w:tabs>
            <w:kinsoku w:val="0"/>
            <w:wordWrap/>
            <w:overflowPunct/>
            <w:topLinePunct w:val="0"/>
            <w:autoSpaceDE w:val="0"/>
            <w:autoSpaceDN w:val="0"/>
            <w:bidi w:val="0"/>
            <w:adjustRightInd w:val="0"/>
            <w:snapToGrid w:val="0"/>
            <w:spacing w:line="480" w:lineRule="auto"/>
            <w:textAlignment w:val="baseline"/>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_Toc28118 </w:instrText>
          </w:r>
          <w:r>
            <w:rPr>
              <w:rFonts w:ascii="Times New Roman" w:hAnsi="Times New Roman" w:eastAsia="Times New Roman" w:cs="Times New Roman"/>
              <w:szCs w:val="20"/>
            </w:rPr>
            <w:fldChar w:fldCharType="separate"/>
          </w:r>
          <w:r>
            <w:rPr>
              <w:rFonts w:ascii="宋体" w:hAnsi="宋体" w:eastAsia="宋体" w:cs="宋体"/>
              <w:bCs/>
              <w:spacing w:val="-2"/>
              <w:szCs w:val="28"/>
            </w:rPr>
            <w:t>8.废标和重新招标</w:t>
          </w:r>
          <w:r>
            <w:tab/>
          </w:r>
          <w:r>
            <w:fldChar w:fldCharType="begin"/>
          </w:r>
          <w:r>
            <w:instrText xml:space="preserve"> PAGEREF _Toc28118 \h </w:instrText>
          </w:r>
          <w:r>
            <w:fldChar w:fldCharType="separate"/>
          </w:r>
          <w:r>
            <w:t>25</w:t>
          </w:r>
          <w:r>
            <w:fldChar w:fldCharType="end"/>
          </w:r>
          <w:r>
            <w:rPr>
              <w:rFonts w:ascii="Times New Roman" w:hAnsi="Times New Roman" w:eastAsia="Times New Roman" w:cs="Times New Roman"/>
              <w:szCs w:val="20"/>
            </w:rPr>
            <w:fldChar w:fldCharType="end"/>
          </w:r>
        </w:p>
        <w:p w14:paraId="28E46EBA">
          <w:pPr>
            <w:pStyle w:val="13"/>
            <w:keepNext w:val="0"/>
            <w:keepLines w:val="0"/>
            <w:pageBreakBefore w:val="0"/>
            <w:widowControl/>
            <w:tabs>
              <w:tab w:val="right" w:leader="dot" w:pos="9175"/>
            </w:tabs>
            <w:kinsoku w:val="0"/>
            <w:wordWrap/>
            <w:overflowPunct/>
            <w:topLinePunct w:val="0"/>
            <w:autoSpaceDE w:val="0"/>
            <w:autoSpaceDN w:val="0"/>
            <w:bidi w:val="0"/>
            <w:adjustRightInd w:val="0"/>
            <w:snapToGrid w:val="0"/>
            <w:spacing w:line="480" w:lineRule="auto"/>
            <w:textAlignment w:val="baseline"/>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_Toc2863 </w:instrText>
          </w:r>
          <w:r>
            <w:rPr>
              <w:rFonts w:ascii="Times New Roman" w:hAnsi="Times New Roman" w:eastAsia="Times New Roman" w:cs="Times New Roman"/>
              <w:szCs w:val="20"/>
            </w:rPr>
            <w:fldChar w:fldCharType="separate"/>
          </w:r>
          <w:r>
            <w:rPr>
              <w:rFonts w:ascii="宋体" w:hAnsi="宋体" w:eastAsia="宋体" w:cs="宋体"/>
              <w:bCs/>
              <w:spacing w:val="-2"/>
              <w:szCs w:val="28"/>
            </w:rPr>
            <w:t>9.纪律和监督</w:t>
          </w:r>
          <w:r>
            <w:tab/>
          </w:r>
          <w:r>
            <w:fldChar w:fldCharType="begin"/>
          </w:r>
          <w:r>
            <w:instrText xml:space="preserve"> PAGEREF _Toc2863 \h </w:instrText>
          </w:r>
          <w:r>
            <w:fldChar w:fldCharType="separate"/>
          </w:r>
          <w:r>
            <w:t>25</w:t>
          </w:r>
          <w:r>
            <w:fldChar w:fldCharType="end"/>
          </w:r>
          <w:r>
            <w:rPr>
              <w:rFonts w:ascii="Times New Roman" w:hAnsi="Times New Roman" w:eastAsia="Times New Roman" w:cs="Times New Roman"/>
              <w:szCs w:val="20"/>
            </w:rPr>
            <w:fldChar w:fldCharType="end"/>
          </w:r>
        </w:p>
        <w:p w14:paraId="1C285F16">
          <w:pPr>
            <w:pStyle w:val="13"/>
            <w:keepNext w:val="0"/>
            <w:keepLines w:val="0"/>
            <w:pageBreakBefore w:val="0"/>
            <w:widowControl/>
            <w:tabs>
              <w:tab w:val="right" w:leader="dot" w:pos="9175"/>
            </w:tabs>
            <w:kinsoku w:val="0"/>
            <w:wordWrap/>
            <w:overflowPunct/>
            <w:topLinePunct w:val="0"/>
            <w:autoSpaceDE w:val="0"/>
            <w:autoSpaceDN w:val="0"/>
            <w:bidi w:val="0"/>
            <w:adjustRightInd w:val="0"/>
            <w:snapToGrid w:val="0"/>
            <w:spacing w:line="480" w:lineRule="auto"/>
            <w:textAlignment w:val="baseline"/>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_Toc14166 </w:instrText>
          </w:r>
          <w:r>
            <w:rPr>
              <w:rFonts w:ascii="Times New Roman" w:hAnsi="Times New Roman" w:eastAsia="Times New Roman" w:cs="Times New Roman"/>
              <w:szCs w:val="20"/>
            </w:rPr>
            <w:fldChar w:fldCharType="separate"/>
          </w:r>
          <w:r>
            <w:rPr>
              <w:rFonts w:ascii="宋体" w:hAnsi="宋体" w:eastAsia="宋体" w:cs="宋体"/>
              <w:bCs/>
              <w:spacing w:val="-3"/>
              <w:szCs w:val="28"/>
            </w:rPr>
            <w:t>10.需要补充的其他内容</w:t>
          </w:r>
          <w:r>
            <w:tab/>
          </w:r>
          <w:r>
            <w:fldChar w:fldCharType="begin"/>
          </w:r>
          <w:r>
            <w:instrText xml:space="preserve"> PAGEREF _Toc14166 \h </w:instrText>
          </w:r>
          <w:r>
            <w:fldChar w:fldCharType="separate"/>
          </w:r>
          <w:r>
            <w:t>28</w:t>
          </w:r>
          <w:r>
            <w:fldChar w:fldCharType="end"/>
          </w:r>
          <w:r>
            <w:rPr>
              <w:rFonts w:ascii="Times New Roman" w:hAnsi="Times New Roman" w:eastAsia="Times New Roman" w:cs="Times New Roman"/>
              <w:szCs w:val="20"/>
            </w:rPr>
            <w:fldChar w:fldCharType="end"/>
          </w:r>
        </w:p>
        <w:p w14:paraId="3DA5F0B8">
          <w:pPr>
            <w:pStyle w:val="12"/>
            <w:keepNext w:val="0"/>
            <w:keepLines w:val="0"/>
            <w:pageBreakBefore w:val="0"/>
            <w:widowControl/>
            <w:tabs>
              <w:tab w:val="right" w:leader="dot" w:pos="9175"/>
            </w:tabs>
            <w:kinsoku w:val="0"/>
            <w:wordWrap/>
            <w:overflowPunct/>
            <w:topLinePunct w:val="0"/>
            <w:autoSpaceDE w:val="0"/>
            <w:autoSpaceDN w:val="0"/>
            <w:bidi w:val="0"/>
            <w:adjustRightInd w:val="0"/>
            <w:snapToGrid w:val="0"/>
            <w:spacing w:line="480" w:lineRule="auto"/>
            <w:textAlignment w:val="baseline"/>
            <w:rPr>
              <w:b/>
              <w:bCs/>
            </w:rPr>
          </w:pPr>
          <w:r>
            <w:rPr>
              <w:rFonts w:ascii="Times New Roman" w:hAnsi="Times New Roman" w:eastAsia="Times New Roman" w:cs="Times New Roman"/>
              <w:b/>
              <w:bCs/>
              <w:szCs w:val="20"/>
            </w:rPr>
            <w:fldChar w:fldCharType="begin"/>
          </w:r>
          <w:r>
            <w:rPr>
              <w:rFonts w:ascii="Times New Roman" w:hAnsi="Times New Roman" w:eastAsia="Times New Roman" w:cs="Times New Roman"/>
              <w:b/>
              <w:bCs/>
              <w:szCs w:val="20"/>
            </w:rPr>
            <w:instrText xml:space="preserve"> HYPERLINK \l _Toc27535 </w:instrText>
          </w:r>
          <w:r>
            <w:rPr>
              <w:rFonts w:ascii="Times New Roman" w:hAnsi="Times New Roman" w:eastAsia="Times New Roman" w:cs="Times New Roman"/>
              <w:b/>
              <w:bCs/>
              <w:szCs w:val="20"/>
            </w:rPr>
            <w:fldChar w:fldCharType="separate"/>
          </w:r>
          <w:r>
            <w:rPr>
              <w:rFonts w:ascii="宋体" w:hAnsi="宋体" w:eastAsia="宋体" w:cs="宋体"/>
              <w:b/>
              <w:bCs/>
              <w:spacing w:val="8"/>
              <w:szCs w:val="31"/>
            </w:rPr>
            <w:t>第三章 评标办法（综合评分法）</w:t>
          </w:r>
          <w:r>
            <w:rPr>
              <w:b/>
              <w:bCs/>
            </w:rPr>
            <w:tab/>
          </w:r>
          <w:r>
            <w:rPr>
              <w:b/>
              <w:bCs/>
            </w:rPr>
            <w:fldChar w:fldCharType="begin"/>
          </w:r>
          <w:r>
            <w:rPr>
              <w:b/>
              <w:bCs/>
            </w:rPr>
            <w:instrText xml:space="preserve"> PAGEREF _Toc27535 \h </w:instrText>
          </w:r>
          <w:r>
            <w:rPr>
              <w:b/>
              <w:bCs/>
            </w:rPr>
            <w:fldChar w:fldCharType="separate"/>
          </w:r>
          <w:r>
            <w:rPr>
              <w:b/>
              <w:bCs/>
            </w:rPr>
            <w:t>31</w:t>
          </w:r>
          <w:r>
            <w:rPr>
              <w:b/>
              <w:bCs/>
            </w:rPr>
            <w:fldChar w:fldCharType="end"/>
          </w:r>
          <w:r>
            <w:rPr>
              <w:rFonts w:ascii="Times New Roman" w:hAnsi="Times New Roman" w:eastAsia="Times New Roman" w:cs="Times New Roman"/>
              <w:b/>
              <w:bCs/>
              <w:szCs w:val="20"/>
            </w:rPr>
            <w:fldChar w:fldCharType="end"/>
          </w:r>
        </w:p>
        <w:p w14:paraId="306B713C">
          <w:pPr>
            <w:pStyle w:val="12"/>
            <w:keepNext w:val="0"/>
            <w:keepLines w:val="0"/>
            <w:pageBreakBefore w:val="0"/>
            <w:widowControl/>
            <w:tabs>
              <w:tab w:val="right" w:leader="dot" w:pos="9175"/>
            </w:tabs>
            <w:kinsoku w:val="0"/>
            <w:wordWrap/>
            <w:overflowPunct/>
            <w:topLinePunct w:val="0"/>
            <w:autoSpaceDE w:val="0"/>
            <w:autoSpaceDN w:val="0"/>
            <w:bidi w:val="0"/>
            <w:adjustRightInd w:val="0"/>
            <w:snapToGrid w:val="0"/>
            <w:spacing w:line="480" w:lineRule="auto"/>
            <w:textAlignment w:val="baseline"/>
            <w:rPr>
              <w:b/>
              <w:bCs/>
            </w:rPr>
          </w:pPr>
          <w:r>
            <w:rPr>
              <w:rFonts w:ascii="Times New Roman" w:hAnsi="Times New Roman" w:eastAsia="Times New Roman" w:cs="Times New Roman"/>
              <w:b/>
              <w:bCs/>
              <w:szCs w:val="20"/>
            </w:rPr>
            <w:fldChar w:fldCharType="begin"/>
          </w:r>
          <w:r>
            <w:rPr>
              <w:rFonts w:ascii="Times New Roman" w:hAnsi="Times New Roman" w:eastAsia="Times New Roman" w:cs="Times New Roman"/>
              <w:b/>
              <w:bCs/>
              <w:szCs w:val="20"/>
            </w:rPr>
            <w:instrText xml:space="preserve"> HYPERLINK \l _Toc9190 </w:instrText>
          </w:r>
          <w:r>
            <w:rPr>
              <w:rFonts w:ascii="Times New Roman" w:hAnsi="Times New Roman" w:eastAsia="Times New Roman" w:cs="Times New Roman"/>
              <w:b/>
              <w:bCs/>
              <w:szCs w:val="20"/>
            </w:rPr>
            <w:fldChar w:fldCharType="separate"/>
          </w:r>
          <w:r>
            <w:rPr>
              <w:rFonts w:ascii="宋体" w:hAnsi="宋体" w:eastAsia="宋体" w:cs="宋体"/>
              <w:b/>
              <w:bCs/>
              <w:spacing w:val="8"/>
              <w:szCs w:val="31"/>
            </w:rPr>
            <w:t>第四章 合同条款及格式</w:t>
          </w:r>
          <w:r>
            <w:rPr>
              <w:b/>
              <w:bCs/>
            </w:rPr>
            <w:tab/>
          </w:r>
          <w:r>
            <w:rPr>
              <w:b/>
              <w:bCs/>
            </w:rPr>
            <w:fldChar w:fldCharType="begin"/>
          </w:r>
          <w:r>
            <w:rPr>
              <w:b/>
              <w:bCs/>
            </w:rPr>
            <w:instrText xml:space="preserve"> PAGEREF _Toc9190 \h </w:instrText>
          </w:r>
          <w:r>
            <w:rPr>
              <w:b/>
              <w:bCs/>
            </w:rPr>
            <w:fldChar w:fldCharType="separate"/>
          </w:r>
          <w:r>
            <w:rPr>
              <w:b/>
              <w:bCs/>
            </w:rPr>
            <w:t>42</w:t>
          </w:r>
          <w:r>
            <w:rPr>
              <w:b/>
              <w:bCs/>
            </w:rPr>
            <w:fldChar w:fldCharType="end"/>
          </w:r>
          <w:r>
            <w:rPr>
              <w:rFonts w:ascii="Times New Roman" w:hAnsi="Times New Roman" w:eastAsia="Times New Roman" w:cs="Times New Roman"/>
              <w:b/>
              <w:bCs/>
              <w:szCs w:val="20"/>
            </w:rPr>
            <w:fldChar w:fldCharType="end"/>
          </w:r>
        </w:p>
        <w:p w14:paraId="2DF630D6">
          <w:pPr>
            <w:pStyle w:val="12"/>
            <w:keepNext w:val="0"/>
            <w:keepLines w:val="0"/>
            <w:pageBreakBefore w:val="0"/>
            <w:widowControl/>
            <w:tabs>
              <w:tab w:val="right" w:leader="dot" w:pos="9175"/>
            </w:tabs>
            <w:kinsoku w:val="0"/>
            <w:wordWrap/>
            <w:overflowPunct/>
            <w:topLinePunct w:val="0"/>
            <w:autoSpaceDE w:val="0"/>
            <w:autoSpaceDN w:val="0"/>
            <w:bidi w:val="0"/>
            <w:adjustRightInd w:val="0"/>
            <w:snapToGrid w:val="0"/>
            <w:spacing w:line="480" w:lineRule="auto"/>
            <w:textAlignment w:val="baseline"/>
            <w:rPr>
              <w:b/>
              <w:bCs/>
            </w:rPr>
          </w:pPr>
          <w:r>
            <w:rPr>
              <w:rFonts w:ascii="Times New Roman" w:hAnsi="Times New Roman" w:eastAsia="Times New Roman" w:cs="Times New Roman"/>
              <w:b/>
              <w:bCs/>
              <w:szCs w:val="20"/>
            </w:rPr>
            <w:fldChar w:fldCharType="begin"/>
          </w:r>
          <w:r>
            <w:rPr>
              <w:rFonts w:ascii="Times New Roman" w:hAnsi="Times New Roman" w:eastAsia="Times New Roman" w:cs="Times New Roman"/>
              <w:b/>
              <w:bCs/>
              <w:szCs w:val="20"/>
            </w:rPr>
            <w:instrText xml:space="preserve"> HYPERLINK \l _Toc26310 </w:instrText>
          </w:r>
          <w:r>
            <w:rPr>
              <w:rFonts w:ascii="Times New Roman" w:hAnsi="Times New Roman" w:eastAsia="Times New Roman" w:cs="Times New Roman"/>
              <w:b/>
              <w:bCs/>
              <w:szCs w:val="20"/>
            </w:rPr>
            <w:fldChar w:fldCharType="separate"/>
          </w:r>
          <w:r>
            <w:rPr>
              <w:rFonts w:ascii="宋体" w:hAnsi="宋体" w:eastAsia="宋体" w:cs="宋体"/>
              <w:b/>
              <w:bCs/>
              <w:spacing w:val="7"/>
              <w:szCs w:val="31"/>
            </w:rPr>
            <w:t>第五章 采购需求</w:t>
          </w:r>
          <w:r>
            <w:rPr>
              <w:b/>
              <w:bCs/>
            </w:rPr>
            <w:tab/>
          </w:r>
          <w:r>
            <w:rPr>
              <w:b/>
              <w:bCs/>
            </w:rPr>
            <w:fldChar w:fldCharType="begin"/>
          </w:r>
          <w:r>
            <w:rPr>
              <w:b/>
              <w:bCs/>
            </w:rPr>
            <w:instrText xml:space="preserve"> PAGEREF _Toc26310 \h </w:instrText>
          </w:r>
          <w:r>
            <w:rPr>
              <w:b/>
              <w:bCs/>
            </w:rPr>
            <w:fldChar w:fldCharType="separate"/>
          </w:r>
          <w:r>
            <w:rPr>
              <w:b/>
              <w:bCs/>
            </w:rPr>
            <w:t>46</w:t>
          </w:r>
          <w:r>
            <w:rPr>
              <w:b/>
              <w:bCs/>
            </w:rPr>
            <w:fldChar w:fldCharType="end"/>
          </w:r>
          <w:r>
            <w:rPr>
              <w:rFonts w:ascii="Times New Roman" w:hAnsi="Times New Roman" w:eastAsia="Times New Roman" w:cs="Times New Roman"/>
              <w:b/>
              <w:bCs/>
              <w:szCs w:val="20"/>
            </w:rPr>
            <w:fldChar w:fldCharType="end"/>
          </w:r>
        </w:p>
        <w:p w14:paraId="380BC663">
          <w:pPr>
            <w:pStyle w:val="12"/>
            <w:keepNext w:val="0"/>
            <w:keepLines w:val="0"/>
            <w:pageBreakBefore w:val="0"/>
            <w:widowControl/>
            <w:tabs>
              <w:tab w:val="right" w:leader="dot" w:pos="9175"/>
            </w:tabs>
            <w:kinsoku w:val="0"/>
            <w:wordWrap/>
            <w:overflowPunct/>
            <w:topLinePunct w:val="0"/>
            <w:autoSpaceDE w:val="0"/>
            <w:autoSpaceDN w:val="0"/>
            <w:bidi w:val="0"/>
            <w:adjustRightInd w:val="0"/>
            <w:snapToGrid w:val="0"/>
            <w:spacing w:line="480" w:lineRule="auto"/>
            <w:textAlignment w:val="baseline"/>
          </w:pPr>
          <w:r>
            <w:rPr>
              <w:rFonts w:ascii="Times New Roman" w:hAnsi="Times New Roman" w:eastAsia="Times New Roman" w:cs="Times New Roman"/>
              <w:b/>
              <w:bCs/>
              <w:szCs w:val="20"/>
            </w:rPr>
            <w:fldChar w:fldCharType="begin"/>
          </w:r>
          <w:r>
            <w:rPr>
              <w:rFonts w:ascii="Times New Roman" w:hAnsi="Times New Roman" w:eastAsia="Times New Roman" w:cs="Times New Roman"/>
              <w:b/>
              <w:bCs/>
              <w:szCs w:val="20"/>
            </w:rPr>
            <w:instrText xml:space="preserve"> HYPERLINK \l _Toc26602 </w:instrText>
          </w:r>
          <w:r>
            <w:rPr>
              <w:rFonts w:ascii="Times New Roman" w:hAnsi="Times New Roman" w:eastAsia="Times New Roman" w:cs="Times New Roman"/>
              <w:b/>
              <w:bCs/>
              <w:szCs w:val="20"/>
            </w:rPr>
            <w:fldChar w:fldCharType="separate"/>
          </w:r>
          <w:r>
            <w:rPr>
              <w:rFonts w:ascii="宋体" w:hAnsi="宋体" w:eastAsia="宋体" w:cs="宋体"/>
              <w:b/>
              <w:bCs/>
              <w:spacing w:val="8"/>
              <w:szCs w:val="31"/>
            </w:rPr>
            <w:t>第六章 投标文件格式</w:t>
          </w:r>
          <w:r>
            <w:rPr>
              <w:b/>
              <w:bCs/>
            </w:rPr>
            <w:tab/>
          </w:r>
          <w:r>
            <w:rPr>
              <w:b/>
              <w:bCs/>
            </w:rPr>
            <w:fldChar w:fldCharType="begin"/>
          </w:r>
          <w:r>
            <w:rPr>
              <w:b/>
              <w:bCs/>
            </w:rPr>
            <w:instrText xml:space="preserve"> PAGEREF _Toc26602 \h </w:instrText>
          </w:r>
          <w:r>
            <w:rPr>
              <w:b/>
              <w:bCs/>
            </w:rPr>
            <w:fldChar w:fldCharType="separate"/>
          </w:r>
          <w:r>
            <w:rPr>
              <w:b/>
              <w:bCs/>
            </w:rPr>
            <w:t>54</w:t>
          </w:r>
          <w:r>
            <w:rPr>
              <w:b/>
              <w:bCs/>
            </w:rPr>
            <w:fldChar w:fldCharType="end"/>
          </w:r>
          <w:r>
            <w:rPr>
              <w:rFonts w:ascii="Times New Roman" w:hAnsi="Times New Roman" w:eastAsia="Times New Roman" w:cs="Times New Roman"/>
              <w:b/>
              <w:bCs/>
              <w:szCs w:val="20"/>
            </w:rPr>
            <w:fldChar w:fldCharType="end"/>
          </w:r>
        </w:p>
        <w:p w14:paraId="1E4DBADB">
          <w:pPr>
            <w:pStyle w:val="13"/>
            <w:keepNext w:val="0"/>
            <w:keepLines w:val="0"/>
            <w:pageBreakBefore w:val="0"/>
            <w:widowControl/>
            <w:tabs>
              <w:tab w:val="right" w:leader="dot" w:pos="9175"/>
            </w:tabs>
            <w:kinsoku w:val="0"/>
            <w:wordWrap/>
            <w:overflowPunct/>
            <w:topLinePunct w:val="0"/>
            <w:autoSpaceDE w:val="0"/>
            <w:autoSpaceDN w:val="0"/>
            <w:bidi w:val="0"/>
            <w:adjustRightInd w:val="0"/>
            <w:snapToGrid w:val="0"/>
            <w:spacing w:line="480" w:lineRule="auto"/>
            <w:textAlignment w:val="baseline"/>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_Toc7911 </w:instrText>
          </w:r>
          <w:r>
            <w:rPr>
              <w:rFonts w:ascii="Times New Roman" w:hAnsi="Times New Roman" w:eastAsia="Times New Roman" w:cs="Times New Roman"/>
              <w:szCs w:val="20"/>
            </w:rPr>
            <w:fldChar w:fldCharType="separate"/>
          </w:r>
          <w:r>
            <w:rPr>
              <w:rFonts w:ascii="宋体" w:hAnsi="宋体" w:eastAsia="宋体" w:cs="宋体"/>
              <w:bCs/>
              <w:spacing w:val="-1"/>
              <w:szCs w:val="28"/>
            </w:rPr>
            <w:t>一、投标函及投标函附录</w:t>
          </w:r>
          <w:r>
            <w:tab/>
          </w:r>
          <w:r>
            <w:fldChar w:fldCharType="begin"/>
          </w:r>
          <w:r>
            <w:instrText xml:space="preserve"> PAGEREF _Toc7911 \h </w:instrText>
          </w:r>
          <w:r>
            <w:fldChar w:fldCharType="separate"/>
          </w:r>
          <w:r>
            <w:t>56</w:t>
          </w:r>
          <w:r>
            <w:fldChar w:fldCharType="end"/>
          </w:r>
          <w:r>
            <w:rPr>
              <w:rFonts w:ascii="Times New Roman" w:hAnsi="Times New Roman" w:eastAsia="Times New Roman" w:cs="Times New Roman"/>
              <w:szCs w:val="20"/>
            </w:rPr>
            <w:fldChar w:fldCharType="end"/>
          </w:r>
        </w:p>
        <w:p w14:paraId="31090AFB">
          <w:pPr>
            <w:pStyle w:val="9"/>
            <w:keepNext w:val="0"/>
            <w:keepLines w:val="0"/>
            <w:pageBreakBefore w:val="0"/>
            <w:widowControl/>
            <w:tabs>
              <w:tab w:val="right" w:leader="dot" w:pos="9175"/>
            </w:tabs>
            <w:kinsoku w:val="0"/>
            <w:wordWrap/>
            <w:overflowPunct/>
            <w:topLinePunct w:val="0"/>
            <w:autoSpaceDE w:val="0"/>
            <w:autoSpaceDN w:val="0"/>
            <w:bidi w:val="0"/>
            <w:adjustRightInd w:val="0"/>
            <w:snapToGrid w:val="0"/>
            <w:spacing w:line="480" w:lineRule="auto"/>
            <w:textAlignment w:val="baseline"/>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_Toc17316 </w:instrText>
          </w:r>
          <w:r>
            <w:rPr>
              <w:rFonts w:ascii="Times New Roman" w:hAnsi="Times New Roman" w:eastAsia="Times New Roman" w:cs="Times New Roman"/>
              <w:szCs w:val="20"/>
            </w:rPr>
            <w:fldChar w:fldCharType="separate"/>
          </w:r>
          <w:r>
            <w:rPr>
              <w:rFonts w:ascii="宋体" w:hAnsi="宋体" w:eastAsia="宋体" w:cs="宋体"/>
              <w:bCs/>
              <w:spacing w:val="-3"/>
              <w:szCs w:val="24"/>
            </w:rPr>
            <w:t>（一）投标函</w:t>
          </w:r>
          <w:r>
            <w:tab/>
          </w:r>
          <w:r>
            <w:fldChar w:fldCharType="begin"/>
          </w:r>
          <w:r>
            <w:instrText xml:space="preserve"> PAGEREF _Toc17316 \h </w:instrText>
          </w:r>
          <w:r>
            <w:fldChar w:fldCharType="separate"/>
          </w:r>
          <w:r>
            <w:t>56</w:t>
          </w:r>
          <w:r>
            <w:fldChar w:fldCharType="end"/>
          </w:r>
          <w:r>
            <w:rPr>
              <w:rFonts w:ascii="Times New Roman" w:hAnsi="Times New Roman" w:eastAsia="Times New Roman" w:cs="Times New Roman"/>
              <w:szCs w:val="20"/>
            </w:rPr>
            <w:fldChar w:fldCharType="end"/>
          </w:r>
        </w:p>
        <w:p w14:paraId="1EFC36D1">
          <w:pPr>
            <w:pStyle w:val="9"/>
            <w:keepNext w:val="0"/>
            <w:keepLines w:val="0"/>
            <w:pageBreakBefore w:val="0"/>
            <w:widowControl/>
            <w:tabs>
              <w:tab w:val="right" w:leader="dot" w:pos="9175"/>
            </w:tabs>
            <w:kinsoku w:val="0"/>
            <w:wordWrap/>
            <w:overflowPunct/>
            <w:topLinePunct w:val="0"/>
            <w:autoSpaceDE w:val="0"/>
            <w:autoSpaceDN w:val="0"/>
            <w:bidi w:val="0"/>
            <w:adjustRightInd w:val="0"/>
            <w:snapToGrid w:val="0"/>
            <w:spacing w:line="480" w:lineRule="auto"/>
            <w:textAlignment w:val="baseline"/>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_Toc19842 </w:instrText>
          </w:r>
          <w:r>
            <w:rPr>
              <w:rFonts w:ascii="Times New Roman" w:hAnsi="Times New Roman" w:eastAsia="Times New Roman" w:cs="Times New Roman"/>
              <w:szCs w:val="20"/>
            </w:rPr>
            <w:fldChar w:fldCharType="separate"/>
          </w:r>
          <w:r>
            <w:rPr>
              <w:rFonts w:ascii="宋体" w:hAnsi="宋体" w:eastAsia="宋体" w:cs="宋体"/>
              <w:bCs/>
              <w:spacing w:val="-2"/>
              <w:szCs w:val="24"/>
            </w:rPr>
            <w:t>（二）投标函附录</w:t>
          </w:r>
          <w:r>
            <w:tab/>
          </w:r>
          <w:r>
            <w:fldChar w:fldCharType="begin"/>
          </w:r>
          <w:r>
            <w:instrText xml:space="preserve"> PAGEREF _Toc19842 \h </w:instrText>
          </w:r>
          <w:r>
            <w:fldChar w:fldCharType="separate"/>
          </w:r>
          <w:r>
            <w:t>57</w:t>
          </w:r>
          <w:r>
            <w:fldChar w:fldCharType="end"/>
          </w:r>
          <w:r>
            <w:rPr>
              <w:rFonts w:ascii="Times New Roman" w:hAnsi="Times New Roman" w:eastAsia="Times New Roman" w:cs="Times New Roman"/>
              <w:szCs w:val="20"/>
            </w:rPr>
            <w:fldChar w:fldCharType="end"/>
          </w:r>
        </w:p>
        <w:p w14:paraId="626DEA62">
          <w:pPr>
            <w:pStyle w:val="13"/>
            <w:keepNext w:val="0"/>
            <w:keepLines w:val="0"/>
            <w:pageBreakBefore w:val="0"/>
            <w:widowControl/>
            <w:tabs>
              <w:tab w:val="right" w:leader="dot" w:pos="9175"/>
            </w:tabs>
            <w:kinsoku w:val="0"/>
            <w:wordWrap/>
            <w:overflowPunct/>
            <w:topLinePunct w:val="0"/>
            <w:autoSpaceDE w:val="0"/>
            <w:autoSpaceDN w:val="0"/>
            <w:bidi w:val="0"/>
            <w:adjustRightInd w:val="0"/>
            <w:snapToGrid w:val="0"/>
            <w:spacing w:line="480" w:lineRule="auto"/>
            <w:textAlignment w:val="baseline"/>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_Toc2071 </w:instrText>
          </w:r>
          <w:r>
            <w:rPr>
              <w:rFonts w:ascii="Times New Roman" w:hAnsi="Times New Roman" w:eastAsia="Times New Roman" w:cs="Times New Roman"/>
              <w:szCs w:val="20"/>
            </w:rPr>
            <w:fldChar w:fldCharType="separate"/>
          </w:r>
          <w:r>
            <w:rPr>
              <w:rFonts w:ascii="宋体" w:hAnsi="宋体" w:eastAsia="宋体" w:cs="宋体"/>
              <w:bCs/>
              <w:szCs w:val="28"/>
            </w:rPr>
            <w:t>二、法定代表人（单位负责人）身份证明或授权委托书</w:t>
          </w:r>
          <w:r>
            <w:tab/>
          </w:r>
          <w:r>
            <w:fldChar w:fldCharType="begin"/>
          </w:r>
          <w:r>
            <w:instrText xml:space="preserve"> PAGEREF _Toc2071 \h </w:instrText>
          </w:r>
          <w:r>
            <w:fldChar w:fldCharType="separate"/>
          </w:r>
          <w:r>
            <w:t>58</w:t>
          </w:r>
          <w:r>
            <w:fldChar w:fldCharType="end"/>
          </w:r>
          <w:r>
            <w:rPr>
              <w:rFonts w:ascii="Times New Roman" w:hAnsi="Times New Roman" w:eastAsia="Times New Roman" w:cs="Times New Roman"/>
              <w:szCs w:val="20"/>
            </w:rPr>
            <w:fldChar w:fldCharType="end"/>
          </w:r>
        </w:p>
        <w:p w14:paraId="33A6B882">
          <w:pPr>
            <w:pStyle w:val="9"/>
            <w:keepNext w:val="0"/>
            <w:keepLines w:val="0"/>
            <w:pageBreakBefore w:val="0"/>
            <w:widowControl/>
            <w:tabs>
              <w:tab w:val="right" w:leader="dot" w:pos="9175"/>
            </w:tabs>
            <w:kinsoku w:val="0"/>
            <w:wordWrap/>
            <w:overflowPunct/>
            <w:topLinePunct w:val="0"/>
            <w:autoSpaceDE w:val="0"/>
            <w:autoSpaceDN w:val="0"/>
            <w:bidi w:val="0"/>
            <w:adjustRightInd w:val="0"/>
            <w:snapToGrid w:val="0"/>
            <w:spacing w:line="480" w:lineRule="auto"/>
            <w:textAlignment w:val="baseline"/>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_Toc20090 </w:instrText>
          </w:r>
          <w:r>
            <w:rPr>
              <w:rFonts w:ascii="Times New Roman" w:hAnsi="Times New Roman" w:eastAsia="Times New Roman" w:cs="Times New Roman"/>
              <w:szCs w:val="20"/>
            </w:rPr>
            <w:fldChar w:fldCharType="separate"/>
          </w:r>
          <w:r>
            <w:rPr>
              <w:rFonts w:ascii="宋体" w:hAnsi="宋体" w:eastAsia="宋体" w:cs="宋体"/>
              <w:bCs/>
              <w:szCs w:val="24"/>
            </w:rPr>
            <w:t>（一）法定代表人（单位负责人）身份证明</w:t>
          </w:r>
          <w:r>
            <w:tab/>
          </w:r>
          <w:r>
            <w:fldChar w:fldCharType="begin"/>
          </w:r>
          <w:r>
            <w:instrText xml:space="preserve"> PAGEREF _Toc20090 \h </w:instrText>
          </w:r>
          <w:r>
            <w:fldChar w:fldCharType="separate"/>
          </w:r>
          <w:r>
            <w:t>58</w:t>
          </w:r>
          <w:r>
            <w:fldChar w:fldCharType="end"/>
          </w:r>
          <w:r>
            <w:rPr>
              <w:rFonts w:ascii="Times New Roman" w:hAnsi="Times New Roman" w:eastAsia="Times New Roman" w:cs="Times New Roman"/>
              <w:szCs w:val="20"/>
            </w:rPr>
            <w:fldChar w:fldCharType="end"/>
          </w:r>
        </w:p>
        <w:p w14:paraId="707696C5">
          <w:pPr>
            <w:pStyle w:val="9"/>
            <w:keepNext w:val="0"/>
            <w:keepLines w:val="0"/>
            <w:pageBreakBefore w:val="0"/>
            <w:widowControl/>
            <w:tabs>
              <w:tab w:val="right" w:leader="dot" w:pos="9175"/>
            </w:tabs>
            <w:kinsoku w:val="0"/>
            <w:wordWrap/>
            <w:overflowPunct/>
            <w:topLinePunct w:val="0"/>
            <w:autoSpaceDE w:val="0"/>
            <w:autoSpaceDN w:val="0"/>
            <w:bidi w:val="0"/>
            <w:adjustRightInd w:val="0"/>
            <w:snapToGrid w:val="0"/>
            <w:spacing w:line="480" w:lineRule="auto"/>
            <w:textAlignment w:val="baseline"/>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_Toc23775 </w:instrText>
          </w:r>
          <w:r>
            <w:rPr>
              <w:rFonts w:ascii="Times New Roman" w:hAnsi="Times New Roman" w:eastAsia="Times New Roman" w:cs="Times New Roman"/>
              <w:szCs w:val="20"/>
            </w:rPr>
            <w:fldChar w:fldCharType="separate"/>
          </w:r>
          <w:r>
            <w:rPr>
              <w:rFonts w:ascii="宋体" w:hAnsi="宋体" w:eastAsia="宋体" w:cs="宋体"/>
              <w:bCs/>
              <w:spacing w:val="-2"/>
              <w:szCs w:val="24"/>
            </w:rPr>
            <w:t>（二）授权委托书</w:t>
          </w:r>
          <w:r>
            <w:tab/>
          </w:r>
          <w:r>
            <w:fldChar w:fldCharType="begin"/>
          </w:r>
          <w:r>
            <w:instrText xml:space="preserve"> PAGEREF _Toc23775 \h </w:instrText>
          </w:r>
          <w:r>
            <w:fldChar w:fldCharType="separate"/>
          </w:r>
          <w:r>
            <w:t>59</w:t>
          </w:r>
          <w:r>
            <w:fldChar w:fldCharType="end"/>
          </w:r>
          <w:r>
            <w:rPr>
              <w:rFonts w:ascii="Times New Roman" w:hAnsi="Times New Roman" w:eastAsia="Times New Roman" w:cs="Times New Roman"/>
              <w:szCs w:val="20"/>
            </w:rPr>
            <w:fldChar w:fldCharType="end"/>
          </w:r>
        </w:p>
        <w:p w14:paraId="4E77B1A6">
          <w:pPr>
            <w:pStyle w:val="13"/>
            <w:keepNext w:val="0"/>
            <w:keepLines w:val="0"/>
            <w:pageBreakBefore w:val="0"/>
            <w:widowControl/>
            <w:tabs>
              <w:tab w:val="right" w:leader="dot" w:pos="9175"/>
            </w:tabs>
            <w:kinsoku w:val="0"/>
            <w:wordWrap/>
            <w:overflowPunct/>
            <w:topLinePunct w:val="0"/>
            <w:autoSpaceDE w:val="0"/>
            <w:autoSpaceDN w:val="0"/>
            <w:bidi w:val="0"/>
            <w:adjustRightInd w:val="0"/>
            <w:snapToGrid w:val="0"/>
            <w:spacing w:line="480" w:lineRule="auto"/>
            <w:textAlignment w:val="baseline"/>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_Toc308 </w:instrText>
          </w:r>
          <w:r>
            <w:rPr>
              <w:rFonts w:ascii="Times New Roman" w:hAnsi="Times New Roman" w:eastAsia="Times New Roman" w:cs="Times New Roman"/>
              <w:szCs w:val="20"/>
            </w:rPr>
            <w:fldChar w:fldCharType="separate"/>
          </w:r>
          <w:r>
            <w:rPr>
              <w:rFonts w:ascii="宋体" w:hAnsi="宋体" w:eastAsia="宋体" w:cs="宋体"/>
              <w:bCs/>
              <w:spacing w:val="-1"/>
              <w:szCs w:val="28"/>
            </w:rPr>
            <w:t>三、投标承诺函</w:t>
          </w:r>
          <w:r>
            <w:tab/>
          </w:r>
          <w:r>
            <w:fldChar w:fldCharType="begin"/>
          </w:r>
          <w:r>
            <w:instrText xml:space="preserve"> PAGEREF _Toc308 \h </w:instrText>
          </w:r>
          <w:r>
            <w:fldChar w:fldCharType="separate"/>
          </w:r>
          <w:r>
            <w:t>60</w:t>
          </w:r>
          <w:r>
            <w:fldChar w:fldCharType="end"/>
          </w:r>
          <w:r>
            <w:rPr>
              <w:rFonts w:ascii="Times New Roman" w:hAnsi="Times New Roman" w:eastAsia="Times New Roman" w:cs="Times New Roman"/>
              <w:szCs w:val="20"/>
            </w:rPr>
            <w:fldChar w:fldCharType="end"/>
          </w:r>
        </w:p>
        <w:p w14:paraId="2B2D33EB">
          <w:pPr>
            <w:pStyle w:val="13"/>
            <w:keepNext w:val="0"/>
            <w:keepLines w:val="0"/>
            <w:pageBreakBefore w:val="0"/>
            <w:widowControl/>
            <w:tabs>
              <w:tab w:val="right" w:leader="dot" w:pos="9175"/>
            </w:tabs>
            <w:kinsoku w:val="0"/>
            <w:wordWrap/>
            <w:overflowPunct/>
            <w:topLinePunct w:val="0"/>
            <w:autoSpaceDE w:val="0"/>
            <w:autoSpaceDN w:val="0"/>
            <w:bidi w:val="0"/>
            <w:adjustRightInd w:val="0"/>
            <w:snapToGrid w:val="0"/>
            <w:spacing w:line="480" w:lineRule="auto"/>
            <w:textAlignment w:val="baseline"/>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_Toc2334 </w:instrText>
          </w:r>
          <w:r>
            <w:rPr>
              <w:rFonts w:ascii="Times New Roman" w:hAnsi="Times New Roman" w:eastAsia="Times New Roman" w:cs="Times New Roman"/>
              <w:szCs w:val="20"/>
            </w:rPr>
            <w:fldChar w:fldCharType="separate"/>
          </w:r>
          <w:r>
            <w:rPr>
              <w:rFonts w:ascii="宋体" w:hAnsi="宋体" w:eastAsia="宋体" w:cs="宋体"/>
              <w:bCs/>
              <w:spacing w:val="-3"/>
              <w:szCs w:val="28"/>
            </w:rPr>
            <w:t>四、商务和采购需求响应表</w:t>
          </w:r>
          <w:r>
            <w:tab/>
          </w:r>
          <w:r>
            <w:fldChar w:fldCharType="begin"/>
          </w:r>
          <w:r>
            <w:instrText xml:space="preserve"> PAGEREF _Toc2334 \h </w:instrText>
          </w:r>
          <w:r>
            <w:fldChar w:fldCharType="separate"/>
          </w:r>
          <w:r>
            <w:t>62</w:t>
          </w:r>
          <w:r>
            <w:fldChar w:fldCharType="end"/>
          </w:r>
          <w:r>
            <w:rPr>
              <w:rFonts w:ascii="Times New Roman" w:hAnsi="Times New Roman" w:eastAsia="Times New Roman" w:cs="Times New Roman"/>
              <w:szCs w:val="20"/>
            </w:rPr>
            <w:fldChar w:fldCharType="end"/>
          </w:r>
        </w:p>
        <w:p w14:paraId="47DBB0D1">
          <w:pPr>
            <w:pStyle w:val="9"/>
            <w:keepNext w:val="0"/>
            <w:keepLines w:val="0"/>
            <w:pageBreakBefore w:val="0"/>
            <w:widowControl/>
            <w:tabs>
              <w:tab w:val="right" w:leader="dot" w:pos="9175"/>
            </w:tabs>
            <w:kinsoku w:val="0"/>
            <w:wordWrap/>
            <w:overflowPunct/>
            <w:topLinePunct w:val="0"/>
            <w:autoSpaceDE w:val="0"/>
            <w:autoSpaceDN w:val="0"/>
            <w:bidi w:val="0"/>
            <w:adjustRightInd w:val="0"/>
            <w:snapToGrid w:val="0"/>
            <w:spacing w:line="480" w:lineRule="auto"/>
            <w:textAlignment w:val="baseline"/>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_Toc10321 </w:instrText>
          </w:r>
          <w:r>
            <w:rPr>
              <w:rFonts w:ascii="Times New Roman" w:hAnsi="Times New Roman" w:eastAsia="Times New Roman" w:cs="Times New Roman"/>
              <w:szCs w:val="20"/>
            </w:rPr>
            <w:fldChar w:fldCharType="separate"/>
          </w:r>
          <w:r>
            <w:rPr>
              <w:rFonts w:ascii="宋体" w:hAnsi="宋体" w:eastAsia="宋体" w:cs="宋体"/>
              <w:bCs/>
              <w:spacing w:val="-2"/>
              <w:szCs w:val="24"/>
            </w:rPr>
            <w:t>（一）商务条款响应表</w:t>
          </w:r>
          <w:r>
            <w:tab/>
          </w:r>
          <w:r>
            <w:fldChar w:fldCharType="begin"/>
          </w:r>
          <w:r>
            <w:instrText xml:space="preserve"> PAGEREF _Toc10321 \h </w:instrText>
          </w:r>
          <w:r>
            <w:fldChar w:fldCharType="separate"/>
          </w:r>
          <w:r>
            <w:t>62</w:t>
          </w:r>
          <w:r>
            <w:fldChar w:fldCharType="end"/>
          </w:r>
          <w:r>
            <w:rPr>
              <w:rFonts w:ascii="Times New Roman" w:hAnsi="Times New Roman" w:eastAsia="Times New Roman" w:cs="Times New Roman"/>
              <w:szCs w:val="20"/>
            </w:rPr>
            <w:fldChar w:fldCharType="end"/>
          </w:r>
        </w:p>
        <w:p w14:paraId="1A38CAF7">
          <w:pPr>
            <w:pStyle w:val="9"/>
            <w:keepNext w:val="0"/>
            <w:keepLines w:val="0"/>
            <w:pageBreakBefore w:val="0"/>
            <w:widowControl/>
            <w:tabs>
              <w:tab w:val="right" w:leader="dot" w:pos="9175"/>
            </w:tabs>
            <w:kinsoku w:val="0"/>
            <w:wordWrap/>
            <w:overflowPunct/>
            <w:topLinePunct w:val="0"/>
            <w:autoSpaceDE w:val="0"/>
            <w:autoSpaceDN w:val="0"/>
            <w:bidi w:val="0"/>
            <w:adjustRightInd w:val="0"/>
            <w:snapToGrid w:val="0"/>
            <w:spacing w:line="480" w:lineRule="auto"/>
            <w:textAlignment w:val="baseline"/>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_Toc9424 </w:instrText>
          </w:r>
          <w:r>
            <w:rPr>
              <w:rFonts w:ascii="Times New Roman" w:hAnsi="Times New Roman" w:eastAsia="Times New Roman" w:cs="Times New Roman"/>
              <w:szCs w:val="20"/>
            </w:rPr>
            <w:fldChar w:fldCharType="separate"/>
          </w:r>
          <w:r>
            <w:rPr>
              <w:rFonts w:ascii="宋体" w:hAnsi="宋体" w:eastAsia="宋体" w:cs="宋体"/>
              <w:bCs/>
              <w:spacing w:val="-2"/>
              <w:szCs w:val="24"/>
            </w:rPr>
            <w:t>（二）采购需求响应表</w:t>
          </w:r>
          <w:r>
            <w:tab/>
          </w:r>
          <w:r>
            <w:fldChar w:fldCharType="begin"/>
          </w:r>
          <w:r>
            <w:instrText xml:space="preserve"> PAGEREF _Toc9424 \h </w:instrText>
          </w:r>
          <w:r>
            <w:fldChar w:fldCharType="separate"/>
          </w:r>
          <w:r>
            <w:t>63</w:t>
          </w:r>
          <w:r>
            <w:fldChar w:fldCharType="end"/>
          </w:r>
          <w:r>
            <w:rPr>
              <w:rFonts w:ascii="Times New Roman" w:hAnsi="Times New Roman" w:eastAsia="Times New Roman" w:cs="Times New Roman"/>
              <w:szCs w:val="20"/>
            </w:rPr>
            <w:fldChar w:fldCharType="end"/>
          </w:r>
        </w:p>
        <w:p w14:paraId="4D260AA9">
          <w:pPr>
            <w:pStyle w:val="13"/>
            <w:keepNext w:val="0"/>
            <w:keepLines w:val="0"/>
            <w:pageBreakBefore w:val="0"/>
            <w:widowControl/>
            <w:tabs>
              <w:tab w:val="right" w:leader="dot" w:pos="9175"/>
            </w:tabs>
            <w:kinsoku w:val="0"/>
            <w:wordWrap/>
            <w:overflowPunct/>
            <w:topLinePunct w:val="0"/>
            <w:autoSpaceDE w:val="0"/>
            <w:autoSpaceDN w:val="0"/>
            <w:bidi w:val="0"/>
            <w:adjustRightInd w:val="0"/>
            <w:snapToGrid w:val="0"/>
            <w:spacing w:line="480" w:lineRule="auto"/>
            <w:textAlignment w:val="baseline"/>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_Toc25662 </w:instrText>
          </w:r>
          <w:r>
            <w:rPr>
              <w:rFonts w:ascii="Times New Roman" w:hAnsi="Times New Roman" w:eastAsia="Times New Roman" w:cs="Times New Roman"/>
              <w:szCs w:val="20"/>
            </w:rPr>
            <w:fldChar w:fldCharType="separate"/>
          </w:r>
          <w:r>
            <w:rPr>
              <w:rFonts w:ascii="宋体" w:hAnsi="宋体" w:eastAsia="宋体" w:cs="宋体"/>
              <w:bCs/>
              <w:spacing w:val="-2"/>
              <w:szCs w:val="28"/>
            </w:rPr>
            <w:t>五、资格证明文件</w:t>
          </w:r>
          <w:r>
            <w:tab/>
          </w:r>
          <w:r>
            <w:fldChar w:fldCharType="begin"/>
          </w:r>
          <w:r>
            <w:instrText xml:space="preserve"> PAGEREF _Toc25662 \h </w:instrText>
          </w:r>
          <w:r>
            <w:fldChar w:fldCharType="separate"/>
          </w:r>
          <w:r>
            <w:t>64</w:t>
          </w:r>
          <w:r>
            <w:fldChar w:fldCharType="end"/>
          </w:r>
          <w:r>
            <w:rPr>
              <w:rFonts w:ascii="Times New Roman" w:hAnsi="Times New Roman" w:eastAsia="Times New Roman" w:cs="Times New Roman"/>
              <w:szCs w:val="20"/>
            </w:rPr>
            <w:fldChar w:fldCharType="end"/>
          </w:r>
        </w:p>
        <w:p w14:paraId="33AE3AB9">
          <w:pPr>
            <w:pStyle w:val="9"/>
            <w:keepNext w:val="0"/>
            <w:keepLines w:val="0"/>
            <w:pageBreakBefore w:val="0"/>
            <w:widowControl/>
            <w:tabs>
              <w:tab w:val="right" w:leader="dot" w:pos="9175"/>
            </w:tabs>
            <w:kinsoku w:val="0"/>
            <w:wordWrap/>
            <w:overflowPunct/>
            <w:topLinePunct w:val="0"/>
            <w:autoSpaceDE w:val="0"/>
            <w:autoSpaceDN w:val="0"/>
            <w:bidi w:val="0"/>
            <w:adjustRightInd w:val="0"/>
            <w:snapToGrid w:val="0"/>
            <w:spacing w:line="480" w:lineRule="auto"/>
            <w:textAlignment w:val="baseline"/>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_Toc32165 </w:instrText>
          </w:r>
          <w:r>
            <w:rPr>
              <w:rFonts w:ascii="Times New Roman" w:hAnsi="Times New Roman" w:eastAsia="Times New Roman" w:cs="Times New Roman"/>
              <w:szCs w:val="20"/>
            </w:rPr>
            <w:fldChar w:fldCharType="separate"/>
          </w:r>
          <w:r>
            <w:rPr>
              <w:rFonts w:ascii="宋体" w:hAnsi="宋体" w:eastAsia="宋体" w:cs="宋体"/>
              <w:bCs/>
              <w:spacing w:val="-2"/>
              <w:szCs w:val="24"/>
            </w:rPr>
            <w:t>（一）基本情况表</w:t>
          </w:r>
          <w:r>
            <w:tab/>
          </w:r>
          <w:r>
            <w:fldChar w:fldCharType="begin"/>
          </w:r>
          <w:r>
            <w:instrText xml:space="preserve"> PAGEREF _Toc32165 \h </w:instrText>
          </w:r>
          <w:r>
            <w:fldChar w:fldCharType="separate"/>
          </w:r>
          <w:r>
            <w:t>64</w:t>
          </w:r>
          <w:r>
            <w:fldChar w:fldCharType="end"/>
          </w:r>
          <w:r>
            <w:rPr>
              <w:rFonts w:ascii="Times New Roman" w:hAnsi="Times New Roman" w:eastAsia="Times New Roman" w:cs="Times New Roman"/>
              <w:szCs w:val="20"/>
            </w:rPr>
            <w:fldChar w:fldCharType="end"/>
          </w:r>
        </w:p>
        <w:p w14:paraId="163423EE">
          <w:pPr>
            <w:pStyle w:val="9"/>
            <w:keepNext w:val="0"/>
            <w:keepLines w:val="0"/>
            <w:pageBreakBefore w:val="0"/>
            <w:widowControl/>
            <w:tabs>
              <w:tab w:val="right" w:leader="dot" w:pos="9175"/>
            </w:tabs>
            <w:kinsoku w:val="0"/>
            <w:wordWrap/>
            <w:overflowPunct/>
            <w:topLinePunct w:val="0"/>
            <w:autoSpaceDE w:val="0"/>
            <w:autoSpaceDN w:val="0"/>
            <w:bidi w:val="0"/>
            <w:adjustRightInd w:val="0"/>
            <w:snapToGrid w:val="0"/>
            <w:spacing w:line="480" w:lineRule="auto"/>
            <w:textAlignment w:val="baseline"/>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_Toc5079 </w:instrText>
          </w:r>
          <w:r>
            <w:rPr>
              <w:rFonts w:ascii="Times New Roman" w:hAnsi="Times New Roman" w:eastAsia="Times New Roman" w:cs="Times New Roman"/>
              <w:szCs w:val="20"/>
            </w:rPr>
            <w:fldChar w:fldCharType="separate"/>
          </w:r>
          <w:r>
            <w:rPr>
              <w:rFonts w:ascii="宋体" w:hAnsi="宋体" w:eastAsia="宋体" w:cs="宋体"/>
              <w:bCs/>
              <w:spacing w:val="-2"/>
              <w:szCs w:val="24"/>
            </w:rPr>
            <w:t>（二）资格证明材料</w:t>
          </w:r>
          <w:r>
            <w:tab/>
          </w:r>
          <w:r>
            <w:fldChar w:fldCharType="begin"/>
          </w:r>
          <w:r>
            <w:instrText xml:space="preserve"> PAGEREF _Toc5079 \h </w:instrText>
          </w:r>
          <w:r>
            <w:fldChar w:fldCharType="separate"/>
          </w:r>
          <w:r>
            <w:t>65</w:t>
          </w:r>
          <w:r>
            <w:fldChar w:fldCharType="end"/>
          </w:r>
          <w:r>
            <w:rPr>
              <w:rFonts w:ascii="Times New Roman" w:hAnsi="Times New Roman" w:eastAsia="Times New Roman" w:cs="Times New Roman"/>
              <w:szCs w:val="20"/>
            </w:rPr>
            <w:fldChar w:fldCharType="end"/>
          </w:r>
        </w:p>
        <w:p w14:paraId="7D7AB1FE">
          <w:pPr>
            <w:pStyle w:val="9"/>
            <w:keepNext w:val="0"/>
            <w:keepLines w:val="0"/>
            <w:pageBreakBefore w:val="0"/>
            <w:widowControl/>
            <w:tabs>
              <w:tab w:val="right" w:leader="dot" w:pos="9175"/>
            </w:tabs>
            <w:kinsoku w:val="0"/>
            <w:wordWrap/>
            <w:overflowPunct/>
            <w:topLinePunct w:val="0"/>
            <w:autoSpaceDE w:val="0"/>
            <w:autoSpaceDN w:val="0"/>
            <w:bidi w:val="0"/>
            <w:adjustRightInd w:val="0"/>
            <w:snapToGrid w:val="0"/>
            <w:spacing w:line="480" w:lineRule="auto"/>
            <w:textAlignment w:val="baseline"/>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_Toc13461 </w:instrText>
          </w:r>
          <w:r>
            <w:rPr>
              <w:rFonts w:ascii="Times New Roman" w:hAnsi="Times New Roman" w:eastAsia="Times New Roman" w:cs="Times New Roman"/>
              <w:szCs w:val="20"/>
            </w:rPr>
            <w:fldChar w:fldCharType="separate"/>
          </w:r>
          <w:r>
            <w:rPr>
              <w:rFonts w:ascii="宋体" w:hAnsi="宋体" w:eastAsia="宋体" w:cs="宋体"/>
              <w:bCs/>
              <w:szCs w:val="24"/>
            </w:rPr>
            <w:t>（三）享受政府采购政策扶持的证明材料</w:t>
          </w:r>
          <w:r>
            <w:tab/>
          </w:r>
          <w:r>
            <w:fldChar w:fldCharType="begin"/>
          </w:r>
          <w:r>
            <w:instrText xml:space="preserve"> PAGEREF _Toc13461 \h </w:instrText>
          </w:r>
          <w:r>
            <w:fldChar w:fldCharType="separate"/>
          </w:r>
          <w:r>
            <w:t>66</w:t>
          </w:r>
          <w:r>
            <w:fldChar w:fldCharType="end"/>
          </w:r>
          <w:r>
            <w:rPr>
              <w:rFonts w:ascii="Times New Roman" w:hAnsi="Times New Roman" w:eastAsia="Times New Roman" w:cs="Times New Roman"/>
              <w:szCs w:val="20"/>
            </w:rPr>
            <w:fldChar w:fldCharType="end"/>
          </w:r>
        </w:p>
        <w:p w14:paraId="4B27CF90">
          <w:pPr>
            <w:pStyle w:val="13"/>
            <w:keepNext w:val="0"/>
            <w:keepLines w:val="0"/>
            <w:pageBreakBefore w:val="0"/>
            <w:widowControl/>
            <w:tabs>
              <w:tab w:val="right" w:leader="dot" w:pos="9175"/>
            </w:tabs>
            <w:kinsoku w:val="0"/>
            <w:wordWrap/>
            <w:overflowPunct/>
            <w:topLinePunct w:val="0"/>
            <w:autoSpaceDE w:val="0"/>
            <w:autoSpaceDN w:val="0"/>
            <w:bidi w:val="0"/>
            <w:adjustRightInd w:val="0"/>
            <w:snapToGrid w:val="0"/>
            <w:spacing w:line="480" w:lineRule="auto"/>
            <w:textAlignment w:val="baseline"/>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_Toc30364 </w:instrText>
          </w:r>
          <w:r>
            <w:rPr>
              <w:rFonts w:ascii="Times New Roman" w:hAnsi="Times New Roman" w:eastAsia="Times New Roman" w:cs="Times New Roman"/>
              <w:szCs w:val="20"/>
            </w:rPr>
            <w:fldChar w:fldCharType="separate"/>
          </w:r>
          <w:r>
            <w:rPr>
              <w:rFonts w:ascii="宋体" w:hAnsi="宋体" w:eastAsia="宋体" w:cs="宋体"/>
              <w:bCs/>
              <w:spacing w:val="-1"/>
              <w:szCs w:val="28"/>
            </w:rPr>
            <w:t>六、技术标部分证明材料</w:t>
          </w:r>
          <w:r>
            <w:tab/>
          </w:r>
          <w:r>
            <w:fldChar w:fldCharType="begin"/>
          </w:r>
          <w:r>
            <w:instrText xml:space="preserve"> PAGEREF _Toc30364 \h </w:instrText>
          </w:r>
          <w:r>
            <w:fldChar w:fldCharType="separate"/>
          </w:r>
          <w:r>
            <w:t>69</w:t>
          </w:r>
          <w:r>
            <w:fldChar w:fldCharType="end"/>
          </w:r>
          <w:r>
            <w:rPr>
              <w:rFonts w:ascii="Times New Roman" w:hAnsi="Times New Roman" w:eastAsia="Times New Roman" w:cs="Times New Roman"/>
              <w:szCs w:val="20"/>
            </w:rPr>
            <w:fldChar w:fldCharType="end"/>
          </w:r>
        </w:p>
        <w:p w14:paraId="48CA8AC9">
          <w:pPr>
            <w:pStyle w:val="13"/>
            <w:keepNext w:val="0"/>
            <w:keepLines w:val="0"/>
            <w:pageBreakBefore w:val="0"/>
            <w:widowControl/>
            <w:tabs>
              <w:tab w:val="right" w:leader="dot" w:pos="9175"/>
            </w:tabs>
            <w:kinsoku w:val="0"/>
            <w:wordWrap/>
            <w:overflowPunct/>
            <w:topLinePunct w:val="0"/>
            <w:autoSpaceDE w:val="0"/>
            <w:autoSpaceDN w:val="0"/>
            <w:bidi w:val="0"/>
            <w:adjustRightInd w:val="0"/>
            <w:snapToGrid w:val="0"/>
            <w:spacing w:line="480" w:lineRule="auto"/>
            <w:textAlignment w:val="baseline"/>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_Toc6002 </w:instrText>
          </w:r>
          <w:r>
            <w:rPr>
              <w:rFonts w:ascii="Times New Roman" w:hAnsi="Times New Roman" w:eastAsia="Times New Roman" w:cs="Times New Roman"/>
              <w:szCs w:val="20"/>
            </w:rPr>
            <w:fldChar w:fldCharType="separate"/>
          </w:r>
          <w:r>
            <w:rPr>
              <w:rFonts w:ascii="宋体" w:hAnsi="宋体" w:eastAsia="宋体" w:cs="宋体"/>
              <w:bCs/>
              <w:spacing w:val="-1"/>
              <w:szCs w:val="28"/>
            </w:rPr>
            <w:t>七、综合标部分证明材料</w:t>
          </w:r>
          <w:r>
            <w:tab/>
          </w:r>
          <w:r>
            <w:fldChar w:fldCharType="begin"/>
          </w:r>
          <w:r>
            <w:instrText xml:space="preserve"> PAGEREF _Toc6002 \h </w:instrText>
          </w:r>
          <w:r>
            <w:fldChar w:fldCharType="separate"/>
          </w:r>
          <w:r>
            <w:t>70</w:t>
          </w:r>
          <w:r>
            <w:fldChar w:fldCharType="end"/>
          </w:r>
          <w:r>
            <w:rPr>
              <w:rFonts w:ascii="Times New Roman" w:hAnsi="Times New Roman" w:eastAsia="Times New Roman" w:cs="Times New Roman"/>
              <w:szCs w:val="20"/>
            </w:rPr>
            <w:fldChar w:fldCharType="end"/>
          </w:r>
        </w:p>
        <w:p w14:paraId="5CFAA885">
          <w:pPr>
            <w:pStyle w:val="9"/>
            <w:keepNext w:val="0"/>
            <w:keepLines w:val="0"/>
            <w:pageBreakBefore w:val="0"/>
            <w:widowControl/>
            <w:tabs>
              <w:tab w:val="right" w:leader="dot" w:pos="9175"/>
            </w:tabs>
            <w:kinsoku w:val="0"/>
            <w:wordWrap/>
            <w:overflowPunct/>
            <w:topLinePunct w:val="0"/>
            <w:autoSpaceDE w:val="0"/>
            <w:autoSpaceDN w:val="0"/>
            <w:bidi w:val="0"/>
            <w:adjustRightInd w:val="0"/>
            <w:snapToGrid w:val="0"/>
            <w:spacing w:line="480" w:lineRule="auto"/>
            <w:textAlignment w:val="baseline"/>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_Toc17691 </w:instrText>
          </w:r>
          <w:r>
            <w:rPr>
              <w:rFonts w:ascii="Times New Roman" w:hAnsi="Times New Roman" w:eastAsia="Times New Roman" w:cs="Times New Roman"/>
              <w:szCs w:val="20"/>
            </w:rPr>
            <w:fldChar w:fldCharType="separate"/>
          </w:r>
          <w:r>
            <w:rPr>
              <w:rFonts w:ascii="宋体" w:hAnsi="宋体" w:eastAsia="宋体" w:cs="宋体"/>
              <w:bCs/>
              <w:spacing w:val="-1"/>
              <w:szCs w:val="24"/>
            </w:rPr>
            <w:t>（一）近年来完成的项目</w:t>
          </w:r>
          <w:r>
            <w:rPr>
              <w:rFonts w:hint="eastAsia" w:ascii="宋体" w:hAnsi="宋体" w:eastAsia="宋体" w:cs="宋体"/>
              <w:bCs/>
              <w:spacing w:val="-1"/>
              <w:szCs w:val="24"/>
              <w:lang w:val="en-US" w:eastAsia="zh-CN"/>
            </w:rPr>
            <w:t>业绩</w:t>
          </w:r>
          <w:r>
            <w:tab/>
          </w:r>
          <w:r>
            <w:fldChar w:fldCharType="begin"/>
          </w:r>
          <w:r>
            <w:instrText xml:space="preserve"> PAGEREF _Toc17691 \h </w:instrText>
          </w:r>
          <w:r>
            <w:fldChar w:fldCharType="separate"/>
          </w:r>
          <w:r>
            <w:t>70</w:t>
          </w:r>
          <w:r>
            <w:fldChar w:fldCharType="end"/>
          </w:r>
          <w:r>
            <w:rPr>
              <w:rFonts w:ascii="Times New Roman" w:hAnsi="Times New Roman" w:eastAsia="Times New Roman" w:cs="Times New Roman"/>
              <w:szCs w:val="20"/>
            </w:rPr>
            <w:fldChar w:fldCharType="end"/>
          </w:r>
        </w:p>
        <w:p w14:paraId="3DBC6A1E">
          <w:pPr>
            <w:pStyle w:val="9"/>
            <w:keepNext w:val="0"/>
            <w:keepLines w:val="0"/>
            <w:pageBreakBefore w:val="0"/>
            <w:widowControl/>
            <w:tabs>
              <w:tab w:val="right" w:leader="dot" w:pos="9175"/>
            </w:tabs>
            <w:kinsoku w:val="0"/>
            <w:wordWrap/>
            <w:overflowPunct/>
            <w:topLinePunct w:val="0"/>
            <w:autoSpaceDE w:val="0"/>
            <w:autoSpaceDN w:val="0"/>
            <w:bidi w:val="0"/>
            <w:adjustRightInd w:val="0"/>
            <w:snapToGrid w:val="0"/>
            <w:spacing w:line="480" w:lineRule="auto"/>
            <w:textAlignment w:val="baseline"/>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_Toc31954 </w:instrText>
          </w:r>
          <w:r>
            <w:rPr>
              <w:rFonts w:ascii="Times New Roman" w:hAnsi="Times New Roman" w:eastAsia="Times New Roman" w:cs="Times New Roman"/>
              <w:szCs w:val="20"/>
            </w:rPr>
            <w:fldChar w:fldCharType="separate"/>
          </w:r>
          <w:r>
            <w:rPr>
              <w:rFonts w:ascii="宋体" w:hAnsi="宋体" w:eastAsia="宋体" w:cs="宋体"/>
              <w:bCs/>
              <w:spacing w:val="-1"/>
              <w:szCs w:val="24"/>
            </w:rPr>
            <w:t>（</w:t>
          </w:r>
          <w:r>
            <w:rPr>
              <w:rFonts w:hint="eastAsia" w:ascii="宋体" w:hAnsi="宋体" w:eastAsia="宋体" w:cs="宋体"/>
              <w:bCs/>
              <w:spacing w:val="-1"/>
              <w:szCs w:val="24"/>
              <w:lang w:val="en-US" w:eastAsia="zh-CN"/>
            </w:rPr>
            <w:t>二</w:t>
          </w:r>
          <w:r>
            <w:rPr>
              <w:rFonts w:ascii="宋体" w:hAnsi="宋体" w:eastAsia="宋体" w:cs="宋体"/>
              <w:bCs/>
              <w:spacing w:val="-1"/>
              <w:szCs w:val="24"/>
            </w:rPr>
            <w:t>）</w:t>
          </w:r>
          <w:r>
            <w:rPr>
              <w:rFonts w:hint="eastAsia" w:ascii="宋体" w:hAnsi="宋体" w:eastAsia="宋体" w:cs="宋体"/>
              <w:bCs/>
              <w:spacing w:val="-1"/>
              <w:szCs w:val="24"/>
              <w:lang w:eastAsia="zh-CN"/>
            </w:rPr>
            <w:t>企业实力</w:t>
          </w:r>
          <w:r>
            <w:tab/>
          </w:r>
          <w:r>
            <w:fldChar w:fldCharType="begin"/>
          </w:r>
          <w:r>
            <w:instrText xml:space="preserve"> PAGEREF _Toc31954 \h </w:instrText>
          </w:r>
          <w:r>
            <w:fldChar w:fldCharType="separate"/>
          </w:r>
          <w:r>
            <w:t>70</w:t>
          </w:r>
          <w:r>
            <w:fldChar w:fldCharType="end"/>
          </w:r>
          <w:r>
            <w:rPr>
              <w:rFonts w:ascii="Times New Roman" w:hAnsi="Times New Roman" w:eastAsia="Times New Roman" w:cs="Times New Roman"/>
              <w:szCs w:val="20"/>
            </w:rPr>
            <w:fldChar w:fldCharType="end"/>
          </w:r>
        </w:p>
        <w:p w14:paraId="273E6214">
          <w:pPr>
            <w:pStyle w:val="13"/>
            <w:keepNext w:val="0"/>
            <w:keepLines w:val="0"/>
            <w:pageBreakBefore w:val="0"/>
            <w:widowControl/>
            <w:tabs>
              <w:tab w:val="right" w:leader="dot" w:pos="9175"/>
            </w:tabs>
            <w:kinsoku w:val="0"/>
            <w:wordWrap/>
            <w:overflowPunct/>
            <w:topLinePunct w:val="0"/>
            <w:autoSpaceDE w:val="0"/>
            <w:autoSpaceDN w:val="0"/>
            <w:bidi w:val="0"/>
            <w:adjustRightInd w:val="0"/>
            <w:snapToGrid w:val="0"/>
            <w:spacing w:line="480" w:lineRule="auto"/>
            <w:textAlignment w:val="baseline"/>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_Toc11 </w:instrText>
          </w:r>
          <w:r>
            <w:rPr>
              <w:rFonts w:ascii="Times New Roman" w:hAnsi="Times New Roman" w:eastAsia="Times New Roman" w:cs="Times New Roman"/>
              <w:szCs w:val="20"/>
            </w:rPr>
            <w:fldChar w:fldCharType="separate"/>
          </w:r>
          <w:r>
            <w:rPr>
              <w:rFonts w:ascii="宋体" w:hAnsi="宋体" w:eastAsia="宋体" w:cs="宋体"/>
              <w:bCs/>
              <w:spacing w:val="-1"/>
              <w:szCs w:val="28"/>
            </w:rPr>
            <w:t>八、反商业贿赂承诺书</w:t>
          </w:r>
          <w:r>
            <w:tab/>
          </w:r>
          <w:r>
            <w:fldChar w:fldCharType="begin"/>
          </w:r>
          <w:r>
            <w:instrText xml:space="preserve"> PAGEREF _Toc11 \h </w:instrText>
          </w:r>
          <w:r>
            <w:fldChar w:fldCharType="separate"/>
          </w:r>
          <w:r>
            <w:t>71</w:t>
          </w:r>
          <w:r>
            <w:fldChar w:fldCharType="end"/>
          </w:r>
          <w:r>
            <w:rPr>
              <w:rFonts w:ascii="Times New Roman" w:hAnsi="Times New Roman" w:eastAsia="Times New Roman" w:cs="Times New Roman"/>
              <w:szCs w:val="20"/>
            </w:rPr>
            <w:fldChar w:fldCharType="end"/>
          </w:r>
        </w:p>
        <w:p w14:paraId="6E834E87">
          <w:pPr>
            <w:pStyle w:val="13"/>
            <w:keepNext w:val="0"/>
            <w:keepLines w:val="0"/>
            <w:pageBreakBefore w:val="0"/>
            <w:widowControl/>
            <w:tabs>
              <w:tab w:val="right" w:leader="dot" w:pos="9175"/>
            </w:tabs>
            <w:kinsoku w:val="0"/>
            <w:wordWrap/>
            <w:overflowPunct/>
            <w:topLinePunct w:val="0"/>
            <w:autoSpaceDE w:val="0"/>
            <w:autoSpaceDN w:val="0"/>
            <w:bidi w:val="0"/>
            <w:adjustRightInd w:val="0"/>
            <w:snapToGrid w:val="0"/>
            <w:spacing w:line="480" w:lineRule="auto"/>
            <w:textAlignment w:val="baseline"/>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_Toc29171 </w:instrText>
          </w:r>
          <w:r>
            <w:rPr>
              <w:rFonts w:ascii="Times New Roman" w:hAnsi="Times New Roman" w:eastAsia="Times New Roman" w:cs="Times New Roman"/>
              <w:szCs w:val="20"/>
            </w:rPr>
            <w:fldChar w:fldCharType="separate"/>
          </w:r>
          <w:r>
            <w:rPr>
              <w:rFonts w:ascii="宋体" w:hAnsi="宋体" w:eastAsia="宋体" w:cs="宋体"/>
              <w:bCs/>
              <w:spacing w:val="-1"/>
              <w:szCs w:val="28"/>
            </w:rPr>
            <w:t>九、投标人认为需要提交的其他证明材料</w:t>
          </w:r>
          <w:r>
            <w:tab/>
          </w:r>
          <w:r>
            <w:fldChar w:fldCharType="begin"/>
          </w:r>
          <w:r>
            <w:instrText xml:space="preserve"> PAGEREF _Toc29171 \h </w:instrText>
          </w:r>
          <w:r>
            <w:fldChar w:fldCharType="separate"/>
          </w:r>
          <w:r>
            <w:t>72</w:t>
          </w:r>
          <w:r>
            <w:fldChar w:fldCharType="end"/>
          </w:r>
          <w:r>
            <w:rPr>
              <w:rFonts w:ascii="Times New Roman" w:hAnsi="Times New Roman" w:eastAsia="Times New Roman" w:cs="Times New Roman"/>
              <w:szCs w:val="20"/>
            </w:rPr>
            <w:fldChar w:fldCharType="end"/>
          </w:r>
        </w:p>
        <w:p w14:paraId="20E1A2C3">
          <w:pPr>
            <w:keepNext w:val="0"/>
            <w:keepLines w:val="0"/>
            <w:pageBreakBefore w:val="0"/>
            <w:kinsoku/>
            <w:wordWrap/>
            <w:overflowPunct/>
            <w:topLinePunct w:val="0"/>
            <w:bidi w:val="0"/>
            <w:spacing w:before="0" w:beforeLines="0" w:after="0" w:afterLines="0" w:line="240" w:lineRule="auto"/>
            <w:ind w:left="0" w:leftChars="0" w:right="0" w:rightChars="0" w:firstLine="0" w:firstLineChars="0"/>
            <w:jc w:val="center"/>
            <w:rPr>
              <w:rFonts w:ascii="Times New Roman" w:hAnsi="Times New Roman" w:eastAsia="Times New Roman" w:cs="Times New Roman"/>
              <w:snapToGrid w:val="0"/>
              <w:color w:val="000000"/>
              <w:kern w:val="0"/>
              <w:sz w:val="21"/>
              <w:szCs w:val="20"/>
              <w:lang w:val="en-US" w:eastAsia="en-US" w:bidi="ar-SA"/>
            </w:rPr>
          </w:pPr>
          <w:r>
            <w:rPr>
              <w:rFonts w:ascii="Times New Roman" w:hAnsi="Times New Roman" w:eastAsia="Times New Roman" w:cs="Times New Roman"/>
              <w:szCs w:val="20"/>
            </w:rPr>
            <w:fldChar w:fldCharType="end"/>
          </w:r>
        </w:p>
      </w:sdtContent>
    </w:sdt>
    <w:p w14:paraId="3E5D6E84">
      <w:pPr>
        <w:keepNext w:val="0"/>
        <w:keepLines w:val="0"/>
        <w:pageBreakBefore w:val="0"/>
        <w:kinsoku/>
        <w:wordWrap/>
        <w:overflowPunct/>
        <w:topLinePunct w:val="0"/>
        <w:bidi w:val="0"/>
        <w:spacing w:before="200" w:line="225" w:lineRule="auto"/>
        <w:ind w:left="3937"/>
        <w:outlineLvl w:val="0"/>
        <w:rPr>
          <w:rFonts w:ascii="宋体" w:hAnsi="宋体" w:eastAsia="宋体" w:cs="宋体"/>
          <w:sz w:val="31"/>
          <w:szCs w:val="31"/>
        </w:rPr>
      </w:pPr>
      <w:bookmarkStart w:id="2" w:name="_Toc16490"/>
      <w:bookmarkStart w:id="3" w:name="_Toc28310"/>
      <w:r>
        <w:rPr>
          <w:rFonts w:ascii="宋体" w:hAnsi="宋体" w:eastAsia="宋体" w:cs="宋体"/>
          <w:b/>
          <w:bCs/>
          <w:spacing w:val="6"/>
          <w:sz w:val="31"/>
          <w:szCs w:val="31"/>
        </w:rPr>
        <w:br w:type="page"/>
      </w:r>
      <w:r>
        <w:rPr>
          <w:rFonts w:ascii="宋体" w:hAnsi="宋体" w:eastAsia="宋体" w:cs="宋体"/>
          <w:b/>
          <w:bCs/>
          <w:spacing w:val="6"/>
          <w:sz w:val="31"/>
          <w:szCs w:val="31"/>
        </w:rPr>
        <w:t>特别提示</w:t>
      </w:r>
      <w:bookmarkEnd w:id="2"/>
      <w:bookmarkEnd w:id="3"/>
    </w:p>
    <w:p w14:paraId="09881AB2">
      <w:pPr>
        <w:keepNext w:val="0"/>
        <w:keepLines w:val="0"/>
        <w:pageBreakBefore w:val="0"/>
        <w:kinsoku/>
        <w:wordWrap/>
        <w:overflowPunct/>
        <w:topLinePunct w:val="0"/>
        <w:bidi w:val="0"/>
        <w:spacing w:before="129" w:line="227" w:lineRule="auto"/>
        <w:ind w:left="444"/>
        <w:rPr>
          <w:rFonts w:ascii="宋体" w:hAnsi="宋体" w:eastAsia="宋体" w:cs="宋体"/>
          <w:sz w:val="20"/>
          <w:szCs w:val="20"/>
        </w:rPr>
      </w:pPr>
      <w:r>
        <w:rPr>
          <w:rFonts w:ascii="宋体" w:hAnsi="宋体" w:eastAsia="宋体" w:cs="宋体"/>
          <w:b/>
          <w:bCs/>
          <w:spacing w:val="5"/>
          <w:sz w:val="20"/>
          <w:szCs w:val="20"/>
        </w:rPr>
        <w:t>1、供应商或投标人注册</w:t>
      </w:r>
    </w:p>
    <w:p w14:paraId="268F31C5">
      <w:pPr>
        <w:keepNext w:val="0"/>
        <w:keepLines w:val="0"/>
        <w:pageBreakBefore w:val="0"/>
        <w:kinsoku/>
        <w:wordWrap/>
        <w:overflowPunct/>
        <w:topLinePunct w:val="0"/>
        <w:bidi w:val="0"/>
        <w:spacing w:before="130" w:line="372" w:lineRule="auto"/>
        <w:ind w:left="1" w:right="133" w:firstLine="427"/>
        <w:jc w:val="both"/>
        <w:rPr>
          <w:rFonts w:ascii="宋体" w:hAnsi="宋体" w:eastAsia="宋体" w:cs="宋体"/>
          <w:sz w:val="20"/>
          <w:szCs w:val="20"/>
        </w:rPr>
      </w:pPr>
      <w:r>
        <w:rPr>
          <w:rFonts w:ascii="宋体" w:hAnsi="宋体" w:eastAsia="宋体" w:cs="宋体"/>
          <w:spacing w:val="8"/>
          <w:sz w:val="20"/>
          <w:szCs w:val="20"/>
        </w:rPr>
        <w:t>供应商或投标人首先通过“河南省公共资源交易中心（</w:t>
      </w:r>
      <w:r>
        <w:fldChar w:fldCharType="begin"/>
      </w:r>
      <w:r>
        <w:instrText xml:space="preserve"> HYPERLINK "http://www.hnggzy.com）" </w:instrText>
      </w:r>
      <w:r>
        <w:fldChar w:fldCharType="separate"/>
      </w:r>
      <w:r>
        <w:rPr>
          <w:rFonts w:ascii="宋体" w:hAnsi="宋体" w:eastAsia="宋体" w:cs="宋体"/>
          <w:sz w:val="20"/>
          <w:szCs w:val="20"/>
        </w:rPr>
        <w:t>http</w:t>
      </w:r>
      <w:r>
        <w:rPr>
          <w:rFonts w:ascii="宋体" w:hAnsi="宋体" w:eastAsia="宋体" w:cs="宋体"/>
          <w:spacing w:val="8"/>
          <w:sz w:val="20"/>
          <w:szCs w:val="20"/>
        </w:rPr>
        <w:t>://</w:t>
      </w:r>
      <w:r>
        <w:rPr>
          <w:rFonts w:ascii="宋体" w:hAnsi="宋体" w:eastAsia="宋体" w:cs="宋体"/>
          <w:sz w:val="20"/>
          <w:szCs w:val="20"/>
        </w:rPr>
        <w:t>hn</w:t>
      </w:r>
      <w:r>
        <w:rPr>
          <w:rFonts w:ascii="宋体" w:hAnsi="宋体" w:eastAsia="宋体" w:cs="宋体"/>
          <w:spacing w:val="-68"/>
          <w:sz w:val="20"/>
          <w:szCs w:val="20"/>
        </w:rPr>
        <w:t xml:space="preserve"> </w:t>
      </w:r>
      <w:r>
        <w:rPr>
          <w:rFonts w:ascii="宋体" w:hAnsi="宋体" w:eastAsia="宋体" w:cs="宋体"/>
          <w:sz w:val="20"/>
          <w:szCs w:val="20"/>
        </w:rPr>
        <w:t>sggzy</w:t>
      </w:r>
      <w:r>
        <w:rPr>
          <w:rFonts w:ascii="宋体" w:hAnsi="宋体" w:eastAsia="宋体" w:cs="宋体"/>
          <w:spacing w:val="-82"/>
          <w:sz w:val="20"/>
          <w:szCs w:val="20"/>
        </w:rPr>
        <w:t xml:space="preserve"> </w:t>
      </w:r>
      <w:r>
        <w:rPr>
          <w:rFonts w:ascii="宋体" w:hAnsi="宋体" w:eastAsia="宋体" w:cs="宋体"/>
          <w:sz w:val="20"/>
          <w:szCs w:val="20"/>
        </w:rPr>
        <w:t>jy</w:t>
      </w:r>
      <w:r>
        <w:rPr>
          <w:rFonts w:ascii="宋体" w:hAnsi="宋体" w:eastAsia="宋体" w:cs="宋体"/>
          <w:spacing w:val="8"/>
          <w:sz w:val="20"/>
          <w:szCs w:val="20"/>
        </w:rPr>
        <w:t>.</w:t>
      </w:r>
      <w:r>
        <w:rPr>
          <w:rFonts w:ascii="宋体" w:hAnsi="宋体" w:eastAsia="宋体" w:cs="宋体"/>
          <w:sz w:val="20"/>
          <w:szCs w:val="20"/>
        </w:rPr>
        <w:t>henan</w:t>
      </w:r>
      <w:r>
        <w:rPr>
          <w:rFonts w:ascii="宋体" w:hAnsi="宋体" w:eastAsia="宋体" w:cs="宋体"/>
          <w:spacing w:val="8"/>
          <w:sz w:val="20"/>
          <w:szCs w:val="20"/>
        </w:rPr>
        <w:t>.</w:t>
      </w:r>
      <w:r>
        <w:rPr>
          <w:rFonts w:ascii="宋体" w:hAnsi="宋体" w:eastAsia="宋体" w:cs="宋体"/>
          <w:sz w:val="20"/>
          <w:szCs w:val="20"/>
        </w:rPr>
        <w:t>gov</w:t>
      </w:r>
      <w:r>
        <w:rPr>
          <w:rFonts w:ascii="宋体" w:hAnsi="宋体" w:eastAsia="宋体" w:cs="宋体"/>
          <w:spacing w:val="8"/>
          <w:sz w:val="20"/>
          <w:szCs w:val="20"/>
        </w:rPr>
        <w:t>.</w:t>
      </w:r>
      <w:r>
        <w:rPr>
          <w:rFonts w:ascii="宋体" w:hAnsi="宋体" w:eastAsia="宋体" w:cs="宋体"/>
          <w:sz w:val="20"/>
          <w:szCs w:val="20"/>
        </w:rPr>
        <w:t>cn</w:t>
      </w:r>
      <w:r>
        <w:rPr>
          <w:rFonts w:ascii="宋体" w:hAnsi="宋体" w:eastAsia="宋体" w:cs="宋体"/>
          <w:spacing w:val="8"/>
          <w:sz w:val="20"/>
          <w:szCs w:val="20"/>
        </w:rPr>
        <w:t>/）”网</w:t>
      </w:r>
      <w:r>
        <w:rPr>
          <w:rFonts w:ascii="宋体" w:hAnsi="宋体" w:eastAsia="宋体" w:cs="宋体"/>
          <w:spacing w:val="8"/>
          <w:sz w:val="20"/>
          <w:szCs w:val="20"/>
        </w:rPr>
        <w:fldChar w:fldCharType="end"/>
      </w:r>
      <w:r>
        <w:fldChar w:fldCharType="begin"/>
      </w:r>
      <w:r>
        <w:instrText xml:space="preserve"> HYPERLINK "http://www.hnggzy.com）" </w:instrText>
      </w:r>
      <w:r>
        <w:fldChar w:fldCharType="separate"/>
      </w:r>
      <w:r>
        <w:rPr>
          <w:rFonts w:ascii="宋体" w:hAnsi="宋体" w:eastAsia="宋体" w:cs="宋体"/>
          <w:spacing w:val="12"/>
          <w:sz w:val="20"/>
          <w:szCs w:val="20"/>
        </w:rPr>
        <w:t>站进行</w:t>
      </w:r>
      <w:r>
        <w:rPr>
          <w:rFonts w:ascii="宋体" w:hAnsi="宋体" w:eastAsia="宋体" w:cs="宋体"/>
          <w:spacing w:val="12"/>
          <w:sz w:val="20"/>
          <w:szCs w:val="20"/>
        </w:rPr>
        <w:fldChar w:fldCharType="end"/>
      </w:r>
      <w:r>
        <w:rPr>
          <w:rFonts w:ascii="宋体" w:hAnsi="宋体" w:eastAsia="宋体" w:cs="宋体"/>
          <w:spacing w:val="12"/>
          <w:sz w:val="20"/>
          <w:szCs w:val="20"/>
        </w:rPr>
        <w:t>注册，然后按网站公共服务（办事指南及下载</w:t>
      </w:r>
      <w:r>
        <w:rPr>
          <w:rFonts w:ascii="宋体" w:hAnsi="宋体" w:eastAsia="宋体" w:cs="宋体"/>
          <w:spacing w:val="11"/>
          <w:sz w:val="20"/>
          <w:szCs w:val="20"/>
        </w:rPr>
        <w:t>专区）公共资源项目</w:t>
      </w:r>
      <w:r>
        <w:rPr>
          <w:rFonts w:ascii="宋体" w:hAnsi="宋体" w:eastAsia="宋体" w:cs="宋体"/>
          <w:sz w:val="20"/>
          <w:szCs w:val="20"/>
        </w:rPr>
        <w:t>CA</w:t>
      </w:r>
      <w:r>
        <w:rPr>
          <w:rFonts w:ascii="宋体" w:hAnsi="宋体" w:eastAsia="宋体" w:cs="宋体"/>
          <w:spacing w:val="-36"/>
          <w:sz w:val="20"/>
          <w:szCs w:val="20"/>
        </w:rPr>
        <w:t xml:space="preserve"> </w:t>
      </w:r>
      <w:r>
        <w:rPr>
          <w:rFonts w:ascii="宋体" w:hAnsi="宋体" w:eastAsia="宋体" w:cs="宋体"/>
          <w:spacing w:val="11"/>
          <w:sz w:val="20"/>
          <w:szCs w:val="20"/>
        </w:rPr>
        <w:t>办理流程准备齐注册资</w:t>
      </w:r>
      <w:r>
        <w:rPr>
          <w:rFonts w:ascii="宋体" w:hAnsi="宋体" w:eastAsia="宋体" w:cs="宋体"/>
          <w:spacing w:val="8"/>
          <w:sz w:val="20"/>
          <w:szCs w:val="20"/>
        </w:rPr>
        <w:t>料，最后到</w:t>
      </w:r>
      <w:r>
        <w:rPr>
          <w:rFonts w:ascii="宋体" w:hAnsi="宋体" w:eastAsia="宋体" w:cs="宋体"/>
          <w:spacing w:val="-41"/>
          <w:sz w:val="20"/>
          <w:szCs w:val="20"/>
        </w:rPr>
        <w:t xml:space="preserve"> </w:t>
      </w:r>
      <w:r>
        <w:rPr>
          <w:rFonts w:ascii="宋体" w:hAnsi="宋体" w:eastAsia="宋体" w:cs="宋体"/>
          <w:sz w:val="20"/>
          <w:szCs w:val="20"/>
        </w:rPr>
        <w:t>CA</w:t>
      </w:r>
      <w:r>
        <w:rPr>
          <w:rFonts w:ascii="宋体" w:hAnsi="宋体" w:eastAsia="宋体" w:cs="宋体"/>
          <w:spacing w:val="-31"/>
          <w:sz w:val="20"/>
          <w:szCs w:val="20"/>
        </w:rPr>
        <w:t xml:space="preserve"> </w:t>
      </w:r>
      <w:r>
        <w:rPr>
          <w:rFonts w:ascii="宋体" w:hAnsi="宋体" w:eastAsia="宋体" w:cs="宋体"/>
          <w:spacing w:val="8"/>
          <w:sz w:val="20"/>
          <w:szCs w:val="20"/>
        </w:rPr>
        <w:t xml:space="preserve">公司办理 </w:t>
      </w:r>
      <w:r>
        <w:rPr>
          <w:rFonts w:ascii="宋体" w:hAnsi="宋体" w:eastAsia="宋体" w:cs="宋体"/>
          <w:sz w:val="20"/>
          <w:szCs w:val="20"/>
        </w:rPr>
        <w:t>CA</w:t>
      </w:r>
      <w:r>
        <w:rPr>
          <w:rFonts w:ascii="宋体" w:hAnsi="宋体" w:eastAsia="宋体" w:cs="宋体"/>
          <w:spacing w:val="-40"/>
          <w:sz w:val="20"/>
          <w:szCs w:val="20"/>
        </w:rPr>
        <w:t xml:space="preserve"> </w:t>
      </w:r>
      <w:r>
        <w:rPr>
          <w:rFonts w:ascii="宋体" w:hAnsi="宋体" w:eastAsia="宋体" w:cs="宋体"/>
          <w:spacing w:val="8"/>
          <w:sz w:val="20"/>
          <w:szCs w:val="20"/>
        </w:rPr>
        <w:t>密钥，完成注册。</w:t>
      </w:r>
    </w:p>
    <w:p w14:paraId="4A3ECEF2">
      <w:pPr>
        <w:keepNext w:val="0"/>
        <w:keepLines w:val="0"/>
        <w:pageBreakBefore w:val="0"/>
        <w:kinsoku/>
        <w:wordWrap/>
        <w:overflowPunct/>
        <w:topLinePunct w:val="0"/>
        <w:bidi w:val="0"/>
        <w:spacing w:before="48" w:line="228" w:lineRule="auto"/>
        <w:ind w:left="431"/>
        <w:rPr>
          <w:rFonts w:ascii="宋体" w:hAnsi="宋体" w:eastAsia="宋体" w:cs="宋体"/>
          <w:sz w:val="20"/>
          <w:szCs w:val="20"/>
        </w:rPr>
      </w:pPr>
      <w:r>
        <w:rPr>
          <w:rFonts w:ascii="宋体" w:hAnsi="宋体" w:eastAsia="宋体" w:cs="宋体"/>
          <w:b/>
          <w:bCs/>
          <w:spacing w:val="6"/>
          <w:sz w:val="20"/>
          <w:szCs w:val="20"/>
        </w:rPr>
        <w:t>2、投标文件制作</w:t>
      </w:r>
    </w:p>
    <w:p w14:paraId="09D5A5D0">
      <w:pPr>
        <w:keepNext w:val="0"/>
        <w:keepLines w:val="0"/>
        <w:pageBreakBefore w:val="0"/>
        <w:kinsoku/>
        <w:wordWrap/>
        <w:overflowPunct/>
        <w:topLinePunct w:val="0"/>
        <w:bidi w:val="0"/>
        <w:spacing w:before="162" w:line="377" w:lineRule="auto"/>
        <w:ind w:left="1" w:right="133" w:firstLine="429"/>
        <w:rPr>
          <w:rFonts w:ascii="宋体" w:hAnsi="宋体" w:eastAsia="宋体" w:cs="宋体"/>
          <w:sz w:val="20"/>
          <w:szCs w:val="20"/>
        </w:rPr>
      </w:pPr>
      <w:r>
        <w:rPr>
          <w:rFonts w:ascii="宋体" w:hAnsi="宋体" w:eastAsia="宋体" w:cs="宋体"/>
          <w:spacing w:val="9"/>
          <w:sz w:val="20"/>
          <w:szCs w:val="20"/>
        </w:rPr>
        <w:t>2.1</w:t>
      </w:r>
      <w:r>
        <w:rPr>
          <w:rFonts w:ascii="宋体" w:hAnsi="宋体" w:eastAsia="宋体" w:cs="宋体"/>
          <w:spacing w:val="-26"/>
          <w:sz w:val="20"/>
          <w:szCs w:val="20"/>
        </w:rPr>
        <w:t xml:space="preserve"> </w:t>
      </w:r>
      <w:r>
        <w:rPr>
          <w:rFonts w:ascii="宋体" w:hAnsi="宋体" w:eastAsia="宋体" w:cs="宋体"/>
          <w:spacing w:val="9"/>
          <w:sz w:val="20"/>
          <w:szCs w:val="20"/>
        </w:rPr>
        <w:t>供应商或投标人通过“河南省公共资源交易中心（</w:t>
      </w:r>
      <w:r>
        <w:fldChar w:fldCharType="begin"/>
      </w:r>
      <w:r>
        <w:instrText xml:space="preserve"> HYPERLINK "http://hnsggzyjy.henan.gov.cn/" </w:instrText>
      </w:r>
      <w:r>
        <w:fldChar w:fldCharType="separate"/>
      </w:r>
      <w:r>
        <w:rPr>
          <w:rFonts w:ascii="宋体" w:hAnsi="宋体" w:eastAsia="宋体" w:cs="宋体"/>
          <w:sz w:val="20"/>
          <w:szCs w:val="20"/>
        </w:rPr>
        <w:t>http</w:t>
      </w:r>
      <w:r>
        <w:rPr>
          <w:rFonts w:ascii="宋体" w:hAnsi="宋体" w:eastAsia="宋体" w:cs="宋体"/>
          <w:spacing w:val="9"/>
          <w:sz w:val="20"/>
          <w:szCs w:val="20"/>
        </w:rPr>
        <w:t>://</w:t>
      </w:r>
      <w:r>
        <w:rPr>
          <w:rFonts w:ascii="宋体" w:hAnsi="宋体" w:eastAsia="宋体" w:cs="宋体"/>
          <w:sz w:val="20"/>
          <w:szCs w:val="20"/>
        </w:rPr>
        <w:t>hnsggzyjy</w:t>
      </w:r>
      <w:r>
        <w:rPr>
          <w:rFonts w:ascii="宋体" w:hAnsi="宋体" w:eastAsia="宋体" w:cs="宋体"/>
          <w:spacing w:val="9"/>
          <w:sz w:val="20"/>
          <w:szCs w:val="20"/>
        </w:rPr>
        <w:t>.</w:t>
      </w:r>
      <w:r>
        <w:rPr>
          <w:rFonts w:ascii="宋体" w:hAnsi="宋体" w:eastAsia="宋体" w:cs="宋体"/>
          <w:sz w:val="20"/>
          <w:szCs w:val="20"/>
        </w:rPr>
        <w:t>henan</w:t>
      </w:r>
      <w:r>
        <w:rPr>
          <w:rFonts w:ascii="宋体" w:hAnsi="宋体" w:eastAsia="宋体" w:cs="宋体"/>
          <w:spacing w:val="9"/>
          <w:sz w:val="20"/>
          <w:szCs w:val="20"/>
        </w:rPr>
        <w:t>.</w:t>
      </w:r>
      <w:r>
        <w:rPr>
          <w:rFonts w:ascii="宋体" w:hAnsi="宋体" w:eastAsia="宋体" w:cs="宋体"/>
          <w:sz w:val="20"/>
          <w:szCs w:val="20"/>
        </w:rPr>
        <w:t>gov</w:t>
      </w:r>
      <w:r>
        <w:rPr>
          <w:rFonts w:ascii="宋体" w:hAnsi="宋体" w:eastAsia="宋体" w:cs="宋体"/>
          <w:spacing w:val="9"/>
          <w:sz w:val="20"/>
          <w:szCs w:val="20"/>
        </w:rPr>
        <w:t>.</w:t>
      </w:r>
      <w:r>
        <w:rPr>
          <w:rFonts w:ascii="宋体" w:hAnsi="宋体" w:eastAsia="宋体" w:cs="宋体"/>
          <w:sz w:val="20"/>
          <w:szCs w:val="20"/>
        </w:rPr>
        <w:t>cn</w:t>
      </w:r>
      <w:r>
        <w:rPr>
          <w:rFonts w:ascii="宋体" w:hAnsi="宋体" w:eastAsia="宋体" w:cs="宋体"/>
          <w:spacing w:val="9"/>
          <w:sz w:val="20"/>
          <w:szCs w:val="20"/>
        </w:rPr>
        <w:t>/</w:t>
      </w:r>
      <w:r>
        <w:rPr>
          <w:rFonts w:ascii="宋体" w:hAnsi="宋体" w:eastAsia="宋体" w:cs="宋体"/>
          <w:spacing w:val="9"/>
          <w:sz w:val="20"/>
          <w:szCs w:val="20"/>
        </w:rPr>
        <w:fldChar w:fldCharType="end"/>
      </w:r>
      <w:r>
        <w:rPr>
          <w:rFonts w:ascii="宋体" w:hAnsi="宋体" w:eastAsia="宋体" w:cs="宋体"/>
          <w:spacing w:val="9"/>
          <w:sz w:val="20"/>
          <w:szCs w:val="20"/>
        </w:rPr>
        <w:t>）</w:t>
      </w:r>
      <w:r>
        <w:rPr>
          <w:rFonts w:ascii="宋体" w:hAnsi="宋体" w:eastAsia="宋体" w:cs="宋体"/>
          <w:spacing w:val="-70"/>
          <w:sz w:val="20"/>
          <w:szCs w:val="20"/>
        </w:rPr>
        <w:t xml:space="preserve"> </w:t>
      </w:r>
      <w:r>
        <w:rPr>
          <w:rFonts w:ascii="宋体" w:hAnsi="宋体" w:eastAsia="宋体" w:cs="宋体"/>
          <w:spacing w:val="9"/>
          <w:sz w:val="20"/>
          <w:szCs w:val="20"/>
        </w:rPr>
        <w:t>”具</w:t>
      </w:r>
      <w:r>
        <w:rPr>
          <w:rFonts w:ascii="宋体" w:hAnsi="宋体" w:eastAsia="宋体" w:cs="宋体"/>
          <w:spacing w:val="7"/>
          <w:sz w:val="20"/>
          <w:szCs w:val="20"/>
        </w:rPr>
        <w:t>体办理事宜请查阅河南省公共资源交易中心网站“办事指南</w:t>
      </w:r>
      <w:r>
        <w:rPr>
          <w:rFonts w:ascii="宋体" w:hAnsi="宋体" w:eastAsia="宋体" w:cs="宋体"/>
          <w:spacing w:val="-59"/>
          <w:sz w:val="20"/>
          <w:szCs w:val="20"/>
        </w:rPr>
        <w:t xml:space="preserve"> </w:t>
      </w:r>
      <w:r>
        <w:rPr>
          <w:rFonts w:ascii="宋体" w:hAnsi="宋体" w:eastAsia="宋体" w:cs="宋体"/>
          <w:spacing w:val="7"/>
          <w:sz w:val="20"/>
          <w:szCs w:val="20"/>
        </w:rPr>
        <w:t>”专区的“新交易平台使用手册（培训资</w:t>
      </w:r>
      <w:r>
        <w:rPr>
          <w:rFonts w:ascii="宋体" w:hAnsi="宋体" w:eastAsia="宋体" w:cs="宋体"/>
          <w:spacing w:val="9"/>
          <w:sz w:val="20"/>
          <w:szCs w:val="20"/>
        </w:rPr>
        <w:t>料）</w:t>
      </w:r>
      <w:r>
        <w:rPr>
          <w:rFonts w:ascii="宋体" w:hAnsi="宋体" w:eastAsia="宋体" w:cs="宋体"/>
          <w:spacing w:val="-61"/>
          <w:sz w:val="20"/>
          <w:szCs w:val="20"/>
        </w:rPr>
        <w:t xml:space="preserve"> </w:t>
      </w:r>
      <w:r>
        <w:rPr>
          <w:rFonts w:ascii="宋体" w:hAnsi="宋体" w:eastAsia="宋体" w:cs="宋体"/>
          <w:spacing w:val="9"/>
          <w:sz w:val="20"/>
          <w:szCs w:val="20"/>
        </w:rPr>
        <w:t>”中的《河南省公共资源“智慧交易</w:t>
      </w:r>
      <w:r>
        <w:rPr>
          <w:rFonts w:ascii="宋体" w:hAnsi="宋体" w:eastAsia="宋体" w:cs="宋体"/>
          <w:spacing w:val="-70"/>
          <w:sz w:val="20"/>
          <w:szCs w:val="20"/>
        </w:rPr>
        <w:t xml:space="preserve"> </w:t>
      </w:r>
      <w:r>
        <w:rPr>
          <w:rFonts w:ascii="宋体" w:hAnsi="宋体" w:eastAsia="宋体" w:cs="宋体"/>
          <w:spacing w:val="9"/>
          <w:sz w:val="20"/>
          <w:szCs w:val="20"/>
        </w:rPr>
        <w:t>”平台-市场主体信息</w:t>
      </w:r>
      <w:r>
        <w:rPr>
          <w:rFonts w:ascii="宋体" w:hAnsi="宋体" w:eastAsia="宋体" w:cs="宋体"/>
          <w:spacing w:val="8"/>
          <w:sz w:val="20"/>
          <w:szCs w:val="20"/>
        </w:rPr>
        <w:t>管理操作手册》到河南省公共资源交易中心网站—公共服务—下载专区栏目下载最新版本的投标文件制作工具安装包，并使用安装</w:t>
      </w:r>
      <w:r>
        <w:rPr>
          <w:rFonts w:ascii="宋体" w:hAnsi="宋体" w:eastAsia="宋体" w:cs="宋体"/>
          <w:spacing w:val="7"/>
          <w:sz w:val="20"/>
          <w:szCs w:val="20"/>
        </w:rPr>
        <w:t>后的最</w:t>
      </w:r>
      <w:r>
        <w:rPr>
          <w:rFonts w:ascii="宋体" w:hAnsi="宋体" w:eastAsia="宋体" w:cs="宋体"/>
          <w:spacing w:val="9"/>
          <w:sz w:val="20"/>
          <w:szCs w:val="20"/>
        </w:rPr>
        <w:t>新版本投标文件制作工具制作电子投标文件。</w:t>
      </w:r>
    </w:p>
    <w:p w14:paraId="08850263">
      <w:pPr>
        <w:keepNext w:val="0"/>
        <w:keepLines w:val="0"/>
        <w:pageBreakBefore w:val="0"/>
        <w:kinsoku/>
        <w:wordWrap/>
        <w:overflowPunct/>
        <w:topLinePunct w:val="0"/>
        <w:bidi w:val="0"/>
        <w:spacing w:before="1" w:line="376" w:lineRule="auto"/>
        <w:ind w:right="133" w:firstLine="430"/>
        <w:rPr>
          <w:rFonts w:ascii="宋体" w:hAnsi="宋体" w:eastAsia="宋体" w:cs="宋体"/>
          <w:sz w:val="20"/>
          <w:szCs w:val="20"/>
        </w:rPr>
      </w:pPr>
      <w:r>
        <w:rPr>
          <w:rFonts w:ascii="宋体" w:hAnsi="宋体" w:eastAsia="宋体" w:cs="宋体"/>
          <w:spacing w:val="11"/>
          <w:sz w:val="20"/>
          <w:szCs w:val="20"/>
        </w:rPr>
        <w:t>2.2</w:t>
      </w:r>
      <w:r>
        <w:rPr>
          <w:rFonts w:ascii="宋体" w:hAnsi="宋体" w:eastAsia="宋体" w:cs="宋体"/>
          <w:spacing w:val="-41"/>
          <w:sz w:val="20"/>
          <w:szCs w:val="20"/>
        </w:rPr>
        <w:t xml:space="preserve"> </w:t>
      </w:r>
      <w:r>
        <w:rPr>
          <w:rFonts w:ascii="宋体" w:hAnsi="宋体" w:eastAsia="宋体" w:cs="宋体"/>
          <w:spacing w:val="11"/>
          <w:sz w:val="20"/>
          <w:szCs w:val="20"/>
        </w:rPr>
        <w:t>供应商或投标人凭</w:t>
      </w:r>
      <w:r>
        <w:rPr>
          <w:rFonts w:ascii="宋体" w:hAnsi="宋体" w:eastAsia="宋体" w:cs="宋体"/>
          <w:spacing w:val="-36"/>
          <w:sz w:val="20"/>
          <w:szCs w:val="20"/>
        </w:rPr>
        <w:t xml:space="preserve"> </w:t>
      </w:r>
      <w:r>
        <w:rPr>
          <w:rFonts w:ascii="宋体" w:hAnsi="宋体" w:eastAsia="宋体" w:cs="宋体"/>
          <w:sz w:val="20"/>
          <w:szCs w:val="20"/>
        </w:rPr>
        <w:t>CA</w:t>
      </w:r>
      <w:r>
        <w:rPr>
          <w:rFonts w:ascii="宋体" w:hAnsi="宋体" w:eastAsia="宋体" w:cs="宋体"/>
          <w:spacing w:val="-37"/>
          <w:sz w:val="20"/>
          <w:szCs w:val="20"/>
        </w:rPr>
        <w:t xml:space="preserve"> </w:t>
      </w:r>
      <w:r>
        <w:rPr>
          <w:rFonts w:ascii="宋体" w:hAnsi="宋体" w:eastAsia="宋体" w:cs="宋体"/>
          <w:spacing w:val="11"/>
          <w:sz w:val="20"/>
          <w:szCs w:val="20"/>
        </w:rPr>
        <w:t>密钥登录,并按网上提示自</w:t>
      </w:r>
      <w:r>
        <w:rPr>
          <w:rFonts w:ascii="宋体" w:hAnsi="宋体" w:eastAsia="宋体" w:cs="宋体"/>
          <w:spacing w:val="10"/>
          <w:sz w:val="20"/>
          <w:szCs w:val="20"/>
        </w:rPr>
        <w:t>行下载每个项目所含格式(.</w:t>
      </w:r>
      <w:r>
        <w:rPr>
          <w:rFonts w:ascii="宋体" w:hAnsi="宋体" w:eastAsia="宋体" w:cs="宋体"/>
          <w:sz w:val="20"/>
          <w:szCs w:val="20"/>
        </w:rPr>
        <w:t>hnzf</w:t>
      </w:r>
      <w:r>
        <w:rPr>
          <w:rFonts w:ascii="宋体" w:hAnsi="宋体" w:eastAsia="宋体" w:cs="宋体"/>
          <w:spacing w:val="10"/>
          <w:sz w:val="20"/>
          <w:szCs w:val="20"/>
        </w:rPr>
        <w:t>)的招标文</w:t>
      </w:r>
      <w:r>
        <w:rPr>
          <w:rFonts w:ascii="宋体" w:hAnsi="宋体" w:eastAsia="宋体" w:cs="宋体"/>
          <w:sz w:val="20"/>
          <w:szCs w:val="20"/>
        </w:rPr>
        <w:t>件。</w:t>
      </w:r>
    </w:p>
    <w:p w14:paraId="5B554607">
      <w:pPr>
        <w:keepNext w:val="0"/>
        <w:keepLines w:val="0"/>
        <w:pageBreakBefore w:val="0"/>
        <w:kinsoku/>
        <w:wordWrap/>
        <w:overflowPunct/>
        <w:topLinePunct w:val="0"/>
        <w:bidi w:val="0"/>
        <w:spacing w:before="1" w:line="226" w:lineRule="auto"/>
        <w:ind w:left="431"/>
        <w:rPr>
          <w:rFonts w:ascii="宋体" w:hAnsi="宋体" w:eastAsia="宋体" w:cs="宋体"/>
          <w:sz w:val="20"/>
          <w:szCs w:val="20"/>
        </w:rPr>
      </w:pPr>
      <w:r>
        <w:rPr>
          <w:rFonts w:ascii="宋体" w:hAnsi="宋体" w:eastAsia="宋体" w:cs="宋体"/>
          <w:spacing w:val="8"/>
          <w:sz w:val="20"/>
          <w:szCs w:val="20"/>
        </w:rPr>
        <w:t>2.3</w:t>
      </w:r>
      <w:r>
        <w:rPr>
          <w:rFonts w:ascii="宋体" w:hAnsi="宋体" w:eastAsia="宋体" w:cs="宋体"/>
          <w:spacing w:val="-30"/>
          <w:sz w:val="20"/>
          <w:szCs w:val="20"/>
        </w:rPr>
        <w:t xml:space="preserve"> </w:t>
      </w:r>
      <w:r>
        <w:rPr>
          <w:rFonts w:ascii="宋体" w:hAnsi="宋体" w:eastAsia="宋体" w:cs="宋体"/>
          <w:spacing w:val="8"/>
          <w:sz w:val="20"/>
          <w:szCs w:val="20"/>
        </w:rPr>
        <w:t>供应商或投标人须在投标文件递交截止时间前制作并提交：</w:t>
      </w:r>
    </w:p>
    <w:p w14:paraId="54D1F151">
      <w:pPr>
        <w:keepNext w:val="0"/>
        <w:keepLines w:val="0"/>
        <w:pageBreakBefore w:val="0"/>
        <w:kinsoku/>
        <w:wordWrap/>
        <w:overflowPunct/>
        <w:topLinePunct w:val="0"/>
        <w:bidi w:val="0"/>
        <w:spacing w:before="163" w:line="377" w:lineRule="auto"/>
        <w:ind w:left="11" w:right="133" w:firstLine="417"/>
        <w:rPr>
          <w:rFonts w:ascii="宋体" w:hAnsi="宋体" w:eastAsia="宋体" w:cs="宋体"/>
          <w:sz w:val="20"/>
          <w:szCs w:val="20"/>
        </w:rPr>
      </w:pPr>
      <w:r>
        <w:rPr>
          <w:rFonts w:ascii="宋体" w:hAnsi="宋体" w:eastAsia="宋体" w:cs="宋体"/>
          <w:spacing w:val="9"/>
          <w:sz w:val="20"/>
          <w:szCs w:val="20"/>
        </w:rPr>
        <w:t>加密的电子投标文件（*.</w:t>
      </w:r>
      <w:r>
        <w:rPr>
          <w:rFonts w:ascii="宋体" w:hAnsi="宋体" w:eastAsia="宋体" w:cs="宋体"/>
          <w:sz w:val="20"/>
          <w:szCs w:val="20"/>
        </w:rPr>
        <w:t>hntf</w:t>
      </w:r>
      <w:r>
        <w:rPr>
          <w:rFonts w:ascii="宋体" w:hAnsi="宋体" w:eastAsia="宋体" w:cs="宋体"/>
          <w:spacing w:val="-40"/>
          <w:sz w:val="20"/>
          <w:szCs w:val="20"/>
        </w:rPr>
        <w:t xml:space="preserve"> </w:t>
      </w:r>
      <w:r>
        <w:rPr>
          <w:rFonts w:ascii="宋体" w:hAnsi="宋体" w:eastAsia="宋体" w:cs="宋体"/>
          <w:spacing w:val="9"/>
          <w:sz w:val="20"/>
          <w:szCs w:val="20"/>
        </w:rPr>
        <w:t>格式）,应在投标文件截止时间前通过“河南省公</w:t>
      </w:r>
      <w:r>
        <w:rPr>
          <w:rFonts w:ascii="宋体" w:hAnsi="宋体" w:eastAsia="宋体" w:cs="宋体"/>
          <w:spacing w:val="8"/>
          <w:sz w:val="20"/>
          <w:szCs w:val="20"/>
        </w:rPr>
        <w:t>共资源交易中心</w:t>
      </w:r>
      <w:r>
        <w:rPr>
          <w:rFonts w:ascii="宋体" w:hAnsi="宋体" w:eastAsia="宋体" w:cs="宋体"/>
          <w:spacing w:val="10"/>
          <w:sz w:val="20"/>
          <w:szCs w:val="20"/>
        </w:rPr>
        <w:t>（</w:t>
      </w:r>
      <w:r>
        <w:fldChar w:fldCharType="begin"/>
      </w:r>
      <w:r>
        <w:instrText xml:space="preserve"> HYPERLINK "http://hnsggzyjy.henan.gov.cn/" </w:instrText>
      </w:r>
      <w:r>
        <w:fldChar w:fldCharType="separate"/>
      </w:r>
      <w:r>
        <w:rPr>
          <w:rFonts w:ascii="宋体" w:hAnsi="宋体" w:eastAsia="宋体" w:cs="宋体"/>
          <w:sz w:val="20"/>
          <w:szCs w:val="20"/>
        </w:rPr>
        <w:t>http</w:t>
      </w:r>
      <w:r>
        <w:rPr>
          <w:rFonts w:ascii="宋体" w:hAnsi="宋体" w:eastAsia="宋体" w:cs="宋体"/>
          <w:spacing w:val="10"/>
          <w:sz w:val="20"/>
          <w:szCs w:val="20"/>
        </w:rPr>
        <w:t>://</w:t>
      </w:r>
      <w:r>
        <w:rPr>
          <w:rFonts w:ascii="宋体" w:hAnsi="宋体" w:eastAsia="宋体" w:cs="宋体"/>
          <w:sz w:val="20"/>
          <w:szCs w:val="20"/>
        </w:rPr>
        <w:t>hnsggzyjy</w:t>
      </w:r>
      <w:r>
        <w:rPr>
          <w:rFonts w:ascii="宋体" w:hAnsi="宋体" w:eastAsia="宋体" w:cs="宋体"/>
          <w:spacing w:val="10"/>
          <w:sz w:val="20"/>
          <w:szCs w:val="20"/>
        </w:rPr>
        <w:t>.</w:t>
      </w:r>
      <w:r>
        <w:rPr>
          <w:rFonts w:ascii="宋体" w:hAnsi="宋体" w:eastAsia="宋体" w:cs="宋体"/>
          <w:sz w:val="20"/>
          <w:szCs w:val="20"/>
        </w:rPr>
        <w:t>henan</w:t>
      </w:r>
      <w:r>
        <w:rPr>
          <w:rFonts w:ascii="宋体" w:hAnsi="宋体" w:eastAsia="宋体" w:cs="宋体"/>
          <w:spacing w:val="10"/>
          <w:sz w:val="20"/>
          <w:szCs w:val="20"/>
        </w:rPr>
        <w:t>.</w:t>
      </w:r>
      <w:r>
        <w:rPr>
          <w:rFonts w:ascii="宋体" w:hAnsi="宋体" w:eastAsia="宋体" w:cs="宋体"/>
          <w:sz w:val="20"/>
          <w:szCs w:val="20"/>
        </w:rPr>
        <w:t>gov</w:t>
      </w:r>
      <w:r>
        <w:rPr>
          <w:rFonts w:ascii="宋体" w:hAnsi="宋体" w:eastAsia="宋体" w:cs="宋体"/>
          <w:spacing w:val="10"/>
          <w:sz w:val="20"/>
          <w:szCs w:val="20"/>
        </w:rPr>
        <w:t>.</w:t>
      </w:r>
      <w:r>
        <w:rPr>
          <w:rFonts w:ascii="宋体" w:hAnsi="宋体" w:eastAsia="宋体" w:cs="宋体"/>
          <w:sz w:val="20"/>
          <w:szCs w:val="20"/>
        </w:rPr>
        <w:t>cn</w:t>
      </w:r>
      <w:r>
        <w:rPr>
          <w:rFonts w:ascii="宋体" w:hAnsi="宋体" w:eastAsia="宋体" w:cs="宋体"/>
          <w:spacing w:val="10"/>
          <w:sz w:val="20"/>
          <w:szCs w:val="20"/>
        </w:rPr>
        <w:t>/</w:t>
      </w:r>
      <w:r>
        <w:rPr>
          <w:rFonts w:ascii="宋体" w:hAnsi="宋体" w:eastAsia="宋体" w:cs="宋体"/>
          <w:spacing w:val="10"/>
          <w:sz w:val="20"/>
          <w:szCs w:val="20"/>
        </w:rPr>
        <w:fldChar w:fldCharType="end"/>
      </w:r>
      <w:r>
        <w:rPr>
          <w:rFonts w:ascii="宋体" w:hAnsi="宋体" w:eastAsia="宋体" w:cs="宋体"/>
          <w:spacing w:val="10"/>
          <w:sz w:val="20"/>
          <w:szCs w:val="20"/>
        </w:rPr>
        <w:t>）</w:t>
      </w:r>
      <w:r>
        <w:rPr>
          <w:rFonts w:ascii="宋体" w:hAnsi="宋体" w:eastAsia="宋体" w:cs="宋体"/>
          <w:spacing w:val="-51"/>
          <w:sz w:val="20"/>
          <w:szCs w:val="20"/>
        </w:rPr>
        <w:t xml:space="preserve"> </w:t>
      </w:r>
      <w:r>
        <w:rPr>
          <w:rFonts w:ascii="宋体" w:hAnsi="宋体" w:eastAsia="宋体" w:cs="宋体"/>
          <w:spacing w:val="10"/>
          <w:sz w:val="20"/>
          <w:szCs w:val="20"/>
        </w:rPr>
        <w:t>”电子交易平台内上传；</w:t>
      </w:r>
    </w:p>
    <w:p w14:paraId="367CA3E7">
      <w:pPr>
        <w:keepNext w:val="0"/>
        <w:keepLines w:val="0"/>
        <w:pageBreakBefore w:val="0"/>
        <w:kinsoku/>
        <w:wordWrap/>
        <w:overflowPunct/>
        <w:topLinePunct w:val="0"/>
        <w:bidi w:val="0"/>
        <w:spacing w:before="2" w:line="377" w:lineRule="auto"/>
        <w:ind w:left="17" w:firstLine="413"/>
        <w:rPr>
          <w:rFonts w:ascii="宋体" w:hAnsi="宋体" w:eastAsia="宋体" w:cs="宋体"/>
          <w:sz w:val="20"/>
          <w:szCs w:val="20"/>
        </w:rPr>
      </w:pPr>
      <w:r>
        <w:rPr>
          <w:rFonts w:ascii="宋体" w:hAnsi="宋体" w:eastAsia="宋体" w:cs="宋体"/>
          <w:spacing w:val="13"/>
          <w:sz w:val="20"/>
          <w:szCs w:val="20"/>
        </w:rPr>
        <w:t>2.4</w:t>
      </w:r>
      <w:r>
        <w:rPr>
          <w:rFonts w:ascii="宋体" w:hAnsi="宋体" w:eastAsia="宋体" w:cs="宋体"/>
          <w:spacing w:val="-40"/>
          <w:sz w:val="20"/>
          <w:szCs w:val="20"/>
        </w:rPr>
        <w:t xml:space="preserve"> </w:t>
      </w:r>
      <w:r>
        <w:rPr>
          <w:rFonts w:ascii="宋体" w:hAnsi="宋体" w:eastAsia="宋体" w:cs="宋体"/>
          <w:spacing w:val="13"/>
          <w:sz w:val="20"/>
          <w:szCs w:val="20"/>
        </w:rPr>
        <w:t>加密的电子投标文件为“河南省公共资源交易中心（</w:t>
      </w:r>
      <w:r>
        <w:fldChar w:fldCharType="begin"/>
      </w:r>
      <w:r>
        <w:instrText xml:space="preserve"> HYPERLINK "http://hnsggzyjy.henan.gov.cn/" </w:instrText>
      </w:r>
      <w:r>
        <w:fldChar w:fldCharType="separate"/>
      </w:r>
      <w:r>
        <w:rPr>
          <w:rFonts w:ascii="宋体" w:hAnsi="宋体" w:eastAsia="宋体" w:cs="宋体"/>
          <w:sz w:val="20"/>
          <w:szCs w:val="20"/>
        </w:rPr>
        <w:t>http</w:t>
      </w:r>
      <w:r>
        <w:rPr>
          <w:rFonts w:ascii="宋体" w:hAnsi="宋体" w:eastAsia="宋体" w:cs="宋体"/>
          <w:spacing w:val="13"/>
          <w:sz w:val="20"/>
          <w:szCs w:val="20"/>
        </w:rPr>
        <w:t>://</w:t>
      </w:r>
      <w:r>
        <w:rPr>
          <w:rFonts w:ascii="宋体" w:hAnsi="宋体" w:eastAsia="宋体" w:cs="宋体"/>
          <w:sz w:val="20"/>
          <w:szCs w:val="20"/>
        </w:rPr>
        <w:t>hnsggzyjy</w:t>
      </w:r>
      <w:r>
        <w:rPr>
          <w:rFonts w:ascii="宋体" w:hAnsi="宋体" w:eastAsia="宋体" w:cs="宋体"/>
          <w:spacing w:val="13"/>
          <w:sz w:val="20"/>
          <w:szCs w:val="20"/>
        </w:rPr>
        <w:t>.</w:t>
      </w:r>
      <w:r>
        <w:rPr>
          <w:rFonts w:ascii="宋体" w:hAnsi="宋体" w:eastAsia="宋体" w:cs="宋体"/>
          <w:sz w:val="20"/>
          <w:szCs w:val="20"/>
        </w:rPr>
        <w:t>henan</w:t>
      </w:r>
      <w:r>
        <w:rPr>
          <w:rFonts w:ascii="宋体" w:hAnsi="宋体" w:eastAsia="宋体" w:cs="宋体"/>
          <w:spacing w:val="13"/>
          <w:sz w:val="20"/>
          <w:szCs w:val="20"/>
        </w:rPr>
        <w:t>.</w:t>
      </w:r>
      <w:r>
        <w:rPr>
          <w:rFonts w:ascii="宋体" w:hAnsi="宋体" w:eastAsia="宋体" w:cs="宋体"/>
          <w:sz w:val="20"/>
          <w:szCs w:val="20"/>
        </w:rPr>
        <w:t>gov</w:t>
      </w:r>
      <w:r>
        <w:rPr>
          <w:rFonts w:ascii="宋体" w:hAnsi="宋体" w:eastAsia="宋体" w:cs="宋体"/>
          <w:spacing w:val="13"/>
          <w:sz w:val="20"/>
          <w:szCs w:val="20"/>
        </w:rPr>
        <w:t>.</w:t>
      </w:r>
      <w:r>
        <w:rPr>
          <w:rFonts w:ascii="宋体" w:hAnsi="宋体" w:eastAsia="宋体" w:cs="宋体"/>
          <w:sz w:val="20"/>
          <w:szCs w:val="20"/>
        </w:rPr>
        <w:t>cn</w:t>
      </w:r>
      <w:r>
        <w:rPr>
          <w:rFonts w:ascii="宋体" w:hAnsi="宋体" w:eastAsia="宋体" w:cs="宋体"/>
          <w:spacing w:val="13"/>
          <w:sz w:val="20"/>
          <w:szCs w:val="20"/>
        </w:rPr>
        <w:t>/</w:t>
      </w:r>
      <w:r>
        <w:rPr>
          <w:rFonts w:ascii="宋体" w:hAnsi="宋体" w:eastAsia="宋体" w:cs="宋体"/>
          <w:spacing w:val="13"/>
          <w:sz w:val="20"/>
          <w:szCs w:val="20"/>
        </w:rPr>
        <w:fldChar w:fldCharType="end"/>
      </w:r>
      <w:r>
        <w:rPr>
          <w:rFonts w:ascii="宋体" w:hAnsi="宋体" w:eastAsia="宋体" w:cs="宋体"/>
          <w:spacing w:val="13"/>
          <w:sz w:val="20"/>
          <w:szCs w:val="20"/>
        </w:rPr>
        <w:t>）</w:t>
      </w:r>
      <w:r>
        <w:rPr>
          <w:rFonts w:ascii="宋体" w:hAnsi="宋体" w:eastAsia="宋体" w:cs="宋体"/>
          <w:spacing w:val="-62"/>
          <w:sz w:val="20"/>
          <w:szCs w:val="20"/>
        </w:rPr>
        <w:t xml:space="preserve"> </w:t>
      </w:r>
      <w:r>
        <w:rPr>
          <w:rFonts w:ascii="宋体" w:hAnsi="宋体" w:eastAsia="宋体" w:cs="宋体"/>
          <w:spacing w:val="13"/>
          <w:sz w:val="20"/>
          <w:szCs w:val="20"/>
        </w:rPr>
        <w:t>”</w:t>
      </w:r>
      <w:r>
        <w:rPr>
          <w:rFonts w:ascii="宋体" w:hAnsi="宋体" w:eastAsia="宋体" w:cs="宋体"/>
          <w:spacing w:val="7"/>
          <w:sz w:val="20"/>
          <w:szCs w:val="20"/>
        </w:rPr>
        <w:t>网站提供的“投标文件制作工具</w:t>
      </w:r>
      <w:r>
        <w:rPr>
          <w:rFonts w:ascii="宋体" w:hAnsi="宋体" w:eastAsia="宋体" w:cs="宋体"/>
          <w:spacing w:val="-70"/>
          <w:sz w:val="20"/>
          <w:szCs w:val="20"/>
        </w:rPr>
        <w:t xml:space="preserve"> </w:t>
      </w:r>
      <w:r>
        <w:rPr>
          <w:rFonts w:ascii="宋体" w:hAnsi="宋体" w:eastAsia="宋体" w:cs="宋体"/>
          <w:spacing w:val="7"/>
          <w:sz w:val="20"/>
          <w:szCs w:val="20"/>
        </w:rPr>
        <w:t>”软件制作生成的加密版投标文件。未加密的电子投标文</w:t>
      </w:r>
      <w:r>
        <w:rPr>
          <w:rFonts w:ascii="宋体" w:hAnsi="宋体" w:eastAsia="宋体" w:cs="宋体"/>
          <w:spacing w:val="6"/>
          <w:sz w:val="20"/>
          <w:szCs w:val="20"/>
        </w:rPr>
        <w:t>件应与加密</w:t>
      </w:r>
      <w:r>
        <w:rPr>
          <w:rFonts w:ascii="宋体" w:hAnsi="宋体" w:eastAsia="宋体" w:cs="宋体"/>
          <w:spacing w:val="7"/>
          <w:sz w:val="20"/>
          <w:szCs w:val="20"/>
        </w:rPr>
        <w:t>的电子投标文件为同时生成的版本。</w:t>
      </w:r>
    </w:p>
    <w:p w14:paraId="583247F9">
      <w:pPr>
        <w:keepNext w:val="0"/>
        <w:keepLines w:val="0"/>
        <w:pageBreakBefore w:val="0"/>
        <w:kinsoku/>
        <w:wordWrap/>
        <w:overflowPunct/>
        <w:topLinePunct w:val="0"/>
        <w:bidi w:val="0"/>
        <w:spacing w:before="2" w:line="376" w:lineRule="auto"/>
        <w:ind w:left="2" w:right="133" w:firstLine="428"/>
        <w:rPr>
          <w:rFonts w:ascii="宋体" w:hAnsi="宋体" w:eastAsia="宋体" w:cs="宋体"/>
          <w:sz w:val="20"/>
          <w:szCs w:val="20"/>
        </w:rPr>
      </w:pPr>
      <w:r>
        <w:rPr>
          <w:rFonts w:ascii="宋体" w:hAnsi="宋体" w:eastAsia="宋体" w:cs="宋体"/>
          <w:spacing w:val="8"/>
          <w:sz w:val="20"/>
          <w:szCs w:val="20"/>
        </w:rPr>
        <w:t>2.5</w:t>
      </w:r>
      <w:r>
        <w:rPr>
          <w:rFonts w:ascii="宋体" w:hAnsi="宋体" w:eastAsia="宋体" w:cs="宋体"/>
          <w:spacing w:val="-25"/>
          <w:sz w:val="20"/>
          <w:szCs w:val="20"/>
        </w:rPr>
        <w:t xml:space="preserve"> </w:t>
      </w:r>
      <w:r>
        <w:rPr>
          <w:rFonts w:ascii="宋体" w:hAnsi="宋体" w:eastAsia="宋体" w:cs="宋体"/>
          <w:spacing w:val="8"/>
          <w:sz w:val="20"/>
          <w:szCs w:val="20"/>
        </w:rPr>
        <w:t>供应商或投标人在制作电子投标文件时，除文件中特殊说明外，需要盖单位章的均指单位电</w:t>
      </w:r>
      <w:r>
        <w:rPr>
          <w:rFonts w:ascii="宋体" w:hAnsi="宋体" w:eastAsia="宋体" w:cs="宋体"/>
          <w:spacing w:val="9"/>
          <w:sz w:val="20"/>
          <w:szCs w:val="20"/>
        </w:rPr>
        <w:t>子</w:t>
      </w:r>
      <w:r>
        <w:rPr>
          <w:rFonts w:ascii="宋体" w:hAnsi="宋体" w:eastAsia="宋体" w:cs="宋体"/>
          <w:spacing w:val="-36"/>
          <w:sz w:val="20"/>
          <w:szCs w:val="20"/>
        </w:rPr>
        <w:t xml:space="preserve"> </w:t>
      </w:r>
      <w:r>
        <w:rPr>
          <w:rFonts w:ascii="宋体" w:hAnsi="宋体" w:eastAsia="宋体" w:cs="宋体"/>
          <w:sz w:val="20"/>
          <w:szCs w:val="20"/>
        </w:rPr>
        <w:t>CA</w:t>
      </w:r>
      <w:r>
        <w:rPr>
          <w:rFonts w:ascii="宋体" w:hAnsi="宋体" w:eastAsia="宋体" w:cs="宋体"/>
          <w:spacing w:val="-38"/>
          <w:sz w:val="20"/>
          <w:szCs w:val="20"/>
        </w:rPr>
        <w:t xml:space="preserve"> </w:t>
      </w:r>
      <w:r>
        <w:rPr>
          <w:rFonts w:ascii="宋体" w:hAnsi="宋体" w:eastAsia="宋体" w:cs="宋体"/>
          <w:spacing w:val="9"/>
          <w:sz w:val="20"/>
          <w:szCs w:val="20"/>
        </w:rPr>
        <w:t>锁印章，个人签字或盖章的可以盖个人的电子</w:t>
      </w:r>
      <w:r>
        <w:rPr>
          <w:rFonts w:ascii="宋体" w:hAnsi="宋体" w:eastAsia="宋体" w:cs="宋体"/>
          <w:spacing w:val="-41"/>
          <w:sz w:val="20"/>
          <w:szCs w:val="20"/>
        </w:rPr>
        <w:t xml:space="preserve"> </w:t>
      </w:r>
      <w:r>
        <w:rPr>
          <w:rFonts w:ascii="宋体" w:hAnsi="宋体" w:eastAsia="宋体" w:cs="宋体"/>
          <w:sz w:val="20"/>
          <w:szCs w:val="20"/>
        </w:rPr>
        <w:t>CA</w:t>
      </w:r>
      <w:r>
        <w:rPr>
          <w:rFonts w:ascii="宋体" w:hAnsi="宋体" w:eastAsia="宋体" w:cs="宋体"/>
          <w:spacing w:val="-38"/>
          <w:sz w:val="20"/>
          <w:szCs w:val="20"/>
        </w:rPr>
        <w:t xml:space="preserve"> </w:t>
      </w:r>
      <w:r>
        <w:rPr>
          <w:rFonts w:ascii="宋体" w:hAnsi="宋体" w:eastAsia="宋体" w:cs="宋体"/>
          <w:spacing w:val="9"/>
          <w:sz w:val="20"/>
          <w:szCs w:val="20"/>
        </w:rPr>
        <w:t>锁印章或签字扫描件或物理印章扫描件。</w:t>
      </w:r>
    </w:p>
    <w:p w14:paraId="68B215AC">
      <w:pPr>
        <w:keepNext w:val="0"/>
        <w:keepLines w:val="0"/>
        <w:pageBreakBefore w:val="0"/>
        <w:kinsoku/>
        <w:wordWrap/>
        <w:overflowPunct/>
        <w:topLinePunct w:val="0"/>
        <w:bidi w:val="0"/>
        <w:spacing w:before="2" w:line="376" w:lineRule="auto"/>
        <w:ind w:left="1" w:right="133" w:firstLine="429"/>
        <w:rPr>
          <w:rFonts w:ascii="宋体" w:hAnsi="宋体" w:eastAsia="宋体" w:cs="宋体"/>
          <w:sz w:val="20"/>
          <w:szCs w:val="20"/>
        </w:rPr>
      </w:pPr>
      <w:r>
        <w:rPr>
          <w:rFonts w:ascii="宋体" w:hAnsi="宋体" w:eastAsia="宋体" w:cs="宋体"/>
          <w:spacing w:val="8"/>
          <w:sz w:val="20"/>
          <w:szCs w:val="20"/>
        </w:rPr>
        <w:t>2.6</w:t>
      </w:r>
      <w:r>
        <w:rPr>
          <w:rFonts w:ascii="宋体" w:hAnsi="宋体" w:eastAsia="宋体" w:cs="宋体"/>
          <w:spacing w:val="-25"/>
          <w:sz w:val="20"/>
          <w:szCs w:val="20"/>
        </w:rPr>
        <w:t xml:space="preserve"> </w:t>
      </w:r>
      <w:r>
        <w:rPr>
          <w:rFonts w:ascii="宋体" w:hAnsi="宋体" w:eastAsia="宋体" w:cs="宋体"/>
          <w:spacing w:val="8"/>
          <w:sz w:val="20"/>
          <w:szCs w:val="20"/>
        </w:rPr>
        <w:t>招标文件格式所要求包含的全部资料制作在电子投标文件内，严格按照本项目招标文件所有格式如实填写（不涉及的内容除外</w:t>
      </w:r>
      <w:r>
        <w:rPr>
          <w:rFonts w:ascii="宋体" w:hAnsi="宋体" w:eastAsia="宋体" w:cs="宋体"/>
          <w:spacing w:val="6"/>
          <w:sz w:val="20"/>
          <w:szCs w:val="20"/>
        </w:rPr>
        <w:t>），</w:t>
      </w:r>
      <w:r>
        <w:rPr>
          <w:rFonts w:ascii="宋体" w:hAnsi="宋体" w:eastAsia="宋体" w:cs="宋体"/>
          <w:spacing w:val="8"/>
          <w:sz w:val="20"/>
          <w:szCs w:val="20"/>
        </w:rPr>
        <w:t>不应存在漏项或缺项，否则将存在投标文件被拒绝的风险。投</w:t>
      </w:r>
      <w:r>
        <w:rPr>
          <w:rFonts w:ascii="宋体" w:hAnsi="宋体" w:eastAsia="宋体" w:cs="宋体"/>
          <w:spacing w:val="9"/>
          <w:sz w:val="20"/>
          <w:szCs w:val="20"/>
        </w:rPr>
        <w:t>标函及开标一览表，须严格按照格式编辑，并作为电子开评标系统上传的依据。</w:t>
      </w:r>
    </w:p>
    <w:p w14:paraId="06FF4C8E">
      <w:pPr>
        <w:keepNext w:val="0"/>
        <w:keepLines w:val="0"/>
        <w:pageBreakBefore w:val="0"/>
        <w:kinsoku/>
        <w:wordWrap/>
        <w:overflowPunct/>
        <w:topLinePunct w:val="0"/>
        <w:bidi w:val="0"/>
        <w:spacing w:before="1" w:line="377" w:lineRule="auto"/>
        <w:ind w:left="18" w:right="133" w:firstLine="412"/>
        <w:rPr>
          <w:rFonts w:ascii="宋体" w:hAnsi="宋体" w:eastAsia="宋体" w:cs="宋体"/>
          <w:sz w:val="20"/>
          <w:szCs w:val="20"/>
        </w:rPr>
      </w:pPr>
      <w:r>
        <w:rPr>
          <w:rFonts w:ascii="宋体" w:hAnsi="宋体" w:eastAsia="宋体" w:cs="宋体"/>
          <w:spacing w:val="8"/>
          <w:sz w:val="20"/>
          <w:szCs w:val="20"/>
        </w:rPr>
        <w:t>2.7</w:t>
      </w:r>
      <w:r>
        <w:rPr>
          <w:rFonts w:ascii="宋体" w:hAnsi="宋体" w:eastAsia="宋体" w:cs="宋体"/>
          <w:spacing w:val="-25"/>
          <w:sz w:val="20"/>
          <w:szCs w:val="20"/>
        </w:rPr>
        <w:t xml:space="preserve"> </w:t>
      </w:r>
      <w:r>
        <w:rPr>
          <w:rFonts w:ascii="宋体" w:hAnsi="宋体" w:eastAsia="宋体" w:cs="宋体"/>
          <w:spacing w:val="8"/>
          <w:sz w:val="20"/>
          <w:szCs w:val="20"/>
        </w:rPr>
        <w:t>本项目采用远程不见面开标，不提交任何原件等其他资料，无原件核验内容，投标文件以外的任何资料采购人和采购代理机构将拒收。</w:t>
      </w:r>
    </w:p>
    <w:p w14:paraId="3FCCDEB5">
      <w:pPr>
        <w:keepNext w:val="0"/>
        <w:keepLines w:val="0"/>
        <w:pageBreakBefore w:val="0"/>
        <w:kinsoku/>
        <w:wordWrap/>
        <w:overflowPunct/>
        <w:topLinePunct w:val="0"/>
        <w:bidi w:val="0"/>
        <w:spacing w:before="1" w:line="377" w:lineRule="auto"/>
        <w:ind w:right="133" w:firstLine="430"/>
        <w:rPr>
          <w:rFonts w:ascii="宋体" w:hAnsi="宋体" w:eastAsia="宋体" w:cs="宋体"/>
          <w:sz w:val="20"/>
          <w:szCs w:val="20"/>
        </w:rPr>
      </w:pPr>
      <w:r>
        <w:rPr>
          <w:rFonts w:ascii="宋体" w:hAnsi="宋体" w:eastAsia="宋体" w:cs="宋体"/>
          <w:spacing w:val="8"/>
          <w:sz w:val="20"/>
          <w:szCs w:val="20"/>
        </w:rPr>
        <w:t>2.8</w:t>
      </w:r>
      <w:r>
        <w:rPr>
          <w:rFonts w:ascii="宋体" w:hAnsi="宋体" w:eastAsia="宋体" w:cs="宋体"/>
          <w:spacing w:val="-43"/>
          <w:sz w:val="20"/>
          <w:szCs w:val="20"/>
        </w:rPr>
        <w:t xml:space="preserve"> </w:t>
      </w:r>
      <w:r>
        <w:rPr>
          <w:rFonts w:ascii="宋体" w:hAnsi="宋体" w:eastAsia="宋体" w:cs="宋体"/>
          <w:spacing w:val="8"/>
          <w:sz w:val="20"/>
          <w:szCs w:val="20"/>
        </w:rPr>
        <w:t>供应商或投标人编辑电子投标文件时，根据招标文件要求用法定代表人</w:t>
      </w:r>
      <w:r>
        <w:rPr>
          <w:rFonts w:ascii="宋体" w:hAnsi="宋体" w:eastAsia="宋体" w:cs="宋体"/>
          <w:spacing w:val="-38"/>
          <w:sz w:val="20"/>
          <w:szCs w:val="20"/>
        </w:rPr>
        <w:t xml:space="preserve"> </w:t>
      </w:r>
      <w:r>
        <w:rPr>
          <w:rFonts w:ascii="宋体" w:hAnsi="宋体" w:eastAsia="宋体" w:cs="宋体"/>
          <w:sz w:val="20"/>
          <w:szCs w:val="20"/>
        </w:rPr>
        <w:t>CA</w:t>
      </w:r>
      <w:r>
        <w:rPr>
          <w:rFonts w:ascii="宋体" w:hAnsi="宋体" w:eastAsia="宋体" w:cs="宋体"/>
          <w:spacing w:val="-40"/>
          <w:sz w:val="20"/>
          <w:szCs w:val="20"/>
        </w:rPr>
        <w:t xml:space="preserve"> </w:t>
      </w:r>
      <w:r>
        <w:rPr>
          <w:rFonts w:ascii="宋体" w:hAnsi="宋体" w:eastAsia="宋体" w:cs="宋体"/>
          <w:spacing w:val="8"/>
          <w:sz w:val="20"/>
          <w:szCs w:val="20"/>
        </w:rPr>
        <w:t>密钥和企</w:t>
      </w:r>
      <w:r>
        <w:rPr>
          <w:rFonts w:ascii="宋体" w:hAnsi="宋体" w:eastAsia="宋体" w:cs="宋体"/>
          <w:spacing w:val="7"/>
          <w:sz w:val="20"/>
          <w:szCs w:val="20"/>
        </w:rPr>
        <w:t>业</w:t>
      </w:r>
      <w:r>
        <w:rPr>
          <w:rFonts w:ascii="宋体" w:hAnsi="宋体" w:eastAsia="宋体" w:cs="宋体"/>
          <w:spacing w:val="-38"/>
          <w:sz w:val="20"/>
          <w:szCs w:val="20"/>
        </w:rPr>
        <w:t xml:space="preserve"> </w:t>
      </w:r>
      <w:r>
        <w:rPr>
          <w:rFonts w:ascii="宋体" w:hAnsi="宋体" w:eastAsia="宋体" w:cs="宋体"/>
          <w:sz w:val="20"/>
          <w:szCs w:val="20"/>
        </w:rPr>
        <w:t>CA</w:t>
      </w:r>
      <w:r>
        <w:rPr>
          <w:rFonts w:ascii="宋体" w:hAnsi="宋体" w:eastAsia="宋体" w:cs="宋体"/>
          <w:spacing w:val="-40"/>
          <w:sz w:val="20"/>
          <w:szCs w:val="20"/>
        </w:rPr>
        <w:t xml:space="preserve"> </w:t>
      </w:r>
      <w:r>
        <w:rPr>
          <w:rFonts w:ascii="宋体" w:hAnsi="宋体" w:eastAsia="宋体" w:cs="宋体"/>
          <w:spacing w:val="7"/>
          <w:sz w:val="20"/>
          <w:szCs w:val="20"/>
        </w:rPr>
        <w:t>密</w:t>
      </w:r>
      <w:r>
        <w:rPr>
          <w:rFonts w:ascii="宋体" w:hAnsi="宋体" w:eastAsia="宋体" w:cs="宋体"/>
          <w:spacing w:val="8"/>
          <w:sz w:val="20"/>
          <w:szCs w:val="20"/>
        </w:rPr>
        <w:t>钥进行签章制作；最后一步生成电子投标文件（*.</w:t>
      </w:r>
      <w:r>
        <w:rPr>
          <w:rFonts w:ascii="宋体" w:hAnsi="宋体" w:eastAsia="宋体" w:cs="宋体"/>
          <w:sz w:val="20"/>
          <w:szCs w:val="20"/>
        </w:rPr>
        <w:t>hntf</w:t>
      </w:r>
      <w:r>
        <w:rPr>
          <w:rFonts w:ascii="宋体" w:hAnsi="宋体" w:eastAsia="宋体" w:cs="宋体"/>
          <w:spacing w:val="-38"/>
          <w:sz w:val="20"/>
          <w:szCs w:val="20"/>
        </w:rPr>
        <w:t xml:space="preserve"> </w:t>
      </w:r>
      <w:r>
        <w:rPr>
          <w:rFonts w:ascii="宋体" w:hAnsi="宋体" w:eastAsia="宋体" w:cs="宋体"/>
          <w:spacing w:val="8"/>
          <w:sz w:val="20"/>
          <w:szCs w:val="20"/>
        </w:rPr>
        <w:t>格式和*.</w:t>
      </w:r>
      <w:r>
        <w:rPr>
          <w:rFonts w:ascii="宋体" w:hAnsi="宋体" w:eastAsia="宋体" w:cs="宋体"/>
          <w:sz w:val="20"/>
          <w:szCs w:val="20"/>
        </w:rPr>
        <w:t>nhntf</w:t>
      </w:r>
      <w:r>
        <w:rPr>
          <w:rFonts w:ascii="宋体" w:hAnsi="宋体" w:eastAsia="宋体" w:cs="宋体"/>
          <w:spacing w:val="-40"/>
          <w:sz w:val="20"/>
          <w:szCs w:val="20"/>
        </w:rPr>
        <w:t xml:space="preserve"> </w:t>
      </w:r>
      <w:r>
        <w:rPr>
          <w:rFonts w:ascii="宋体" w:hAnsi="宋体" w:eastAsia="宋体" w:cs="宋体"/>
          <w:spacing w:val="8"/>
          <w:sz w:val="20"/>
          <w:szCs w:val="20"/>
        </w:rPr>
        <w:t>格式）时，只能用本单位的企</w:t>
      </w:r>
      <w:r>
        <w:rPr>
          <w:rFonts w:ascii="宋体" w:hAnsi="宋体" w:eastAsia="宋体" w:cs="宋体"/>
          <w:spacing w:val="3"/>
          <w:sz w:val="20"/>
          <w:szCs w:val="20"/>
        </w:rPr>
        <w:t>业</w:t>
      </w:r>
      <w:r>
        <w:rPr>
          <w:rFonts w:ascii="宋体" w:hAnsi="宋体" w:eastAsia="宋体" w:cs="宋体"/>
          <w:spacing w:val="-40"/>
          <w:sz w:val="20"/>
          <w:szCs w:val="20"/>
        </w:rPr>
        <w:t xml:space="preserve"> </w:t>
      </w:r>
      <w:r>
        <w:rPr>
          <w:rFonts w:ascii="宋体" w:hAnsi="宋体" w:eastAsia="宋体" w:cs="宋体"/>
          <w:sz w:val="20"/>
          <w:szCs w:val="20"/>
        </w:rPr>
        <w:t>CA</w:t>
      </w:r>
      <w:r>
        <w:rPr>
          <w:rFonts w:ascii="宋体" w:hAnsi="宋体" w:eastAsia="宋体" w:cs="宋体"/>
          <w:spacing w:val="-37"/>
          <w:sz w:val="20"/>
          <w:szCs w:val="20"/>
        </w:rPr>
        <w:t xml:space="preserve"> </w:t>
      </w:r>
      <w:r>
        <w:rPr>
          <w:rFonts w:ascii="宋体" w:hAnsi="宋体" w:eastAsia="宋体" w:cs="宋体"/>
          <w:spacing w:val="3"/>
          <w:sz w:val="20"/>
          <w:szCs w:val="20"/>
        </w:rPr>
        <w:t>密钥。</w:t>
      </w:r>
    </w:p>
    <w:p w14:paraId="70EF01C3">
      <w:pPr>
        <w:keepNext w:val="0"/>
        <w:keepLines w:val="0"/>
        <w:pageBreakBefore w:val="0"/>
        <w:kinsoku/>
        <w:wordWrap/>
        <w:overflowPunct/>
        <w:topLinePunct w:val="0"/>
        <w:bidi w:val="0"/>
        <w:spacing w:before="1" w:line="228" w:lineRule="auto"/>
        <w:ind w:left="445"/>
        <w:rPr>
          <w:rFonts w:ascii="宋体" w:hAnsi="宋体" w:eastAsia="宋体" w:cs="宋体"/>
          <w:sz w:val="20"/>
          <w:szCs w:val="20"/>
        </w:rPr>
      </w:pPr>
      <w:r>
        <w:rPr>
          <w:rFonts w:ascii="宋体" w:hAnsi="宋体" w:eastAsia="宋体" w:cs="宋体"/>
          <w:b/>
          <w:bCs/>
          <w:spacing w:val="7"/>
          <w:sz w:val="20"/>
          <w:szCs w:val="20"/>
        </w:rPr>
        <w:t>3、评标前的澄清与变更</w:t>
      </w:r>
    </w:p>
    <w:p w14:paraId="6D9CE642">
      <w:pPr>
        <w:keepNext w:val="0"/>
        <w:keepLines w:val="0"/>
        <w:pageBreakBefore w:val="0"/>
        <w:kinsoku/>
        <w:wordWrap/>
        <w:overflowPunct/>
        <w:topLinePunct w:val="0"/>
        <w:bidi w:val="0"/>
        <w:spacing w:before="161" w:line="377" w:lineRule="auto"/>
        <w:ind w:right="133" w:firstLine="440"/>
        <w:jc w:val="both"/>
        <w:rPr>
          <w:rFonts w:ascii="宋体" w:hAnsi="宋体" w:eastAsia="宋体" w:cs="宋体"/>
          <w:sz w:val="20"/>
          <w:szCs w:val="20"/>
        </w:rPr>
      </w:pPr>
      <w:r>
        <w:rPr>
          <w:rFonts w:ascii="宋体" w:hAnsi="宋体" w:eastAsia="宋体" w:cs="宋体"/>
          <w:spacing w:val="7"/>
          <w:sz w:val="20"/>
          <w:szCs w:val="20"/>
        </w:rPr>
        <w:t>采购人、采购代理机构对已发出的招标文件进行的澄清、更正或更改，澄清、更正或更改的内容将作为招标文件的组成部分。采购代理机构将通过网站“变更</w:t>
      </w:r>
      <w:r>
        <w:rPr>
          <w:rFonts w:ascii="宋体" w:hAnsi="宋体" w:eastAsia="宋体" w:cs="宋体"/>
          <w:spacing w:val="6"/>
          <w:sz w:val="20"/>
          <w:szCs w:val="20"/>
        </w:rPr>
        <w:t>公告</w:t>
      </w:r>
      <w:r>
        <w:rPr>
          <w:rFonts w:ascii="宋体" w:hAnsi="宋体" w:eastAsia="宋体" w:cs="宋体"/>
          <w:spacing w:val="-70"/>
          <w:sz w:val="20"/>
          <w:szCs w:val="20"/>
        </w:rPr>
        <w:t xml:space="preserve"> </w:t>
      </w:r>
      <w:r>
        <w:rPr>
          <w:rFonts w:ascii="宋体" w:hAnsi="宋体" w:eastAsia="宋体" w:cs="宋体"/>
          <w:spacing w:val="6"/>
          <w:sz w:val="20"/>
          <w:szCs w:val="20"/>
        </w:rPr>
        <w:t>”和系统内部“答疑文件</w:t>
      </w:r>
      <w:r>
        <w:rPr>
          <w:rFonts w:ascii="宋体" w:hAnsi="宋体" w:eastAsia="宋体" w:cs="宋体"/>
          <w:spacing w:val="-70"/>
          <w:sz w:val="20"/>
          <w:szCs w:val="20"/>
        </w:rPr>
        <w:t xml:space="preserve"> </w:t>
      </w:r>
      <w:r>
        <w:rPr>
          <w:rFonts w:ascii="宋体" w:hAnsi="宋体" w:eastAsia="宋体" w:cs="宋体"/>
          <w:spacing w:val="6"/>
          <w:sz w:val="20"/>
          <w:szCs w:val="20"/>
        </w:rPr>
        <w:t>”告知供</w:t>
      </w:r>
      <w:r>
        <w:rPr>
          <w:rFonts w:ascii="宋体" w:hAnsi="宋体" w:eastAsia="宋体" w:cs="宋体"/>
          <w:spacing w:val="8"/>
          <w:sz w:val="20"/>
          <w:szCs w:val="20"/>
        </w:rPr>
        <w:t>应商或投标人，对于各项目中已经成功报名并下载招标文件的项目供应商或投标人，系统可能通过第三方短信群发方式提醒供应商或投标人进行查询。各供应商或投标人须重新下载最新的招标文</w:t>
      </w:r>
      <w:r>
        <w:rPr>
          <w:rFonts w:ascii="宋体" w:hAnsi="宋体" w:eastAsia="宋体" w:cs="宋体"/>
          <w:spacing w:val="7"/>
          <w:sz w:val="20"/>
          <w:szCs w:val="20"/>
        </w:rPr>
        <w:t>件和答</w:t>
      </w:r>
      <w:r>
        <w:rPr>
          <w:rFonts w:ascii="宋体" w:hAnsi="宋体" w:eastAsia="宋体" w:cs="宋体"/>
          <w:spacing w:val="8"/>
          <w:sz w:val="20"/>
          <w:szCs w:val="20"/>
        </w:rPr>
        <w:t>疑文件，以此编制投标文件。供应商或投标人注册时所留手机联系方式要保持畅通，因联系</w:t>
      </w:r>
      <w:r>
        <w:rPr>
          <w:rFonts w:ascii="宋体" w:hAnsi="宋体" w:eastAsia="宋体" w:cs="宋体"/>
          <w:spacing w:val="7"/>
          <w:sz w:val="20"/>
          <w:szCs w:val="20"/>
        </w:rPr>
        <w:t>方式变更</w:t>
      </w:r>
      <w:r>
        <w:rPr>
          <w:rFonts w:ascii="宋体" w:hAnsi="宋体" w:eastAsia="宋体" w:cs="宋体"/>
          <w:spacing w:val="8"/>
          <w:sz w:val="20"/>
          <w:szCs w:val="20"/>
        </w:rPr>
        <w:t>而未及时更新系统内联系方式的，将会造成收不到短信。此短信仅系友情提示，并不具有任</w:t>
      </w:r>
      <w:r>
        <w:rPr>
          <w:rFonts w:ascii="宋体" w:hAnsi="宋体" w:eastAsia="宋体" w:cs="宋体"/>
          <w:spacing w:val="7"/>
          <w:sz w:val="20"/>
          <w:szCs w:val="20"/>
        </w:rPr>
        <w:t>何约束性</w:t>
      </w:r>
      <w:r>
        <w:rPr>
          <w:rFonts w:ascii="宋体" w:hAnsi="宋体" w:eastAsia="宋体" w:cs="宋体"/>
          <w:spacing w:val="9"/>
          <w:sz w:val="20"/>
          <w:szCs w:val="20"/>
        </w:rPr>
        <w:t>和必要性，采购代理机构不承担供应商或投标人未收到短信而引起的一切后果和法律责任。</w:t>
      </w:r>
    </w:p>
    <w:p w14:paraId="5B003A0E">
      <w:pPr>
        <w:keepNext w:val="0"/>
        <w:keepLines w:val="0"/>
        <w:pageBreakBefore w:val="0"/>
        <w:kinsoku/>
        <w:wordWrap/>
        <w:overflowPunct/>
        <w:topLinePunct w:val="0"/>
        <w:bidi w:val="0"/>
        <w:spacing w:line="228" w:lineRule="auto"/>
        <w:ind w:left="438"/>
        <w:rPr>
          <w:rFonts w:ascii="宋体" w:hAnsi="宋体" w:eastAsia="宋体" w:cs="宋体"/>
          <w:sz w:val="20"/>
          <w:szCs w:val="20"/>
        </w:rPr>
      </w:pPr>
      <w:r>
        <w:rPr>
          <w:rFonts w:ascii="宋体" w:hAnsi="宋体" w:eastAsia="宋体" w:cs="宋体"/>
          <w:b/>
          <w:bCs/>
          <w:spacing w:val="7"/>
          <w:sz w:val="20"/>
          <w:szCs w:val="20"/>
        </w:rPr>
        <w:t>4、评标过程的澄清</w:t>
      </w:r>
    </w:p>
    <w:p w14:paraId="20097150">
      <w:pPr>
        <w:keepNext w:val="0"/>
        <w:keepLines w:val="0"/>
        <w:pageBreakBefore w:val="0"/>
        <w:kinsoku/>
        <w:wordWrap/>
        <w:overflowPunct/>
        <w:topLinePunct w:val="0"/>
        <w:bidi w:val="0"/>
        <w:spacing w:before="162" w:line="377" w:lineRule="auto"/>
        <w:ind w:firstLine="438"/>
        <w:jc w:val="both"/>
        <w:rPr>
          <w:rFonts w:ascii="宋体" w:hAnsi="宋体" w:eastAsia="宋体" w:cs="宋体"/>
          <w:sz w:val="20"/>
          <w:szCs w:val="20"/>
        </w:rPr>
      </w:pPr>
      <w:r>
        <w:rPr>
          <w:rFonts w:ascii="宋体" w:hAnsi="宋体" w:eastAsia="宋体" w:cs="宋体"/>
          <w:spacing w:val="7"/>
          <w:sz w:val="20"/>
          <w:szCs w:val="20"/>
        </w:rPr>
        <w:t>评标委员会在评审的过程中已发出的澄清作为评审过程的组成部分。供应商或投标人应当在评标</w:t>
      </w:r>
      <w:r>
        <w:rPr>
          <w:rFonts w:ascii="宋体" w:hAnsi="宋体" w:eastAsia="宋体" w:cs="宋体"/>
          <w:spacing w:val="4"/>
          <w:sz w:val="20"/>
          <w:szCs w:val="20"/>
        </w:rPr>
        <w:t>结束前时刻关注系统内部发出的“答疑</w:t>
      </w:r>
      <w:r>
        <w:rPr>
          <w:rFonts w:ascii="宋体" w:hAnsi="宋体" w:eastAsia="宋体" w:cs="宋体"/>
          <w:spacing w:val="-60"/>
          <w:sz w:val="20"/>
          <w:szCs w:val="20"/>
        </w:rPr>
        <w:t xml:space="preserve"> </w:t>
      </w:r>
      <w:r>
        <w:rPr>
          <w:rFonts w:ascii="宋体" w:hAnsi="宋体" w:eastAsia="宋体" w:cs="宋体"/>
          <w:spacing w:val="4"/>
          <w:sz w:val="20"/>
          <w:szCs w:val="20"/>
        </w:rPr>
        <w:t>”，系统也可能通过第三方短信群发方式提醒供应商或投标人。</w:t>
      </w:r>
      <w:r>
        <w:rPr>
          <w:rFonts w:ascii="宋体" w:hAnsi="宋体" w:eastAsia="宋体" w:cs="宋体"/>
          <w:spacing w:val="10"/>
          <w:sz w:val="20"/>
          <w:szCs w:val="20"/>
        </w:rPr>
        <w:t>供应商或投标人须在规定的时间内进行回复。供应商或</w:t>
      </w:r>
      <w:r>
        <w:rPr>
          <w:rFonts w:ascii="宋体" w:hAnsi="宋体" w:eastAsia="宋体" w:cs="宋体"/>
          <w:spacing w:val="9"/>
          <w:sz w:val="20"/>
          <w:szCs w:val="20"/>
        </w:rPr>
        <w:t>投标人注册时所留手机联系方式要保持畅通，</w:t>
      </w:r>
      <w:r>
        <w:rPr>
          <w:rFonts w:ascii="宋体" w:hAnsi="宋体" w:eastAsia="宋体" w:cs="宋体"/>
          <w:spacing w:val="8"/>
          <w:sz w:val="20"/>
          <w:szCs w:val="20"/>
        </w:rPr>
        <w:t>因联系方式变更而未及时更新系统内联系方式的，将会造成收不到短信。此短信仅系友情提示</w:t>
      </w:r>
      <w:r>
        <w:rPr>
          <w:rFonts w:ascii="宋体" w:hAnsi="宋体" w:eastAsia="宋体" w:cs="宋体"/>
          <w:spacing w:val="7"/>
          <w:sz w:val="20"/>
          <w:szCs w:val="20"/>
        </w:rPr>
        <w:t>，并不</w:t>
      </w:r>
      <w:r>
        <w:rPr>
          <w:rFonts w:ascii="宋体" w:hAnsi="宋体" w:eastAsia="宋体" w:cs="宋体"/>
          <w:spacing w:val="8"/>
          <w:sz w:val="20"/>
          <w:szCs w:val="20"/>
        </w:rPr>
        <w:t>具有任何约束性和必要性，采购代理机构和采购人不承担供应商或投标人未收到短信而引起的</w:t>
      </w:r>
      <w:r>
        <w:rPr>
          <w:rFonts w:ascii="宋体" w:hAnsi="宋体" w:eastAsia="宋体" w:cs="宋体"/>
          <w:spacing w:val="7"/>
          <w:sz w:val="20"/>
          <w:szCs w:val="20"/>
        </w:rPr>
        <w:t>一切后果和法律责任。</w:t>
      </w:r>
    </w:p>
    <w:p w14:paraId="3E55D575">
      <w:pPr>
        <w:keepNext w:val="0"/>
        <w:keepLines w:val="0"/>
        <w:pageBreakBefore w:val="0"/>
        <w:kinsoku/>
        <w:wordWrap/>
        <w:overflowPunct/>
        <w:topLinePunct w:val="0"/>
        <w:bidi w:val="0"/>
        <w:spacing w:before="1" w:line="376" w:lineRule="auto"/>
        <w:ind w:left="4" w:right="70" w:firstLine="439"/>
        <w:rPr>
          <w:rFonts w:ascii="宋体" w:hAnsi="宋体" w:eastAsia="宋体" w:cs="宋体"/>
          <w:sz w:val="20"/>
          <w:szCs w:val="20"/>
        </w:rPr>
      </w:pPr>
      <w:r>
        <w:rPr>
          <w:rFonts w:ascii="宋体" w:hAnsi="宋体" w:eastAsia="宋体" w:cs="宋体"/>
          <w:b/>
          <w:bCs/>
          <w:spacing w:val="8"/>
          <w:sz w:val="20"/>
          <w:szCs w:val="20"/>
        </w:rPr>
        <w:t>5、供应商或投标人须自行查看项目进展、变更通知</w:t>
      </w:r>
      <w:r>
        <w:rPr>
          <w:rFonts w:ascii="宋体" w:hAnsi="宋体" w:eastAsia="宋体" w:cs="宋体"/>
          <w:b/>
          <w:bCs/>
          <w:spacing w:val="7"/>
          <w:sz w:val="20"/>
          <w:szCs w:val="20"/>
        </w:rPr>
        <w:t>、澄清及回复、群发的消息通知等，因供应商或投标人未及时查看而造成的后果自负。</w:t>
      </w:r>
    </w:p>
    <w:p w14:paraId="21EF15FF">
      <w:pPr>
        <w:keepNext w:val="0"/>
        <w:keepLines w:val="0"/>
        <w:pageBreakBefore w:val="0"/>
        <w:kinsoku/>
        <w:wordWrap/>
        <w:overflowPunct/>
        <w:topLinePunct w:val="0"/>
        <w:bidi w:val="0"/>
        <w:spacing w:before="1" w:line="376" w:lineRule="auto"/>
        <w:ind w:left="4" w:right="70" w:firstLine="439"/>
        <w:rPr>
          <w:rFonts w:ascii="宋体" w:hAnsi="宋体" w:eastAsia="宋体" w:cs="宋体"/>
          <w:b/>
          <w:bCs/>
          <w:spacing w:val="8"/>
          <w:sz w:val="20"/>
          <w:szCs w:val="20"/>
        </w:rPr>
      </w:pPr>
      <w:r>
        <w:rPr>
          <w:rFonts w:ascii="宋体" w:hAnsi="宋体" w:eastAsia="宋体" w:cs="宋体"/>
          <w:b/>
          <w:bCs/>
          <w:spacing w:val="8"/>
          <w:sz w:val="20"/>
          <w:szCs w:val="20"/>
        </w:rPr>
        <w:t>6、因本项目为远程不见面电子开评标，投标人无需到达开标现场，所以招标文件中如果有原件或复印件的要求均指其扫描件，书面形式或文件均指正确程序下有效的电子文件或指令。</w:t>
      </w:r>
    </w:p>
    <w:p w14:paraId="4CB060B6">
      <w:pPr>
        <w:keepNext w:val="0"/>
        <w:keepLines w:val="0"/>
        <w:pageBreakBefore w:val="0"/>
        <w:kinsoku/>
        <w:wordWrap/>
        <w:overflowPunct/>
        <w:topLinePunct w:val="0"/>
        <w:bidi w:val="0"/>
        <w:spacing w:before="91" w:line="223" w:lineRule="auto"/>
        <w:ind w:left="3486"/>
        <w:outlineLvl w:val="0"/>
        <w:rPr>
          <w:rFonts w:ascii="宋体" w:hAnsi="宋体" w:eastAsia="宋体" w:cs="宋体"/>
          <w:sz w:val="31"/>
          <w:szCs w:val="31"/>
        </w:rPr>
      </w:pPr>
      <w:bookmarkStart w:id="4" w:name="_Toc4838"/>
      <w:r>
        <w:rPr>
          <w:rFonts w:ascii="宋体" w:hAnsi="宋体" w:eastAsia="宋体" w:cs="宋体"/>
          <w:b/>
          <w:bCs/>
          <w:spacing w:val="7"/>
          <w:sz w:val="31"/>
          <w:szCs w:val="31"/>
        </w:rPr>
        <w:br w:type="page"/>
      </w:r>
      <w:r>
        <w:rPr>
          <w:rFonts w:ascii="宋体" w:hAnsi="宋体" w:eastAsia="宋体" w:cs="宋体"/>
          <w:b/>
          <w:bCs/>
          <w:spacing w:val="7"/>
          <w:sz w:val="31"/>
          <w:szCs w:val="31"/>
        </w:rPr>
        <w:t>第一章</w:t>
      </w:r>
      <w:r>
        <w:rPr>
          <w:rFonts w:ascii="宋体" w:hAnsi="宋体" w:eastAsia="宋体" w:cs="宋体"/>
          <w:spacing w:val="7"/>
          <w:sz w:val="31"/>
          <w:szCs w:val="31"/>
        </w:rPr>
        <w:t xml:space="preserve"> </w:t>
      </w:r>
      <w:r>
        <w:rPr>
          <w:rFonts w:ascii="宋体" w:hAnsi="宋体" w:eastAsia="宋体" w:cs="宋体"/>
          <w:b/>
          <w:bCs/>
          <w:spacing w:val="7"/>
          <w:sz w:val="31"/>
          <w:szCs w:val="31"/>
        </w:rPr>
        <w:t>招标公告</w:t>
      </w:r>
      <w:bookmarkEnd w:id="4"/>
    </w:p>
    <w:p w14:paraId="59E89E00">
      <w:pPr>
        <w:pStyle w:val="4"/>
        <w:keepNext w:val="0"/>
        <w:keepLines w:val="0"/>
        <w:pageBreakBefore w:val="0"/>
        <w:kinsoku/>
        <w:wordWrap/>
        <w:overflowPunct/>
        <w:topLinePunct w:val="0"/>
        <w:bidi w:val="0"/>
        <w:spacing w:line="281" w:lineRule="auto"/>
      </w:pPr>
    </w:p>
    <w:p w14:paraId="688DFC9D">
      <w:pPr>
        <w:keepNext w:val="0"/>
        <w:keepLines w:val="0"/>
        <w:pageBreakBefore w:val="0"/>
        <w:kinsoku/>
        <w:wordWrap/>
        <w:overflowPunct/>
        <w:topLinePunct w:val="0"/>
        <w:bidi w:val="0"/>
        <w:spacing w:before="91" w:line="219" w:lineRule="auto"/>
        <w:ind w:left="508"/>
        <w:rPr>
          <w:rFonts w:ascii="宋体" w:hAnsi="宋体" w:eastAsia="宋体" w:cs="宋体"/>
          <w:sz w:val="28"/>
          <w:szCs w:val="28"/>
        </w:rPr>
      </w:pPr>
      <w:r>
        <w:rPr>
          <w:rFonts w:hint="eastAsia" w:ascii="宋体" w:hAnsi="宋体" w:eastAsia="宋体" w:cs="宋体"/>
          <w:b/>
          <w:bCs/>
          <w:spacing w:val="1"/>
          <w:sz w:val="28"/>
          <w:szCs w:val="28"/>
          <w:lang w:eastAsia="zh-CN"/>
        </w:rPr>
        <w:t>河南省商务中等职业学校学生综合素养提升项目</w:t>
      </w:r>
      <w:r>
        <w:rPr>
          <w:rFonts w:ascii="宋体" w:hAnsi="宋体" w:eastAsia="宋体" w:cs="宋体"/>
          <w:b/>
          <w:bCs/>
          <w:sz w:val="28"/>
          <w:szCs w:val="28"/>
        </w:rPr>
        <w:t>-公开招标公告</w:t>
      </w:r>
    </w:p>
    <w:p w14:paraId="04E647D7">
      <w:pPr>
        <w:keepNext w:val="0"/>
        <w:keepLines w:val="0"/>
        <w:pageBreakBefore w:val="0"/>
        <w:kinsoku/>
        <w:wordWrap/>
        <w:overflowPunct/>
        <w:topLinePunct w:val="0"/>
        <w:bidi w:val="0"/>
        <w:spacing w:before="257" w:line="228" w:lineRule="auto"/>
        <w:ind w:left="548"/>
        <w:rPr>
          <w:rFonts w:ascii="宋体" w:hAnsi="宋体" w:eastAsia="宋体" w:cs="宋体"/>
          <w:sz w:val="20"/>
          <w:szCs w:val="20"/>
        </w:rPr>
      </w:pPr>
      <w:r>
        <w:rPr>
          <w:rFonts w:ascii="宋体" w:hAnsi="宋体" w:eastAsia="宋体" w:cs="宋体"/>
          <w:spacing w:val="6"/>
          <w:sz w:val="20"/>
          <w:szCs w:val="20"/>
        </w:rPr>
        <w:t>项目概况</w:t>
      </w:r>
    </w:p>
    <w:p w14:paraId="65BE3C6B">
      <w:pPr>
        <w:keepNext w:val="0"/>
        <w:keepLines w:val="0"/>
        <w:pageBreakBefore w:val="0"/>
        <w:kinsoku/>
        <w:wordWrap/>
        <w:overflowPunct/>
        <w:topLinePunct w:val="0"/>
        <w:bidi w:val="0"/>
        <w:spacing w:before="230" w:line="439" w:lineRule="auto"/>
        <w:ind w:left="116" w:right="158" w:firstLine="427"/>
        <w:rPr>
          <w:rFonts w:ascii="宋体" w:hAnsi="宋体" w:eastAsia="宋体" w:cs="宋体"/>
          <w:sz w:val="20"/>
          <w:szCs w:val="20"/>
        </w:rPr>
      </w:pPr>
      <w:r>
        <w:rPr>
          <w:rFonts w:hint="eastAsia" w:ascii="宋体" w:hAnsi="宋体" w:eastAsia="宋体" w:cs="宋体"/>
          <w:spacing w:val="10"/>
          <w:sz w:val="20"/>
          <w:szCs w:val="20"/>
          <w:lang w:eastAsia="zh-CN"/>
        </w:rPr>
        <w:t>河南省商务中等职业学校学生综合素养提升项目</w:t>
      </w:r>
      <w:r>
        <w:rPr>
          <w:rFonts w:ascii="宋体" w:hAnsi="宋体" w:eastAsia="宋体" w:cs="宋体"/>
          <w:spacing w:val="10"/>
          <w:sz w:val="20"/>
          <w:szCs w:val="20"/>
        </w:rPr>
        <w:t>招标项目的潜</w:t>
      </w:r>
      <w:r>
        <w:rPr>
          <w:rFonts w:ascii="宋体" w:hAnsi="宋体" w:eastAsia="宋体" w:cs="宋体"/>
          <w:spacing w:val="9"/>
          <w:sz w:val="20"/>
          <w:szCs w:val="20"/>
        </w:rPr>
        <w:t>在投标人应在河南省公共资</w:t>
      </w:r>
      <w:r>
        <w:rPr>
          <w:rFonts w:ascii="宋体" w:hAnsi="宋体" w:eastAsia="宋体" w:cs="宋体"/>
          <w:spacing w:val="8"/>
          <w:sz w:val="20"/>
          <w:szCs w:val="20"/>
        </w:rPr>
        <w:t>源交易中心平台系统（</w:t>
      </w:r>
      <w:r>
        <w:fldChar w:fldCharType="begin"/>
      </w:r>
      <w:r>
        <w:instrText xml:space="preserve"> HYPERLINK "http://hnsggzyjy.henan.gov.cn/" </w:instrText>
      </w:r>
      <w:r>
        <w:fldChar w:fldCharType="separate"/>
      </w:r>
      <w:r>
        <w:rPr>
          <w:rFonts w:ascii="宋体" w:hAnsi="宋体" w:eastAsia="宋体" w:cs="宋体"/>
          <w:sz w:val="20"/>
          <w:szCs w:val="20"/>
        </w:rPr>
        <w:t>http</w:t>
      </w:r>
      <w:r>
        <w:rPr>
          <w:rFonts w:ascii="宋体" w:hAnsi="宋体" w:eastAsia="宋体" w:cs="宋体"/>
          <w:spacing w:val="8"/>
          <w:sz w:val="20"/>
          <w:szCs w:val="20"/>
        </w:rPr>
        <w:t>://</w:t>
      </w:r>
      <w:r>
        <w:rPr>
          <w:rFonts w:ascii="宋体" w:hAnsi="宋体" w:eastAsia="宋体" w:cs="宋体"/>
          <w:sz w:val="20"/>
          <w:szCs w:val="20"/>
        </w:rPr>
        <w:t>hnsggzyjy</w:t>
      </w:r>
      <w:r>
        <w:rPr>
          <w:rFonts w:ascii="宋体" w:hAnsi="宋体" w:eastAsia="宋体" w:cs="宋体"/>
          <w:spacing w:val="8"/>
          <w:sz w:val="20"/>
          <w:szCs w:val="20"/>
        </w:rPr>
        <w:t>.</w:t>
      </w:r>
      <w:r>
        <w:rPr>
          <w:rFonts w:ascii="宋体" w:hAnsi="宋体" w:eastAsia="宋体" w:cs="宋体"/>
          <w:sz w:val="20"/>
          <w:szCs w:val="20"/>
        </w:rPr>
        <w:t>henan</w:t>
      </w:r>
      <w:r>
        <w:rPr>
          <w:rFonts w:ascii="宋体" w:hAnsi="宋体" w:eastAsia="宋体" w:cs="宋体"/>
          <w:spacing w:val="8"/>
          <w:sz w:val="20"/>
          <w:szCs w:val="20"/>
        </w:rPr>
        <w:t>.</w:t>
      </w:r>
      <w:r>
        <w:rPr>
          <w:rFonts w:ascii="宋体" w:hAnsi="宋体" w:eastAsia="宋体" w:cs="宋体"/>
          <w:sz w:val="20"/>
          <w:szCs w:val="20"/>
        </w:rPr>
        <w:t>gov</w:t>
      </w:r>
      <w:r>
        <w:rPr>
          <w:rFonts w:ascii="宋体" w:hAnsi="宋体" w:eastAsia="宋体" w:cs="宋体"/>
          <w:spacing w:val="8"/>
          <w:sz w:val="20"/>
          <w:szCs w:val="20"/>
        </w:rPr>
        <w:t>.</w:t>
      </w:r>
      <w:r>
        <w:rPr>
          <w:rFonts w:ascii="宋体" w:hAnsi="宋体" w:eastAsia="宋体" w:cs="宋体"/>
          <w:sz w:val="20"/>
          <w:szCs w:val="20"/>
        </w:rPr>
        <w:t>cn</w:t>
      </w:r>
      <w:r>
        <w:rPr>
          <w:rFonts w:ascii="宋体" w:hAnsi="宋体" w:eastAsia="宋体" w:cs="宋体"/>
          <w:spacing w:val="8"/>
          <w:sz w:val="20"/>
          <w:szCs w:val="20"/>
        </w:rPr>
        <w:t>/</w:t>
      </w:r>
      <w:r>
        <w:rPr>
          <w:rFonts w:ascii="宋体" w:hAnsi="宋体" w:eastAsia="宋体" w:cs="宋体"/>
          <w:spacing w:val="8"/>
          <w:sz w:val="20"/>
          <w:szCs w:val="20"/>
        </w:rPr>
        <w:fldChar w:fldCharType="end"/>
      </w:r>
      <w:r>
        <w:rPr>
          <w:rFonts w:ascii="宋体" w:hAnsi="宋体" w:eastAsia="宋体" w:cs="宋体"/>
          <w:spacing w:val="8"/>
          <w:sz w:val="20"/>
          <w:szCs w:val="20"/>
        </w:rPr>
        <w:t>）获取招标文件，并于 2026年</w:t>
      </w:r>
      <w:r>
        <w:rPr>
          <w:rFonts w:hint="eastAsia" w:ascii="宋体" w:hAnsi="宋体" w:eastAsia="宋体" w:cs="宋体"/>
          <w:spacing w:val="8"/>
          <w:sz w:val="20"/>
          <w:szCs w:val="20"/>
          <w:lang w:val="en-US" w:eastAsia="zh-CN"/>
        </w:rPr>
        <w:t>05</w:t>
      </w:r>
      <w:r>
        <w:rPr>
          <w:rFonts w:ascii="宋体" w:hAnsi="宋体" w:eastAsia="宋体" w:cs="宋体"/>
          <w:spacing w:val="8"/>
          <w:sz w:val="20"/>
          <w:szCs w:val="20"/>
        </w:rPr>
        <w:t>月</w:t>
      </w:r>
      <w:r>
        <w:rPr>
          <w:rFonts w:hint="eastAsia" w:ascii="宋体" w:hAnsi="宋体" w:eastAsia="宋体" w:cs="宋体"/>
          <w:spacing w:val="8"/>
          <w:sz w:val="20"/>
          <w:szCs w:val="20"/>
          <w:lang w:val="en-US" w:eastAsia="zh-CN"/>
        </w:rPr>
        <w:t>07</w:t>
      </w:r>
      <w:r>
        <w:rPr>
          <w:rFonts w:ascii="宋体" w:hAnsi="宋体" w:eastAsia="宋体" w:cs="宋体"/>
          <w:spacing w:val="8"/>
          <w:sz w:val="20"/>
          <w:szCs w:val="20"/>
        </w:rPr>
        <w:t>日09时00分（北京时间）前递交投标文件</w:t>
      </w:r>
      <w:r>
        <w:rPr>
          <w:rFonts w:ascii="宋体" w:hAnsi="宋体" w:eastAsia="宋体" w:cs="宋体"/>
          <w:spacing w:val="6"/>
          <w:sz w:val="20"/>
          <w:szCs w:val="20"/>
        </w:rPr>
        <w:t>。</w:t>
      </w:r>
    </w:p>
    <w:p w14:paraId="475057AB">
      <w:pPr>
        <w:keepNext w:val="0"/>
        <w:keepLines w:val="0"/>
        <w:pageBreakBefore w:val="0"/>
        <w:kinsoku/>
        <w:wordWrap/>
        <w:overflowPunct/>
        <w:topLinePunct w:val="0"/>
        <w:bidi w:val="0"/>
        <w:spacing w:before="1" w:line="226" w:lineRule="auto"/>
        <w:ind w:firstLine="430" w:firstLineChars="200"/>
        <w:rPr>
          <w:rFonts w:ascii="宋体" w:hAnsi="宋体" w:eastAsia="宋体" w:cs="宋体"/>
          <w:sz w:val="20"/>
          <w:szCs w:val="20"/>
        </w:rPr>
      </w:pPr>
      <w:r>
        <w:rPr>
          <w:rFonts w:ascii="宋体" w:hAnsi="宋体" w:eastAsia="宋体" w:cs="宋体"/>
          <w:b/>
          <w:bCs/>
          <w:spacing w:val="7"/>
          <w:sz w:val="20"/>
          <w:szCs w:val="20"/>
        </w:rPr>
        <w:t>一、项目基本情况</w:t>
      </w:r>
    </w:p>
    <w:p w14:paraId="25CD1696">
      <w:pPr>
        <w:keepNext w:val="0"/>
        <w:keepLines w:val="0"/>
        <w:pageBreakBefore w:val="0"/>
        <w:kinsoku/>
        <w:wordWrap/>
        <w:overflowPunct/>
        <w:topLinePunct w:val="0"/>
        <w:bidi w:val="0"/>
        <w:spacing w:before="229" w:line="227" w:lineRule="auto"/>
        <w:ind w:firstLine="424" w:firstLineChars="200"/>
        <w:rPr>
          <w:rFonts w:hint="eastAsia" w:ascii="宋体" w:hAnsi="宋体" w:eastAsia="宋体" w:cs="宋体"/>
          <w:sz w:val="20"/>
          <w:szCs w:val="20"/>
          <w:lang w:eastAsia="zh-CN"/>
        </w:rPr>
      </w:pPr>
      <w:r>
        <w:rPr>
          <w:rFonts w:ascii="宋体" w:hAnsi="宋体" w:eastAsia="宋体" w:cs="宋体"/>
          <w:spacing w:val="6"/>
          <w:sz w:val="20"/>
          <w:szCs w:val="20"/>
        </w:rPr>
        <w:t>1、项目编号：</w:t>
      </w:r>
      <w:r>
        <w:rPr>
          <w:rFonts w:hint="eastAsia" w:ascii="宋体" w:hAnsi="宋体" w:eastAsia="宋体" w:cs="宋体"/>
          <w:spacing w:val="6"/>
          <w:sz w:val="20"/>
          <w:szCs w:val="20"/>
          <w:lang w:eastAsia="zh-CN"/>
        </w:rPr>
        <w:t>豫财招标采购-2026-317</w:t>
      </w:r>
    </w:p>
    <w:p w14:paraId="23D6D18A">
      <w:pPr>
        <w:keepNext w:val="0"/>
        <w:keepLines w:val="0"/>
        <w:pageBreakBefore w:val="0"/>
        <w:kinsoku/>
        <w:wordWrap/>
        <w:overflowPunct/>
        <w:topLinePunct w:val="0"/>
        <w:bidi w:val="0"/>
        <w:spacing w:before="229" w:line="228" w:lineRule="auto"/>
        <w:ind w:firstLine="436" w:firstLineChars="200"/>
        <w:rPr>
          <w:rFonts w:hint="eastAsia" w:ascii="宋体" w:hAnsi="宋体" w:eastAsia="宋体" w:cs="宋体"/>
          <w:sz w:val="20"/>
          <w:szCs w:val="20"/>
          <w:lang w:eastAsia="zh-CN"/>
        </w:rPr>
      </w:pPr>
      <w:r>
        <w:rPr>
          <w:rFonts w:ascii="宋体" w:hAnsi="宋体" w:eastAsia="宋体" w:cs="宋体"/>
          <w:spacing w:val="9"/>
          <w:sz w:val="20"/>
          <w:szCs w:val="20"/>
        </w:rPr>
        <w:t>2、项目名称：</w:t>
      </w:r>
      <w:r>
        <w:rPr>
          <w:rFonts w:hint="eastAsia" w:ascii="宋体" w:hAnsi="宋体" w:eastAsia="宋体" w:cs="宋体"/>
          <w:spacing w:val="9"/>
          <w:sz w:val="20"/>
          <w:szCs w:val="20"/>
          <w:lang w:eastAsia="zh-CN"/>
        </w:rPr>
        <w:t>河南省商务中等职业学校学生综合素养提升项目</w:t>
      </w:r>
    </w:p>
    <w:p w14:paraId="795BC44B">
      <w:pPr>
        <w:keepNext w:val="0"/>
        <w:keepLines w:val="0"/>
        <w:pageBreakBefore w:val="0"/>
        <w:kinsoku/>
        <w:wordWrap/>
        <w:overflowPunct/>
        <w:topLinePunct w:val="0"/>
        <w:bidi w:val="0"/>
        <w:spacing w:before="231" w:line="227" w:lineRule="auto"/>
        <w:ind w:firstLine="432" w:firstLineChars="200"/>
        <w:rPr>
          <w:rFonts w:ascii="宋体" w:hAnsi="宋体" w:eastAsia="宋体" w:cs="宋体"/>
          <w:sz w:val="20"/>
          <w:szCs w:val="20"/>
        </w:rPr>
      </w:pPr>
      <w:r>
        <w:rPr>
          <w:rFonts w:ascii="宋体" w:hAnsi="宋体" w:eastAsia="宋体" w:cs="宋体"/>
          <w:spacing w:val="8"/>
          <w:sz w:val="20"/>
          <w:szCs w:val="20"/>
        </w:rPr>
        <w:t>3、采购方式：公开招标</w:t>
      </w:r>
    </w:p>
    <w:p w14:paraId="3D28AEF7">
      <w:pPr>
        <w:keepNext w:val="0"/>
        <w:keepLines w:val="0"/>
        <w:pageBreakBefore w:val="0"/>
        <w:kinsoku/>
        <w:wordWrap/>
        <w:overflowPunct/>
        <w:topLinePunct w:val="0"/>
        <w:bidi w:val="0"/>
        <w:spacing w:before="227" w:line="226" w:lineRule="auto"/>
        <w:ind w:firstLine="420" w:firstLineChars="200"/>
        <w:rPr>
          <w:rFonts w:ascii="宋体" w:hAnsi="宋体" w:eastAsia="宋体" w:cs="宋体"/>
          <w:sz w:val="20"/>
          <w:szCs w:val="20"/>
        </w:rPr>
      </w:pPr>
      <w:r>
        <w:rPr>
          <w:rFonts w:ascii="宋体" w:hAnsi="宋体" w:eastAsia="宋体" w:cs="宋体"/>
          <w:spacing w:val="5"/>
          <w:sz w:val="20"/>
          <w:szCs w:val="20"/>
        </w:rPr>
        <w:t>4、预算金额：</w:t>
      </w:r>
      <w:r>
        <w:rPr>
          <w:rFonts w:hint="eastAsia" w:ascii="宋体" w:hAnsi="宋体" w:eastAsia="宋体" w:cs="宋体"/>
          <w:spacing w:val="5"/>
          <w:sz w:val="20"/>
          <w:szCs w:val="20"/>
          <w:lang w:val="en-US" w:eastAsia="zh-CN"/>
        </w:rPr>
        <w:t>6600000</w:t>
      </w:r>
      <w:r>
        <w:rPr>
          <w:rFonts w:ascii="宋体" w:hAnsi="宋体" w:eastAsia="宋体" w:cs="宋体"/>
          <w:spacing w:val="5"/>
          <w:sz w:val="20"/>
          <w:szCs w:val="20"/>
        </w:rPr>
        <w:t>.00</w:t>
      </w:r>
      <w:r>
        <w:rPr>
          <w:rFonts w:ascii="宋体" w:hAnsi="宋体" w:eastAsia="宋体" w:cs="宋体"/>
          <w:spacing w:val="-24"/>
          <w:sz w:val="20"/>
          <w:szCs w:val="20"/>
        </w:rPr>
        <w:t xml:space="preserve"> </w:t>
      </w:r>
      <w:r>
        <w:rPr>
          <w:rFonts w:ascii="宋体" w:hAnsi="宋体" w:eastAsia="宋体" w:cs="宋体"/>
          <w:spacing w:val="5"/>
          <w:sz w:val="20"/>
          <w:szCs w:val="20"/>
        </w:rPr>
        <w:t>元</w:t>
      </w:r>
    </w:p>
    <w:p w14:paraId="2E247277">
      <w:pPr>
        <w:keepNext w:val="0"/>
        <w:keepLines w:val="0"/>
        <w:pageBreakBefore w:val="0"/>
        <w:kinsoku/>
        <w:wordWrap/>
        <w:overflowPunct/>
        <w:topLinePunct w:val="0"/>
        <w:bidi w:val="0"/>
        <w:spacing w:before="233" w:line="226" w:lineRule="auto"/>
        <w:ind w:left="547"/>
        <w:rPr>
          <w:rFonts w:ascii="宋体" w:hAnsi="宋体" w:eastAsia="宋体" w:cs="宋体"/>
          <w:sz w:val="20"/>
          <w:szCs w:val="20"/>
        </w:rPr>
      </w:pPr>
      <w:r>
        <w:rPr>
          <w:rFonts w:ascii="宋体" w:hAnsi="宋体" w:eastAsia="宋体" w:cs="宋体"/>
          <w:spacing w:val="5"/>
          <w:sz w:val="20"/>
          <w:szCs w:val="20"/>
        </w:rPr>
        <w:t>最高限价：</w:t>
      </w:r>
      <w:r>
        <w:rPr>
          <w:rFonts w:hint="eastAsia" w:ascii="宋体" w:hAnsi="宋体" w:eastAsia="宋体" w:cs="宋体"/>
          <w:spacing w:val="5"/>
          <w:sz w:val="20"/>
          <w:szCs w:val="20"/>
          <w:lang w:val="en-US" w:eastAsia="zh-CN"/>
        </w:rPr>
        <w:t>6600000</w:t>
      </w:r>
      <w:r>
        <w:rPr>
          <w:rFonts w:ascii="宋体" w:hAnsi="宋体" w:eastAsia="宋体" w:cs="宋体"/>
          <w:spacing w:val="5"/>
          <w:sz w:val="20"/>
          <w:szCs w:val="20"/>
        </w:rPr>
        <w:t>.00</w:t>
      </w:r>
      <w:r>
        <w:rPr>
          <w:rFonts w:ascii="宋体" w:hAnsi="宋体" w:eastAsia="宋体" w:cs="宋体"/>
          <w:spacing w:val="-32"/>
          <w:sz w:val="20"/>
          <w:szCs w:val="20"/>
        </w:rPr>
        <w:t xml:space="preserve"> </w:t>
      </w:r>
      <w:r>
        <w:rPr>
          <w:rFonts w:ascii="宋体" w:hAnsi="宋体" w:eastAsia="宋体" w:cs="宋体"/>
          <w:spacing w:val="5"/>
          <w:sz w:val="20"/>
          <w:szCs w:val="20"/>
        </w:rPr>
        <w:t>元</w:t>
      </w:r>
    </w:p>
    <w:p w14:paraId="443BCD93">
      <w:pPr>
        <w:keepNext w:val="0"/>
        <w:keepLines w:val="0"/>
        <w:pageBreakBefore w:val="0"/>
        <w:kinsoku/>
        <w:wordWrap/>
        <w:overflowPunct/>
        <w:topLinePunct w:val="0"/>
        <w:bidi w:val="0"/>
        <w:spacing w:line="97" w:lineRule="exact"/>
      </w:pPr>
    </w:p>
    <w:tbl>
      <w:tblPr>
        <w:tblStyle w:val="30"/>
        <w:tblW w:w="8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0"/>
        <w:gridCol w:w="1754"/>
        <w:gridCol w:w="1944"/>
        <w:gridCol w:w="1416"/>
        <w:gridCol w:w="1319"/>
        <w:gridCol w:w="1224"/>
      </w:tblGrid>
      <w:tr w14:paraId="65088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0" w:hRule="atLeast"/>
        </w:trPr>
        <w:tc>
          <w:tcPr>
            <w:tcW w:w="600" w:type="dxa"/>
            <w:vAlign w:val="center"/>
          </w:tcPr>
          <w:p w14:paraId="2D49BF3A">
            <w:pPr>
              <w:pStyle w:val="31"/>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8"/>
              </w:rPr>
              <w:t>序号</w:t>
            </w:r>
          </w:p>
        </w:tc>
        <w:tc>
          <w:tcPr>
            <w:tcW w:w="1754" w:type="dxa"/>
            <w:vAlign w:val="center"/>
          </w:tcPr>
          <w:p w14:paraId="209A5D08">
            <w:pPr>
              <w:pStyle w:val="31"/>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4"/>
              </w:rPr>
              <w:t>包号</w:t>
            </w:r>
          </w:p>
        </w:tc>
        <w:tc>
          <w:tcPr>
            <w:tcW w:w="1944" w:type="dxa"/>
            <w:vAlign w:val="center"/>
          </w:tcPr>
          <w:p w14:paraId="5FB1860A">
            <w:pPr>
              <w:pStyle w:val="31"/>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6"/>
              </w:rPr>
              <w:t>包名称</w:t>
            </w:r>
          </w:p>
        </w:tc>
        <w:tc>
          <w:tcPr>
            <w:tcW w:w="1416" w:type="dxa"/>
            <w:vAlign w:val="center"/>
          </w:tcPr>
          <w:p w14:paraId="0E4977E1">
            <w:pPr>
              <w:pStyle w:val="31"/>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8"/>
              </w:rPr>
              <w:t>包预算（元）</w:t>
            </w:r>
          </w:p>
        </w:tc>
        <w:tc>
          <w:tcPr>
            <w:tcW w:w="1319" w:type="dxa"/>
            <w:vAlign w:val="center"/>
          </w:tcPr>
          <w:p w14:paraId="19410C6A">
            <w:pPr>
              <w:pStyle w:val="31"/>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8"/>
              </w:rPr>
              <w:t>包最高限价</w:t>
            </w:r>
          </w:p>
          <w:p w14:paraId="66ED4F96">
            <w:pPr>
              <w:pStyle w:val="31"/>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1"/>
              </w:rPr>
              <w:t>（元）</w:t>
            </w:r>
          </w:p>
        </w:tc>
        <w:tc>
          <w:tcPr>
            <w:tcW w:w="1224" w:type="dxa"/>
            <w:vAlign w:val="center"/>
          </w:tcPr>
          <w:p w14:paraId="32638054">
            <w:pPr>
              <w:pStyle w:val="31"/>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7"/>
              </w:rPr>
              <w:t>是否专门面</w:t>
            </w:r>
          </w:p>
          <w:p w14:paraId="442752FB">
            <w:pPr>
              <w:pStyle w:val="31"/>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3"/>
              </w:rPr>
              <w:t>向</w:t>
            </w:r>
            <w:r>
              <w:rPr>
                <w:color w:val="000000" w:themeColor="text1"/>
                <w:spacing w:val="3"/>
                <w14:textFill>
                  <w14:solidFill>
                    <w14:schemeClr w14:val="tx1"/>
                  </w14:solidFill>
                </w14:textFill>
              </w:rPr>
              <w:t>中小</w:t>
            </w:r>
            <w:r>
              <w:rPr>
                <w:rFonts w:hint="eastAsia" w:ascii="宋体" w:hAnsi="宋体" w:eastAsia="宋体" w:cs="宋体"/>
                <w:color w:val="000000" w:themeColor="text1"/>
                <w:spacing w:val="8"/>
                <w:sz w:val="20"/>
                <w:szCs w:val="20"/>
                <w:highlight w:val="none"/>
                <w:lang w:val="en-US" w:eastAsia="zh-CN"/>
                <w14:textFill>
                  <w14:solidFill>
                    <w14:schemeClr w14:val="tx1"/>
                  </w14:solidFill>
                </w14:textFill>
              </w:rPr>
              <w:t>微</w:t>
            </w:r>
            <w:r>
              <w:rPr>
                <w:color w:val="000000" w:themeColor="text1"/>
                <w:spacing w:val="3"/>
                <w14:textFill>
                  <w14:solidFill>
                    <w14:schemeClr w14:val="tx1"/>
                  </w14:solidFill>
                </w14:textFill>
              </w:rPr>
              <w:t>企</w:t>
            </w:r>
            <w:r>
              <w:rPr>
                <w:spacing w:val="3"/>
              </w:rPr>
              <w:t>业</w:t>
            </w:r>
          </w:p>
        </w:tc>
      </w:tr>
      <w:tr w14:paraId="53F1F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1" w:hRule="atLeast"/>
        </w:trPr>
        <w:tc>
          <w:tcPr>
            <w:tcW w:w="600" w:type="dxa"/>
            <w:vAlign w:val="center"/>
          </w:tcPr>
          <w:p w14:paraId="61722034">
            <w:pPr>
              <w:pStyle w:val="31"/>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position w:val="1"/>
              </w:rPr>
              <w:t>1</w:t>
            </w:r>
          </w:p>
        </w:tc>
        <w:tc>
          <w:tcPr>
            <w:tcW w:w="1754" w:type="dxa"/>
            <w:vAlign w:val="center"/>
          </w:tcPr>
          <w:p w14:paraId="59BE074A">
            <w:pPr>
              <w:pStyle w:val="31"/>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rFonts w:hint="eastAsia"/>
              </w:rPr>
              <w:t>豫政采(2)202603</w:t>
            </w:r>
            <w:r>
              <w:rPr>
                <w:rFonts w:hint="eastAsia"/>
                <w:lang w:val="en-US" w:eastAsia="zh-CN"/>
              </w:rPr>
              <w:t>68</w:t>
            </w:r>
            <w:r>
              <w:rPr>
                <w:rFonts w:hint="eastAsia"/>
              </w:rPr>
              <w:t>-1</w:t>
            </w:r>
          </w:p>
        </w:tc>
        <w:tc>
          <w:tcPr>
            <w:tcW w:w="1944" w:type="dxa"/>
            <w:vAlign w:val="center"/>
          </w:tcPr>
          <w:p w14:paraId="59D27366">
            <w:pPr>
              <w:pStyle w:val="31"/>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eastAsia="宋体"/>
                <w:lang w:eastAsia="zh-CN"/>
              </w:rPr>
            </w:pPr>
            <w:r>
              <w:rPr>
                <w:rFonts w:hint="eastAsia"/>
                <w:spacing w:val="8"/>
                <w:lang w:eastAsia="zh-CN"/>
              </w:rPr>
              <w:t>河南省商务中等职业学校学生综合素养提升项目</w:t>
            </w:r>
          </w:p>
        </w:tc>
        <w:tc>
          <w:tcPr>
            <w:tcW w:w="1416" w:type="dxa"/>
            <w:vAlign w:val="center"/>
          </w:tcPr>
          <w:p w14:paraId="14EC1B8E">
            <w:pPr>
              <w:pStyle w:val="31"/>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rFonts w:hint="eastAsia" w:ascii="宋体" w:hAnsi="宋体" w:eastAsia="宋体" w:cs="宋体"/>
                <w:spacing w:val="5"/>
                <w:sz w:val="20"/>
                <w:szCs w:val="20"/>
                <w:lang w:val="en-US" w:eastAsia="zh-CN"/>
              </w:rPr>
              <w:t>6600000</w:t>
            </w:r>
            <w:r>
              <w:rPr>
                <w:rFonts w:ascii="宋体" w:hAnsi="宋体" w:eastAsia="宋体" w:cs="宋体"/>
                <w:spacing w:val="5"/>
                <w:sz w:val="20"/>
                <w:szCs w:val="20"/>
              </w:rPr>
              <w:t>.00</w:t>
            </w:r>
          </w:p>
        </w:tc>
        <w:tc>
          <w:tcPr>
            <w:tcW w:w="1319" w:type="dxa"/>
            <w:vAlign w:val="center"/>
          </w:tcPr>
          <w:p w14:paraId="00BD902D">
            <w:pPr>
              <w:pStyle w:val="31"/>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rFonts w:hint="eastAsia" w:ascii="宋体" w:hAnsi="宋体" w:eastAsia="宋体" w:cs="宋体"/>
                <w:spacing w:val="5"/>
                <w:sz w:val="20"/>
                <w:szCs w:val="20"/>
                <w:lang w:val="en-US" w:eastAsia="zh-CN"/>
              </w:rPr>
              <w:t>6600000</w:t>
            </w:r>
            <w:r>
              <w:rPr>
                <w:rFonts w:ascii="宋体" w:hAnsi="宋体" w:eastAsia="宋体" w:cs="宋体"/>
                <w:spacing w:val="5"/>
                <w:sz w:val="20"/>
                <w:szCs w:val="20"/>
              </w:rPr>
              <w:t>.00</w:t>
            </w:r>
          </w:p>
        </w:tc>
        <w:tc>
          <w:tcPr>
            <w:tcW w:w="1224" w:type="dxa"/>
            <w:vAlign w:val="center"/>
          </w:tcPr>
          <w:p w14:paraId="67EACE27">
            <w:pPr>
              <w:pStyle w:val="31"/>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eastAsia="宋体"/>
                <w:lang w:eastAsia="zh-CN"/>
              </w:rPr>
            </w:pPr>
            <w:bookmarkStart w:id="83" w:name="_GoBack"/>
            <w:bookmarkEnd w:id="83"/>
            <w:r>
              <w:rPr>
                <w:rFonts w:hint="eastAsia"/>
                <w:lang w:eastAsia="zh-CN"/>
              </w:rPr>
              <w:t>是</w:t>
            </w:r>
          </w:p>
        </w:tc>
      </w:tr>
    </w:tbl>
    <w:p w14:paraId="5C588610">
      <w:pPr>
        <w:keepNext w:val="0"/>
        <w:keepLines w:val="0"/>
        <w:pageBreakBefore w:val="0"/>
        <w:kinsoku/>
        <w:wordWrap/>
        <w:overflowPunct/>
        <w:topLinePunct w:val="0"/>
        <w:bidi w:val="0"/>
        <w:spacing w:before="133" w:line="227" w:lineRule="auto"/>
        <w:ind w:firstLine="436" w:firstLineChars="200"/>
        <w:rPr>
          <w:rFonts w:ascii="宋体" w:hAnsi="宋体" w:eastAsia="宋体" w:cs="宋体"/>
          <w:sz w:val="20"/>
          <w:szCs w:val="20"/>
        </w:rPr>
      </w:pPr>
      <w:r>
        <w:rPr>
          <w:rFonts w:ascii="宋体" w:hAnsi="宋体" w:eastAsia="宋体" w:cs="宋体"/>
          <w:spacing w:val="9"/>
          <w:sz w:val="20"/>
          <w:szCs w:val="20"/>
        </w:rPr>
        <w:t>5、采购需求（包括但不限于标的的名称、数量、简要技术需求或服务要求等）</w:t>
      </w:r>
    </w:p>
    <w:p w14:paraId="78CDC3D5">
      <w:pPr>
        <w:keepNext w:val="0"/>
        <w:keepLines w:val="0"/>
        <w:pageBreakBefore w:val="0"/>
        <w:kinsoku/>
        <w:wordWrap/>
        <w:overflowPunct/>
        <w:topLinePunct w:val="0"/>
        <w:bidi w:val="0"/>
        <w:spacing w:before="229" w:line="439" w:lineRule="auto"/>
        <w:ind w:right="134" w:firstLine="432" w:firstLineChars="200"/>
        <w:rPr>
          <w:rFonts w:hint="eastAsia" w:ascii="宋体" w:hAnsi="宋体" w:eastAsia="宋体" w:cs="宋体"/>
          <w:color w:val="000000" w:themeColor="text1"/>
          <w:sz w:val="20"/>
          <w:szCs w:val="20"/>
          <w:lang w:eastAsia="zh-CN"/>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5.1 采购内容：</w:t>
      </w:r>
      <w:r>
        <w:rPr>
          <w:rFonts w:hint="eastAsia" w:ascii="宋体" w:hAnsi="宋体" w:eastAsia="宋体" w:cs="宋体"/>
          <w:color w:val="000000" w:themeColor="text1"/>
          <w:spacing w:val="8"/>
          <w:sz w:val="20"/>
          <w:szCs w:val="20"/>
          <w:lang w:val="en-US" w:eastAsia="zh-CN"/>
          <w14:textFill>
            <w14:solidFill>
              <w14:schemeClr w14:val="tx1"/>
            </w14:solidFill>
          </w14:textFill>
        </w:rPr>
        <w:t>23</w:t>
      </w:r>
      <w:r>
        <w:rPr>
          <w:rFonts w:ascii="宋体" w:hAnsi="宋体" w:eastAsia="宋体" w:cs="宋体"/>
          <w:color w:val="000000" w:themeColor="text1"/>
          <w:spacing w:val="8"/>
          <w:sz w:val="20"/>
          <w:szCs w:val="20"/>
          <w14:textFill>
            <w14:solidFill>
              <w14:schemeClr w14:val="tx1"/>
            </w14:solidFill>
          </w14:textFill>
        </w:rPr>
        <w:t>名驻校教官</w:t>
      </w:r>
      <w:r>
        <w:rPr>
          <w:rFonts w:hint="eastAsia" w:ascii="宋体" w:hAnsi="宋体" w:eastAsia="宋体" w:cs="宋体"/>
          <w:color w:val="000000" w:themeColor="text1"/>
          <w:spacing w:val="8"/>
          <w:sz w:val="20"/>
          <w:szCs w:val="20"/>
          <w:lang w:eastAsia="zh-CN"/>
          <w14:textFill>
            <w14:solidFill>
              <w14:schemeClr w14:val="tx1"/>
            </w14:solidFill>
          </w14:textFill>
        </w:rPr>
        <w:t>，</w:t>
      </w:r>
      <w:r>
        <w:rPr>
          <w:rFonts w:ascii="宋体" w:hAnsi="宋体" w:eastAsia="宋体" w:cs="宋体"/>
          <w:color w:val="000000" w:themeColor="text1"/>
          <w:spacing w:val="8"/>
          <w:sz w:val="20"/>
          <w:szCs w:val="20"/>
          <w14:textFill>
            <w14:solidFill>
              <w14:schemeClr w14:val="tx1"/>
            </w14:solidFill>
          </w14:textFill>
        </w:rPr>
        <w:t>驻校教官</w:t>
      </w:r>
      <w:r>
        <w:rPr>
          <w:rFonts w:ascii="宋体" w:hAnsi="宋体" w:eastAsia="宋体" w:cs="宋体"/>
          <w:color w:val="000000" w:themeColor="text1"/>
          <w:spacing w:val="-34"/>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24</w:t>
      </w:r>
      <w:r>
        <w:rPr>
          <w:rFonts w:ascii="宋体" w:hAnsi="宋体" w:eastAsia="宋体" w:cs="宋体"/>
          <w:color w:val="000000" w:themeColor="text1"/>
          <w:spacing w:val="-34"/>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小时驻校，和学生吃住在一起，负责学生宿舍楼内全部住校学生及其周边的</w:t>
      </w:r>
      <w:r>
        <w:rPr>
          <w:rFonts w:hint="eastAsia" w:ascii="宋体" w:hAnsi="宋体" w:eastAsia="宋体" w:cs="宋体"/>
          <w:color w:val="000000" w:themeColor="text1"/>
          <w:spacing w:val="8"/>
          <w:sz w:val="20"/>
          <w:szCs w:val="20"/>
          <w:lang w:val="en-US" w:eastAsia="zh-CN"/>
          <w14:textFill>
            <w14:solidFill>
              <w14:schemeClr w14:val="tx1"/>
            </w14:solidFill>
          </w14:textFill>
        </w:rPr>
        <w:t>安全、</w:t>
      </w:r>
      <w:r>
        <w:rPr>
          <w:rFonts w:ascii="宋体" w:hAnsi="宋体" w:eastAsia="宋体" w:cs="宋体"/>
          <w:color w:val="000000" w:themeColor="text1"/>
          <w:spacing w:val="8"/>
          <w:sz w:val="20"/>
          <w:szCs w:val="20"/>
          <w14:textFill>
            <w14:solidFill>
              <w14:schemeClr w14:val="tx1"/>
            </w14:solidFill>
          </w14:textFill>
        </w:rPr>
        <w:t>服务与育人工作。确保学生安全，促进学生发展，协助打造学</w:t>
      </w:r>
      <w:r>
        <w:rPr>
          <w:rFonts w:ascii="宋体" w:hAnsi="宋体" w:eastAsia="宋体" w:cs="宋体"/>
          <w:color w:val="000000" w:themeColor="text1"/>
          <w:spacing w:val="10"/>
          <w:sz w:val="20"/>
          <w:szCs w:val="20"/>
          <w14:textFill>
            <w14:solidFill>
              <w14:schemeClr w14:val="tx1"/>
            </w14:solidFill>
          </w14:textFill>
        </w:rPr>
        <w:t>生自我管理机制</w:t>
      </w:r>
      <w:r>
        <w:rPr>
          <w:rFonts w:hint="eastAsia" w:ascii="宋体" w:hAnsi="宋体" w:eastAsia="宋体" w:cs="宋体"/>
          <w:color w:val="000000" w:themeColor="text1"/>
          <w:spacing w:val="10"/>
          <w:sz w:val="20"/>
          <w:szCs w:val="20"/>
          <w:lang w:eastAsia="zh-CN"/>
          <w14:textFill>
            <w14:solidFill>
              <w14:schemeClr w14:val="tx1"/>
            </w14:solidFill>
          </w14:textFill>
        </w:rPr>
        <w:t>（具体详见招标文件第五章“采购需求”）。</w:t>
      </w:r>
    </w:p>
    <w:p w14:paraId="1C9B691F">
      <w:pPr>
        <w:keepNext w:val="0"/>
        <w:keepLines w:val="0"/>
        <w:pageBreakBefore w:val="0"/>
        <w:kinsoku/>
        <w:wordWrap/>
        <w:overflowPunct/>
        <w:topLinePunct w:val="0"/>
        <w:bidi w:val="0"/>
        <w:spacing w:line="439" w:lineRule="auto"/>
        <w:ind w:right="134" w:firstLine="428" w:firstLineChars="200"/>
        <w:rPr>
          <w:rFonts w:hint="eastAsia" w:ascii="宋体" w:hAnsi="宋体" w:eastAsia="宋体" w:cs="宋体"/>
          <w:color w:val="000000" w:themeColor="text1"/>
          <w:sz w:val="20"/>
          <w:szCs w:val="20"/>
          <w:highlight w:val="none"/>
          <w:lang w:eastAsia="zh-CN"/>
          <w14:textFill>
            <w14:solidFill>
              <w14:schemeClr w14:val="tx1"/>
            </w14:solidFill>
          </w14:textFill>
        </w:rPr>
      </w:pPr>
      <w:r>
        <w:rPr>
          <w:rFonts w:ascii="宋体" w:hAnsi="宋体" w:eastAsia="宋体" w:cs="宋体"/>
          <w:color w:val="000000" w:themeColor="text1"/>
          <w:spacing w:val="7"/>
          <w:sz w:val="20"/>
          <w:szCs w:val="20"/>
          <w:highlight w:val="none"/>
          <w14:textFill>
            <w14:solidFill>
              <w14:schemeClr w14:val="tx1"/>
            </w14:solidFill>
          </w14:textFill>
        </w:rPr>
        <w:t>5.2 服务期限：</w:t>
      </w:r>
      <w:r>
        <w:rPr>
          <w:rFonts w:hint="eastAsia" w:ascii="宋体" w:hAnsi="宋体" w:eastAsia="宋体" w:cs="宋体"/>
          <w:color w:val="000000" w:themeColor="text1"/>
          <w:spacing w:val="7"/>
          <w:sz w:val="20"/>
          <w:szCs w:val="20"/>
          <w:highlight w:val="none"/>
          <w:lang w:val="en-US" w:eastAsia="zh-CN"/>
          <w14:textFill>
            <w14:solidFill>
              <w14:schemeClr w14:val="tx1"/>
            </w14:solidFill>
          </w14:textFill>
        </w:rPr>
        <w:t>三年（第一年为10个月，第二年、第三年每年为12个月，</w:t>
      </w:r>
      <w:r>
        <w:rPr>
          <w:rFonts w:hint="eastAsia" w:ascii="宋体" w:hAnsi="宋体" w:eastAsia="宋体" w:cs="宋体"/>
          <w:spacing w:val="7"/>
          <w:sz w:val="20"/>
          <w:szCs w:val="20"/>
          <w:highlight w:val="none"/>
          <w:lang w:val="en-GB" w:eastAsia="zh-CN"/>
        </w:rPr>
        <w:t>合同一年一签，中标单位每年服务经采购人考核认可，采购人根据考核情况</w:t>
      </w:r>
      <w:r>
        <w:rPr>
          <w:rFonts w:hint="eastAsia" w:ascii="宋体" w:hAnsi="宋体" w:eastAsia="宋体" w:cs="宋体"/>
          <w:spacing w:val="7"/>
          <w:sz w:val="20"/>
          <w:szCs w:val="20"/>
          <w:highlight w:val="none"/>
          <w:lang w:eastAsia="zh-CN"/>
        </w:rPr>
        <w:t>及服务期内综合表现</w:t>
      </w:r>
      <w:r>
        <w:rPr>
          <w:rFonts w:hint="eastAsia" w:ascii="宋体" w:hAnsi="宋体" w:eastAsia="宋体" w:cs="宋体"/>
          <w:spacing w:val="7"/>
          <w:sz w:val="20"/>
          <w:szCs w:val="20"/>
          <w:highlight w:val="none"/>
          <w:lang w:val="en-GB" w:eastAsia="zh-CN"/>
        </w:rPr>
        <w:t>决定是否续签</w:t>
      </w:r>
      <w:r>
        <w:rPr>
          <w:rFonts w:hint="eastAsia" w:ascii="宋体" w:hAnsi="宋体" w:eastAsia="宋体" w:cs="宋体"/>
          <w:color w:val="000000" w:themeColor="text1"/>
          <w:spacing w:val="7"/>
          <w:sz w:val="20"/>
          <w:szCs w:val="20"/>
          <w:highlight w:val="none"/>
          <w:lang w:val="en-US" w:eastAsia="zh-CN"/>
          <w14:textFill>
            <w14:solidFill>
              <w14:schemeClr w14:val="tx1"/>
            </w14:solidFill>
          </w14:textFill>
        </w:rPr>
        <w:t>）。</w:t>
      </w:r>
    </w:p>
    <w:p w14:paraId="09A9C1EE">
      <w:pPr>
        <w:keepNext w:val="0"/>
        <w:keepLines w:val="0"/>
        <w:pageBreakBefore w:val="0"/>
        <w:kinsoku/>
        <w:wordWrap/>
        <w:overflowPunct/>
        <w:topLinePunct w:val="0"/>
        <w:bidi w:val="0"/>
        <w:spacing w:before="1" w:line="226" w:lineRule="auto"/>
        <w:ind w:firstLine="428" w:firstLineChars="200"/>
        <w:rPr>
          <w:rFonts w:ascii="宋体" w:hAnsi="宋体" w:eastAsia="宋体" w:cs="宋体"/>
          <w:sz w:val="20"/>
          <w:szCs w:val="20"/>
        </w:rPr>
      </w:pPr>
      <w:r>
        <w:rPr>
          <w:rFonts w:ascii="宋体" w:hAnsi="宋体" w:eastAsia="宋体" w:cs="宋体"/>
          <w:spacing w:val="7"/>
          <w:sz w:val="20"/>
          <w:szCs w:val="20"/>
        </w:rPr>
        <w:t>5.3 服务地点：采购人指定地点</w:t>
      </w:r>
    </w:p>
    <w:p w14:paraId="309DA085">
      <w:pPr>
        <w:keepNext w:val="0"/>
        <w:keepLines w:val="0"/>
        <w:pageBreakBefore w:val="0"/>
        <w:kinsoku/>
        <w:wordWrap/>
        <w:overflowPunct/>
        <w:topLinePunct w:val="0"/>
        <w:bidi w:val="0"/>
        <w:spacing w:before="229" w:line="227" w:lineRule="auto"/>
        <w:ind w:firstLine="436" w:firstLineChars="200"/>
        <w:rPr>
          <w:rFonts w:hint="eastAsia" w:ascii="宋体" w:hAnsi="宋体" w:eastAsia="宋体" w:cs="宋体"/>
          <w:sz w:val="20"/>
          <w:szCs w:val="20"/>
          <w:lang w:eastAsia="zh-CN"/>
        </w:rPr>
      </w:pPr>
      <w:r>
        <w:rPr>
          <w:rFonts w:ascii="宋体" w:hAnsi="宋体" w:eastAsia="宋体" w:cs="宋体"/>
          <w:spacing w:val="9"/>
          <w:sz w:val="20"/>
          <w:szCs w:val="20"/>
        </w:rPr>
        <w:t>5.4 质量要求：符合国家及行业相关质量要求，满</w:t>
      </w:r>
      <w:r>
        <w:rPr>
          <w:rFonts w:ascii="宋体" w:hAnsi="宋体" w:eastAsia="宋体" w:cs="宋体"/>
          <w:spacing w:val="8"/>
          <w:sz w:val="20"/>
          <w:szCs w:val="20"/>
        </w:rPr>
        <w:t>足采购人需求</w:t>
      </w:r>
      <w:r>
        <w:rPr>
          <w:rFonts w:hint="eastAsia" w:ascii="宋体" w:hAnsi="宋体" w:eastAsia="宋体" w:cs="宋体"/>
          <w:spacing w:val="8"/>
          <w:sz w:val="20"/>
          <w:szCs w:val="20"/>
          <w:lang w:eastAsia="zh-CN"/>
        </w:rPr>
        <w:t>。</w:t>
      </w:r>
    </w:p>
    <w:p w14:paraId="00AC7D68">
      <w:pPr>
        <w:keepNext w:val="0"/>
        <w:keepLines w:val="0"/>
        <w:pageBreakBefore w:val="0"/>
        <w:kinsoku/>
        <w:wordWrap/>
        <w:overflowPunct/>
        <w:topLinePunct w:val="0"/>
        <w:bidi w:val="0"/>
        <w:spacing w:before="229" w:line="228" w:lineRule="auto"/>
        <w:ind w:firstLine="436" w:firstLineChars="200"/>
        <w:rPr>
          <w:rFonts w:hint="eastAsia" w:ascii="宋体" w:hAnsi="宋体" w:eastAsia="宋体" w:cs="宋体"/>
          <w:color w:val="000000" w:themeColor="text1"/>
          <w:sz w:val="20"/>
          <w:szCs w:val="20"/>
          <w:lang w:eastAsia="zh-CN"/>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6、合同履行期限：合同签订至约定内容完成</w:t>
      </w:r>
      <w:r>
        <w:rPr>
          <w:rFonts w:hint="eastAsia" w:ascii="宋体" w:hAnsi="宋体" w:eastAsia="宋体" w:cs="宋体"/>
          <w:color w:val="000000" w:themeColor="text1"/>
          <w:sz w:val="20"/>
          <w:szCs w:val="20"/>
          <w:lang w:eastAsia="zh-CN"/>
          <w14:textFill>
            <w14:solidFill>
              <w14:schemeClr w14:val="tx1"/>
            </w14:solidFill>
          </w14:textFill>
        </w:rPr>
        <w:t>。</w:t>
      </w:r>
    </w:p>
    <w:p w14:paraId="5EE31004">
      <w:pPr>
        <w:keepNext w:val="0"/>
        <w:keepLines w:val="0"/>
        <w:pageBreakBefore w:val="0"/>
        <w:kinsoku/>
        <w:wordWrap/>
        <w:overflowPunct/>
        <w:topLinePunct w:val="0"/>
        <w:bidi w:val="0"/>
        <w:spacing w:before="229" w:line="228" w:lineRule="auto"/>
        <w:ind w:firstLine="436" w:firstLineChars="20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7、本项目是否接受联合体投标：否</w:t>
      </w:r>
    </w:p>
    <w:p w14:paraId="35203124">
      <w:pPr>
        <w:keepNext w:val="0"/>
        <w:keepLines w:val="0"/>
        <w:pageBreakBefore w:val="0"/>
        <w:kinsoku/>
        <w:wordWrap/>
        <w:overflowPunct/>
        <w:topLinePunct w:val="0"/>
        <w:bidi w:val="0"/>
        <w:spacing w:before="228" w:line="228" w:lineRule="auto"/>
        <w:ind w:firstLine="436" w:firstLineChars="20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8、是否接受进口产品：否</w:t>
      </w:r>
    </w:p>
    <w:p w14:paraId="2BA38C15">
      <w:pPr>
        <w:keepNext w:val="0"/>
        <w:keepLines w:val="0"/>
        <w:pageBreakBefore w:val="0"/>
        <w:kinsoku/>
        <w:wordWrap/>
        <w:overflowPunct/>
        <w:topLinePunct w:val="0"/>
        <w:bidi w:val="0"/>
        <w:spacing w:before="228" w:line="228" w:lineRule="auto"/>
        <w:ind w:left="428"/>
        <w:rPr>
          <w:rFonts w:hint="eastAsia" w:ascii="宋体" w:hAnsi="宋体" w:eastAsia="宋体" w:cs="宋体"/>
          <w:color w:val="000000" w:themeColor="text1"/>
          <w:sz w:val="20"/>
          <w:szCs w:val="20"/>
          <w:lang w:val="en-US" w:eastAsia="zh-CN"/>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9、是否专门面向中小</w:t>
      </w:r>
      <w:r>
        <w:rPr>
          <w:rFonts w:hint="eastAsia" w:ascii="宋体" w:hAnsi="宋体" w:eastAsia="宋体" w:cs="宋体"/>
          <w:color w:val="000000" w:themeColor="text1"/>
          <w:spacing w:val="8"/>
          <w:sz w:val="20"/>
          <w:szCs w:val="20"/>
          <w:highlight w:val="none"/>
          <w:lang w:val="en-US" w:eastAsia="zh-CN"/>
          <w14:textFill>
            <w14:solidFill>
              <w14:schemeClr w14:val="tx1"/>
            </w14:solidFill>
          </w14:textFill>
        </w:rPr>
        <w:t>微</w:t>
      </w:r>
      <w:r>
        <w:rPr>
          <w:rFonts w:ascii="宋体" w:hAnsi="宋体" w:eastAsia="宋体" w:cs="宋体"/>
          <w:color w:val="000000" w:themeColor="text1"/>
          <w:spacing w:val="8"/>
          <w:sz w:val="20"/>
          <w:szCs w:val="20"/>
          <w14:textFill>
            <w14:solidFill>
              <w14:schemeClr w14:val="tx1"/>
            </w14:solidFill>
          </w14:textFill>
        </w:rPr>
        <w:t>企业：</w:t>
      </w:r>
      <w:r>
        <w:rPr>
          <w:rFonts w:hint="eastAsia" w:ascii="宋体" w:hAnsi="宋体" w:eastAsia="宋体" w:cs="宋体"/>
          <w:color w:val="000000" w:themeColor="text1"/>
          <w:spacing w:val="8"/>
          <w:sz w:val="20"/>
          <w:szCs w:val="20"/>
          <w:lang w:val="en-US" w:eastAsia="zh-CN"/>
          <w14:textFill>
            <w14:solidFill>
              <w14:schemeClr w14:val="tx1"/>
            </w14:solidFill>
          </w14:textFill>
        </w:rPr>
        <w:t>是</w:t>
      </w:r>
    </w:p>
    <w:p w14:paraId="1E121CB3">
      <w:pPr>
        <w:keepNext w:val="0"/>
        <w:keepLines w:val="0"/>
        <w:pageBreakBefore w:val="0"/>
        <w:kinsoku/>
        <w:wordWrap/>
        <w:overflowPunct/>
        <w:topLinePunct w:val="0"/>
        <w:bidi w:val="0"/>
        <w:spacing w:before="228" w:line="228" w:lineRule="auto"/>
        <w:ind w:left="431"/>
        <w:rPr>
          <w:rFonts w:ascii="宋体" w:hAnsi="宋体" w:eastAsia="宋体" w:cs="宋体"/>
          <w:sz w:val="20"/>
          <w:szCs w:val="20"/>
        </w:rPr>
      </w:pPr>
      <w:r>
        <w:rPr>
          <w:rFonts w:ascii="宋体" w:hAnsi="宋体" w:eastAsia="宋体" w:cs="宋体"/>
          <w:b/>
          <w:bCs/>
          <w:spacing w:val="2"/>
          <w:sz w:val="20"/>
          <w:szCs w:val="20"/>
        </w:rPr>
        <w:t>二、</w:t>
      </w:r>
      <w:r>
        <w:rPr>
          <w:rFonts w:ascii="宋体" w:hAnsi="宋体" w:eastAsia="宋体" w:cs="宋体"/>
          <w:spacing w:val="-57"/>
          <w:sz w:val="20"/>
          <w:szCs w:val="20"/>
        </w:rPr>
        <w:t xml:space="preserve"> </w:t>
      </w:r>
      <w:r>
        <w:rPr>
          <w:rFonts w:ascii="宋体" w:hAnsi="宋体" w:eastAsia="宋体" w:cs="宋体"/>
          <w:b/>
          <w:bCs/>
          <w:spacing w:val="2"/>
          <w:sz w:val="20"/>
          <w:szCs w:val="20"/>
        </w:rPr>
        <w:t>申请人资格要求：</w:t>
      </w:r>
    </w:p>
    <w:p w14:paraId="2514DAFA">
      <w:pPr>
        <w:keepNext w:val="0"/>
        <w:keepLines w:val="0"/>
        <w:pageBreakBefore w:val="0"/>
        <w:kinsoku/>
        <w:wordWrap/>
        <w:overflowPunct/>
        <w:topLinePunct w:val="0"/>
        <w:bidi w:val="0"/>
        <w:spacing w:before="231" w:line="227" w:lineRule="auto"/>
        <w:ind w:left="443"/>
        <w:rPr>
          <w:rFonts w:ascii="宋体" w:hAnsi="宋体" w:eastAsia="宋体" w:cs="宋体"/>
          <w:sz w:val="20"/>
          <w:szCs w:val="20"/>
        </w:rPr>
      </w:pPr>
      <w:r>
        <w:rPr>
          <w:rFonts w:ascii="宋体" w:hAnsi="宋体" w:eastAsia="宋体" w:cs="宋体"/>
          <w:spacing w:val="8"/>
          <w:sz w:val="20"/>
          <w:szCs w:val="20"/>
        </w:rPr>
        <w:t>1、满足《中华人民共和国政府采购法》第二十二条规定；</w:t>
      </w:r>
    </w:p>
    <w:p w14:paraId="31943468">
      <w:pPr>
        <w:keepNext w:val="0"/>
        <w:keepLines w:val="0"/>
        <w:pageBreakBefore w:val="0"/>
        <w:kinsoku/>
        <w:wordWrap/>
        <w:overflowPunct/>
        <w:topLinePunct w:val="0"/>
        <w:bidi w:val="0"/>
        <w:spacing w:before="228" w:line="439" w:lineRule="auto"/>
        <w:ind w:left="2" w:right="82" w:firstLine="428"/>
        <w:rPr>
          <w:rFonts w:hint="eastAsia" w:ascii="宋体" w:hAnsi="宋体" w:eastAsia="宋体" w:cs="宋体"/>
          <w:color w:val="000000" w:themeColor="text1"/>
          <w:sz w:val="20"/>
          <w:szCs w:val="20"/>
          <w:lang w:eastAsia="zh-CN"/>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2、落实政府采购政策满足的资格要求：</w:t>
      </w:r>
      <w:r>
        <w:rPr>
          <w:rFonts w:hint="eastAsia" w:ascii="宋体" w:hAnsi="宋体" w:eastAsia="宋体" w:cs="宋体"/>
          <w:color w:val="000000" w:themeColor="text1"/>
          <w:spacing w:val="10"/>
          <w:sz w:val="20"/>
          <w:szCs w:val="20"/>
          <w:lang w:val="en-US" w:eastAsia="zh-CN"/>
          <w14:textFill>
            <w14:solidFill>
              <w14:schemeClr w14:val="tx1"/>
            </w14:solidFill>
          </w14:textFill>
        </w:rPr>
        <w:t>本项目为专门面向中小</w:t>
      </w:r>
      <w:r>
        <w:rPr>
          <w:rFonts w:hint="eastAsia" w:ascii="宋体" w:hAnsi="宋体" w:eastAsia="宋体" w:cs="宋体"/>
          <w:color w:val="000000" w:themeColor="text1"/>
          <w:spacing w:val="8"/>
          <w:sz w:val="20"/>
          <w:szCs w:val="20"/>
          <w:highlight w:val="none"/>
          <w:lang w:val="en-US" w:eastAsia="zh-CN"/>
          <w14:textFill>
            <w14:solidFill>
              <w14:schemeClr w14:val="tx1"/>
            </w14:solidFill>
          </w14:textFill>
        </w:rPr>
        <w:t>微</w:t>
      </w:r>
      <w:r>
        <w:rPr>
          <w:rFonts w:hint="eastAsia" w:ascii="宋体" w:hAnsi="宋体" w:eastAsia="宋体" w:cs="宋体"/>
          <w:color w:val="000000" w:themeColor="text1"/>
          <w:spacing w:val="10"/>
          <w:sz w:val="20"/>
          <w:szCs w:val="20"/>
          <w:lang w:val="en-US" w:eastAsia="zh-CN"/>
          <w14:textFill>
            <w14:solidFill>
              <w14:schemeClr w14:val="tx1"/>
            </w14:solidFill>
          </w14:textFill>
        </w:rPr>
        <w:t>企业采购项目（监狱企业、残疾人福利性企业视同小型、微型企业）</w:t>
      </w:r>
      <w:r>
        <w:rPr>
          <w:rFonts w:hint="eastAsia" w:ascii="宋体" w:hAnsi="宋体" w:eastAsia="宋体" w:cs="宋体"/>
          <w:color w:val="000000" w:themeColor="text1"/>
          <w:spacing w:val="10"/>
          <w:sz w:val="20"/>
          <w:szCs w:val="20"/>
          <w:lang w:eastAsia="zh-CN"/>
          <w14:textFill>
            <w14:solidFill>
              <w14:schemeClr w14:val="tx1"/>
            </w14:solidFill>
          </w14:textFill>
        </w:rPr>
        <w:t>；</w:t>
      </w:r>
    </w:p>
    <w:p w14:paraId="7CBD65ED">
      <w:pPr>
        <w:keepNext w:val="0"/>
        <w:keepLines w:val="0"/>
        <w:pageBreakBefore w:val="0"/>
        <w:kinsoku/>
        <w:wordWrap/>
        <w:overflowPunct/>
        <w:topLinePunct w:val="0"/>
        <w:bidi w:val="0"/>
        <w:spacing w:before="1" w:line="226" w:lineRule="auto"/>
        <w:ind w:left="432"/>
        <w:rPr>
          <w:rFonts w:ascii="宋体" w:hAnsi="宋体" w:eastAsia="宋体" w:cs="宋体"/>
          <w:sz w:val="20"/>
          <w:szCs w:val="20"/>
        </w:rPr>
      </w:pPr>
      <w:r>
        <w:rPr>
          <w:rFonts w:ascii="宋体" w:hAnsi="宋体" w:eastAsia="宋体" w:cs="宋体"/>
          <w:spacing w:val="8"/>
          <w:sz w:val="20"/>
          <w:szCs w:val="20"/>
        </w:rPr>
        <w:t>3、本项目的特定资格要求</w:t>
      </w:r>
    </w:p>
    <w:p w14:paraId="07B56B16">
      <w:pPr>
        <w:keepNext w:val="0"/>
        <w:keepLines w:val="0"/>
        <w:pageBreakBefore w:val="0"/>
        <w:kinsoku/>
        <w:wordWrap/>
        <w:overflowPunct/>
        <w:topLinePunct w:val="0"/>
        <w:bidi w:val="0"/>
        <w:spacing w:before="230" w:line="439" w:lineRule="auto"/>
        <w:ind w:right="8" w:firstLine="432"/>
        <w:jc w:val="both"/>
        <w:rPr>
          <w:rFonts w:ascii="宋体" w:hAnsi="宋体" w:eastAsia="宋体" w:cs="宋体"/>
          <w:sz w:val="20"/>
          <w:szCs w:val="20"/>
        </w:rPr>
      </w:pPr>
      <w:r>
        <w:rPr>
          <w:rFonts w:ascii="宋体" w:hAnsi="宋体" w:eastAsia="宋体" w:cs="宋体"/>
          <w:spacing w:val="7"/>
          <w:sz w:val="20"/>
          <w:szCs w:val="20"/>
        </w:rPr>
        <w:t>3.1 根据《关于在政府采购活动中查询及使用信用记录有关问题的通知》(财库[</w:t>
      </w:r>
      <w:r>
        <w:fldChar w:fldCharType="begin"/>
      </w:r>
      <w:r>
        <w:instrText xml:space="preserve"> HYPERLINK \l "bookmark9" </w:instrText>
      </w:r>
      <w:r>
        <w:fldChar w:fldCharType="separate"/>
      </w:r>
      <w:r>
        <w:rPr>
          <w:rFonts w:ascii="宋体" w:hAnsi="宋体" w:eastAsia="宋体" w:cs="宋体"/>
          <w:spacing w:val="7"/>
          <w:sz w:val="20"/>
          <w:szCs w:val="20"/>
        </w:rPr>
        <w:t>2016</w:t>
      </w:r>
      <w:r>
        <w:rPr>
          <w:rFonts w:ascii="宋体" w:hAnsi="宋体" w:eastAsia="宋体" w:cs="宋体"/>
          <w:spacing w:val="7"/>
          <w:sz w:val="20"/>
          <w:szCs w:val="20"/>
        </w:rPr>
        <w:fldChar w:fldCharType="end"/>
      </w:r>
      <w:r>
        <w:rPr>
          <w:rFonts w:ascii="宋体" w:hAnsi="宋体" w:eastAsia="宋体" w:cs="宋体"/>
          <w:spacing w:val="7"/>
          <w:sz w:val="20"/>
          <w:szCs w:val="20"/>
        </w:rPr>
        <w:t>]125</w:t>
      </w:r>
      <w:r>
        <w:rPr>
          <w:rFonts w:ascii="宋体" w:hAnsi="宋体" w:eastAsia="宋体" w:cs="宋体"/>
          <w:spacing w:val="-25"/>
          <w:sz w:val="20"/>
          <w:szCs w:val="20"/>
        </w:rPr>
        <w:t xml:space="preserve"> </w:t>
      </w:r>
      <w:r>
        <w:rPr>
          <w:rFonts w:ascii="宋体" w:hAnsi="宋体" w:eastAsia="宋体" w:cs="宋体"/>
          <w:spacing w:val="7"/>
          <w:sz w:val="20"/>
          <w:szCs w:val="20"/>
        </w:rPr>
        <w:t>号)的</w:t>
      </w:r>
      <w:r>
        <w:rPr>
          <w:rFonts w:ascii="宋体" w:hAnsi="宋体" w:eastAsia="宋体" w:cs="宋体"/>
          <w:spacing w:val="5"/>
          <w:sz w:val="20"/>
          <w:szCs w:val="20"/>
        </w:rPr>
        <w:t>规定，对列入失信被执行人、重大税收违法失信主体、</w:t>
      </w:r>
      <w:r>
        <w:rPr>
          <w:rFonts w:ascii="宋体" w:hAnsi="宋体" w:eastAsia="宋体" w:cs="宋体"/>
          <w:spacing w:val="4"/>
          <w:sz w:val="20"/>
          <w:szCs w:val="20"/>
        </w:rPr>
        <w:t>政府采购严重违法失信行为记录名单的投标人，</w:t>
      </w:r>
      <w:r>
        <w:rPr>
          <w:rFonts w:ascii="宋体" w:hAnsi="宋体" w:eastAsia="宋体" w:cs="宋体"/>
          <w:spacing w:val="7"/>
          <w:sz w:val="20"/>
          <w:szCs w:val="20"/>
        </w:rPr>
        <w:t>拒绝参与本项目政府采购活动；查询渠道：失信被执行人查询渠</w:t>
      </w:r>
      <w:r>
        <w:rPr>
          <w:rFonts w:ascii="宋体" w:hAnsi="宋体" w:eastAsia="宋体" w:cs="宋体"/>
          <w:spacing w:val="6"/>
          <w:sz w:val="20"/>
          <w:szCs w:val="20"/>
        </w:rPr>
        <w:t>道：“</w:t>
      </w:r>
      <w:r>
        <w:rPr>
          <w:rFonts w:ascii="宋体" w:hAnsi="宋体" w:eastAsia="宋体" w:cs="宋体"/>
          <w:spacing w:val="-72"/>
          <w:sz w:val="20"/>
          <w:szCs w:val="20"/>
        </w:rPr>
        <w:t xml:space="preserve"> </w:t>
      </w:r>
      <w:r>
        <w:rPr>
          <w:rFonts w:ascii="宋体" w:hAnsi="宋体" w:eastAsia="宋体" w:cs="宋体"/>
          <w:spacing w:val="6"/>
          <w:sz w:val="20"/>
          <w:szCs w:val="20"/>
        </w:rPr>
        <w:t>中国执行信息公开网</w:t>
      </w:r>
      <w:r>
        <w:rPr>
          <w:rFonts w:ascii="宋体" w:hAnsi="宋体" w:eastAsia="宋体" w:cs="宋体"/>
          <w:spacing w:val="-70"/>
          <w:sz w:val="20"/>
          <w:szCs w:val="20"/>
        </w:rPr>
        <w:t xml:space="preserve"> </w:t>
      </w:r>
      <w:r>
        <w:rPr>
          <w:rFonts w:ascii="宋体" w:hAnsi="宋体" w:eastAsia="宋体" w:cs="宋体"/>
          <w:spacing w:val="6"/>
          <w:sz w:val="20"/>
          <w:szCs w:val="20"/>
        </w:rPr>
        <w:t>”；重大</w:t>
      </w:r>
      <w:r>
        <w:rPr>
          <w:rFonts w:ascii="宋体" w:hAnsi="宋体" w:eastAsia="宋体" w:cs="宋体"/>
          <w:spacing w:val="7"/>
          <w:sz w:val="20"/>
          <w:szCs w:val="20"/>
        </w:rPr>
        <w:t>税收违法失信主体查询渠道：“信用中国</w:t>
      </w:r>
      <w:r>
        <w:rPr>
          <w:rFonts w:ascii="宋体" w:hAnsi="宋体" w:eastAsia="宋体" w:cs="宋体"/>
          <w:spacing w:val="-70"/>
          <w:sz w:val="20"/>
          <w:szCs w:val="20"/>
        </w:rPr>
        <w:t xml:space="preserve"> </w:t>
      </w:r>
      <w:r>
        <w:rPr>
          <w:rFonts w:ascii="宋体" w:hAnsi="宋体" w:eastAsia="宋体" w:cs="宋体"/>
          <w:spacing w:val="7"/>
          <w:sz w:val="20"/>
          <w:szCs w:val="20"/>
        </w:rPr>
        <w:t>”网站；政府采购</w:t>
      </w:r>
      <w:r>
        <w:rPr>
          <w:rFonts w:ascii="宋体" w:hAnsi="宋体" w:eastAsia="宋体" w:cs="宋体"/>
          <w:spacing w:val="6"/>
          <w:sz w:val="20"/>
          <w:szCs w:val="20"/>
        </w:rPr>
        <w:t>严重违法失信行为查询渠道：“</w:t>
      </w:r>
      <w:r>
        <w:rPr>
          <w:rFonts w:ascii="宋体" w:hAnsi="宋体" w:eastAsia="宋体" w:cs="宋体"/>
          <w:spacing w:val="-70"/>
          <w:sz w:val="20"/>
          <w:szCs w:val="20"/>
        </w:rPr>
        <w:t xml:space="preserve"> </w:t>
      </w:r>
      <w:r>
        <w:rPr>
          <w:rFonts w:ascii="宋体" w:hAnsi="宋体" w:eastAsia="宋体" w:cs="宋体"/>
          <w:spacing w:val="6"/>
          <w:sz w:val="20"/>
          <w:szCs w:val="20"/>
        </w:rPr>
        <w:t>中国政府</w:t>
      </w:r>
      <w:r>
        <w:rPr>
          <w:rFonts w:ascii="宋体" w:hAnsi="宋体" w:eastAsia="宋体" w:cs="宋体"/>
          <w:spacing w:val="5"/>
          <w:sz w:val="20"/>
          <w:szCs w:val="20"/>
        </w:rPr>
        <w:t>采购网</w:t>
      </w:r>
      <w:r>
        <w:rPr>
          <w:rFonts w:ascii="宋体" w:hAnsi="宋体" w:eastAsia="宋体" w:cs="宋体"/>
          <w:spacing w:val="-68"/>
          <w:sz w:val="20"/>
          <w:szCs w:val="20"/>
        </w:rPr>
        <w:t xml:space="preserve"> </w:t>
      </w:r>
      <w:r>
        <w:rPr>
          <w:rFonts w:ascii="宋体" w:hAnsi="宋体" w:eastAsia="宋体" w:cs="宋体"/>
          <w:spacing w:val="5"/>
          <w:sz w:val="20"/>
          <w:szCs w:val="20"/>
        </w:rPr>
        <w:t>”；</w:t>
      </w:r>
    </w:p>
    <w:p w14:paraId="6ED84758">
      <w:pPr>
        <w:keepNext w:val="0"/>
        <w:keepLines w:val="0"/>
        <w:pageBreakBefore w:val="0"/>
        <w:kinsoku/>
        <w:wordWrap/>
        <w:overflowPunct/>
        <w:topLinePunct w:val="0"/>
        <w:bidi w:val="0"/>
        <w:spacing w:before="3" w:line="438" w:lineRule="auto"/>
        <w:ind w:firstLine="426"/>
        <w:jc w:val="both"/>
        <w:rPr>
          <w:rFonts w:ascii="宋体" w:hAnsi="宋体" w:eastAsia="宋体" w:cs="宋体"/>
          <w:sz w:val="20"/>
          <w:szCs w:val="20"/>
        </w:rPr>
      </w:pPr>
      <w:r>
        <w:rPr>
          <w:rFonts w:ascii="宋体" w:hAnsi="宋体" w:eastAsia="宋体" w:cs="宋体"/>
          <w:spacing w:val="11"/>
          <w:sz w:val="20"/>
          <w:szCs w:val="20"/>
        </w:rPr>
        <w:t>采购人或采购代理机构通过“中国执行信息公开网”（</w:t>
      </w:r>
      <w:r>
        <w:fldChar w:fldCharType="begin"/>
      </w:r>
      <w:r>
        <w:instrText xml:space="preserve"> HYPERLINK "http://zxgk.court.gov.cn/" </w:instrText>
      </w:r>
      <w:r>
        <w:fldChar w:fldCharType="separate"/>
      </w:r>
      <w:r>
        <w:rPr>
          <w:rFonts w:ascii="宋体" w:hAnsi="宋体" w:eastAsia="宋体" w:cs="宋体"/>
          <w:sz w:val="20"/>
          <w:szCs w:val="20"/>
        </w:rPr>
        <w:t>http</w:t>
      </w:r>
      <w:r>
        <w:rPr>
          <w:rFonts w:ascii="宋体" w:hAnsi="宋体" w:eastAsia="宋体" w:cs="宋体"/>
          <w:spacing w:val="11"/>
          <w:sz w:val="20"/>
          <w:szCs w:val="20"/>
        </w:rPr>
        <w:t>://</w:t>
      </w:r>
      <w:r>
        <w:rPr>
          <w:rFonts w:ascii="宋体" w:hAnsi="宋体" w:eastAsia="宋体" w:cs="宋体"/>
          <w:sz w:val="20"/>
          <w:szCs w:val="20"/>
        </w:rPr>
        <w:t>zxgk</w:t>
      </w:r>
      <w:r>
        <w:rPr>
          <w:rFonts w:ascii="宋体" w:hAnsi="宋体" w:eastAsia="宋体" w:cs="宋体"/>
          <w:spacing w:val="11"/>
          <w:sz w:val="20"/>
          <w:szCs w:val="20"/>
        </w:rPr>
        <w:t>.</w:t>
      </w:r>
      <w:r>
        <w:rPr>
          <w:rFonts w:ascii="宋体" w:hAnsi="宋体" w:eastAsia="宋体" w:cs="宋体"/>
          <w:sz w:val="20"/>
          <w:szCs w:val="20"/>
        </w:rPr>
        <w:t>court</w:t>
      </w:r>
      <w:r>
        <w:rPr>
          <w:rFonts w:ascii="宋体" w:hAnsi="宋体" w:eastAsia="宋体" w:cs="宋体"/>
          <w:spacing w:val="11"/>
          <w:sz w:val="20"/>
          <w:szCs w:val="20"/>
        </w:rPr>
        <w:t>.</w:t>
      </w:r>
      <w:r>
        <w:rPr>
          <w:rFonts w:ascii="宋体" w:hAnsi="宋体" w:eastAsia="宋体" w:cs="宋体"/>
          <w:sz w:val="20"/>
          <w:szCs w:val="20"/>
        </w:rPr>
        <w:t>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pacing w:val="11"/>
          <w:sz w:val="20"/>
          <w:szCs w:val="20"/>
        </w:rPr>
        <w:t>/</w:t>
      </w:r>
      <w:r>
        <w:rPr>
          <w:rFonts w:ascii="宋体" w:hAnsi="宋体" w:eastAsia="宋体" w:cs="宋体"/>
          <w:spacing w:val="11"/>
          <w:sz w:val="20"/>
          <w:szCs w:val="20"/>
        </w:rPr>
        <w:fldChar w:fldCharType="end"/>
      </w:r>
      <w:r>
        <w:rPr>
          <w:rFonts w:ascii="宋体" w:hAnsi="宋体" w:eastAsia="宋体" w:cs="宋体"/>
          <w:spacing w:val="11"/>
          <w:sz w:val="20"/>
          <w:szCs w:val="20"/>
        </w:rPr>
        <w:t>）、“信用</w:t>
      </w:r>
      <w:r>
        <w:rPr>
          <w:rFonts w:ascii="宋体" w:hAnsi="宋体" w:eastAsia="宋体" w:cs="宋体"/>
          <w:spacing w:val="13"/>
          <w:sz w:val="20"/>
          <w:szCs w:val="20"/>
        </w:rPr>
        <w:t>中国”网站（</w:t>
      </w:r>
      <w:r>
        <w:fldChar w:fldCharType="begin"/>
      </w:r>
      <w:r>
        <w:instrText xml:space="preserve"> HYPERLINK "https://www.creditchina.gov.cn/" </w:instrText>
      </w:r>
      <w:r>
        <w:fldChar w:fldCharType="separate"/>
      </w:r>
      <w:r>
        <w:rPr>
          <w:rFonts w:ascii="宋体" w:hAnsi="宋体" w:eastAsia="宋体" w:cs="宋体"/>
          <w:sz w:val="20"/>
          <w:szCs w:val="20"/>
        </w:rPr>
        <w:t>https</w:t>
      </w:r>
      <w:r>
        <w:rPr>
          <w:rFonts w:ascii="宋体" w:hAnsi="宋体" w:eastAsia="宋体" w:cs="宋体"/>
          <w:spacing w:val="13"/>
          <w:sz w:val="20"/>
          <w:szCs w:val="20"/>
        </w:rPr>
        <w:t>://</w:t>
      </w:r>
      <w:r>
        <w:rPr>
          <w:rFonts w:ascii="宋体" w:hAnsi="宋体" w:eastAsia="宋体" w:cs="宋体"/>
          <w:sz w:val="20"/>
          <w:szCs w:val="20"/>
        </w:rPr>
        <w:t>www</w:t>
      </w:r>
      <w:r>
        <w:rPr>
          <w:rFonts w:ascii="宋体" w:hAnsi="宋体" w:eastAsia="宋体" w:cs="宋体"/>
          <w:spacing w:val="13"/>
          <w:sz w:val="20"/>
          <w:szCs w:val="20"/>
        </w:rPr>
        <w:t>.</w:t>
      </w:r>
      <w:r>
        <w:rPr>
          <w:rFonts w:ascii="宋体" w:hAnsi="宋体" w:eastAsia="宋体" w:cs="宋体"/>
          <w:sz w:val="20"/>
          <w:szCs w:val="20"/>
        </w:rPr>
        <w:t>creditchina</w:t>
      </w:r>
      <w:r>
        <w:rPr>
          <w:rFonts w:ascii="宋体" w:hAnsi="宋体" w:eastAsia="宋体" w:cs="宋体"/>
          <w:spacing w:val="13"/>
          <w:sz w:val="20"/>
          <w:szCs w:val="20"/>
        </w:rPr>
        <w:t>.</w:t>
      </w:r>
      <w:r>
        <w:rPr>
          <w:rFonts w:ascii="宋体" w:hAnsi="宋体" w:eastAsia="宋体" w:cs="宋体"/>
          <w:sz w:val="20"/>
          <w:szCs w:val="20"/>
        </w:rPr>
        <w:t>gov</w:t>
      </w:r>
      <w:r>
        <w:rPr>
          <w:rFonts w:ascii="宋体" w:hAnsi="宋体" w:eastAsia="宋体" w:cs="宋体"/>
          <w:spacing w:val="13"/>
          <w:sz w:val="20"/>
          <w:szCs w:val="20"/>
        </w:rPr>
        <w:t>.</w:t>
      </w:r>
      <w:r>
        <w:rPr>
          <w:rFonts w:ascii="宋体" w:hAnsi="宋体" w:eastAsia="宋体" w:cs="宋体"/>
          <w:sz w:val="20"/>
          <w:szCs w:val="20"/>
        </w:rPr>
        <w:t>cn</w:t>
      </w:r>
      <w:r>
        <w:rPr>
          <w:rFonts w:ascii="宋体" w:hAnsi="宋体" w:eastAsia="宋体" w:cs="宋体"/>
          <w:spacing w:val="13"/>
          <w:sz w:val="20"/>
          <w:szCs w:val="20"/>
        </w:rPr>
        <w:t>/</w:t>
      </w:r>
      <w:r>
        <w:rPr>
          <w:rFonts w:ascii="宋体" w:hAnsi="宋体" w:eastAsia="宋体" w:cs="宋体"/>
          <w:spacing w:val="13"/>
          <w:sz w:val="20"/>
          <w:szCs w:val="20"/>
        </w:rPr>
        <w:fldChar w:fldCharType="end"/>
      </w:r>
      <w:r>
        <w:rPr>
          <w:rFonts w:ascii="宋体" w:hAnsi="宋体" w:eastAsia="宋体" w:cs="宋体"/>
          <w:spacing w:val="13"/>
          <w:sz w:val="20"/>
          <w:szCs w:val="20"/>
        </w:rPr>
        <w:t>）、中国政府采购网（</w:t>
      </w:r>
      <w:r>
        <w:fldChar w:fldCharType="begin"/>
      </w:r>
      <w:r>
        <w:instrText xml:space="preserve"> HYPERLINK "http://www.ccgp.gov.cn/" </w:instrText>
      </w:r>
      <w:r>
        <w:fldChar w:fldCharType="separate"/>
      </w:r>
      <w:r>
        <w:rPr>
          <w:rFonts w:ascii="宋体" w:hAnsi="宋体" w:eastAsia="宋体" w:cs="宋体"/>
          <w:sz w:val="20"/>
          <w:szCs w:val="20"/>
        </w:rPr>
        <w:t>http</w:t>
      </w:r>
      <w:r>
        <w:rPr>
          <w:rFonts w:ascii="宋体" w:hAnsi="宋体" w:eastAsia="宋体" w:cs="宋体"/>
          <w:spacing w:val="13"/>
          <w:sz w:val="20"/>
          <w:szCs w:val="20"/>
        </w:rPr>
        <w:t>://</w:t>
      </w:r>
      <w:r>
        <w:rPr>
          <w:rFonts w:ascii="宋体" w:hAnsi="宋体" w:eastAsia="宋体" w:cs="宋体"/>
          <w:sz w:val="20"/>
          <w:szCs w:val="20"/>
        </w:rPr>
        <w:t>www</w:t>
      </w:r>
      <w:r>
        <w:rPr>
          <w:rFonts w:ascii="宋体" w:hAnsi="宋体" w:eastAsia="宋体" w:cs="宋体"/>
          <w:spacing w:val="13"/>
          <w:sz w:val="20"/>
          <w:szCs w:val="20"/>
        </w:rPr>
        <w:t>.</w:t>
      </w:r>
      <w:r>
        <w:rPr>
          <w:rFonts w:ascii="宋体" w:hAnsi="宋体" w:eastAsia="宋体" w:cs="宋体"/>
          <w:sz w:val="20"/>
          <w:szCs w:val="20"/>
        </w:rPr>
        <w:t>ccgp</w:t>
      </w:r>
      <w:r>
        <w:rPr>
          <w:rFonts w:ascii="宋体" w:hAnsi="宋体" w:eastAsia="宋体" w:cs="宋体"/>
          <w:spacing w:val="13"/>
          <w:sz w:val="20"/>
          <w:szCs w:val="20"/>
        </w:rPr>
        <w:t>.</w:t>
      </w:r>
      <w:r>
        <w:rPr>
          <w:rFonts w:ascii="宋体" w:hAnsi="宋体" w:eastAsia="宋体" w:cs="宋体"/>
          <w:sz w:val="20"/>
          <w:szCs w:val="20"/>
        </w:rPr>
        <w:t>gov</w:t>
      </w:r>
      <w:r>
        <w:rPr>
          <w:rFonts w:ascii="宋体" w:hAnsi="宋体" w:eastAsia="宋体" w:cs="宋体"/>
          <w:spacing w:val="13"/>
          <w:sz w:val="20"/>
          <w:szCs w:val="20"/>
        </w:rPr>
        <w:t>.</w:t>
      </w:r>
      <w:r>
        <w:rPr>
          <w:rFonts w:ascii="宋体" w:hAnsi="宋体" w:eastAsia="宋体" w:cs="宋体"/>
          <w:sz w:val="20"/>
          <w:szCs w:val="20"/>
        </w:rPr>
        <w:t>cn</w:t>
      </w:r>
      <w:r>
        <w:rPr>
          <w:rFonts w:ascii="宋体" w:hAnsi="宋体" w:eastAsia="宋体" w:cs="宋体"/>
          <w:spacing w:val="13"/>
          <w:sz w:val="20"/>
          <w:szCs w:val="20"/>
        </w:rPr>
        <w:t>/</w:t>
      </w:r>
      <w:r>
        <w:rPr>
          <w:rFonts w:ascii="宋体" w:hAnsi="宋体" w:eastAsia="宋体" w:cs="宋体"/>
          <w:spacing w:val="13"/>
          <w:sz w:val="20"/>
          <w:szCs w:val="20"/>
        </w:rPr>
        <w:fldChar w:fldCharType="end"/>
      </w:r>
      <w:r>
        <w:rPr>
          <w:rFonts w:ascii="宋体" w:hAnsi="宋体" w:eastAsia="宋体" w:cs="宋体"/>
          <w:spacing w:val="13"/>
          <w:sz w:val="20"/>
          <w:szCs w:val="20"/>
        </w:rPr>
        <w:t>）</w:t>
      </w:r>
      <w:r>
        <w:rPr>
          <w:rFonts w:ascii="宋体" w:hAnsi="宋体" w:eastAsia="宋体" w:cs="宋体"/>
          <w:spacing w:val="10"/>
          <w:sz w:val="20"/>
          <w:szCs w:val="20"/>
        </w:rPr>
        <w:t>等渠道查询相关主体信用记录,信用信息查询记录及相关证</w:t>
      </w:r>
      <w:r>
        <w:rPr>
          <w:rFonts w:ascii="宋体" w:hAnsi="宋体" w:eastAsia="宋体" w:cs="宋体"/>
          <w:spacing w:val="9"/>
          <w:sz w:val="20"/>
          <w:szCs w:val="20"/>
        </w:rPr>
        <w:t>据与其他采购文件一并保存，投标人不良</w:t>
      </w:r>
      <w:r>
        <w:rPr>
          <w:rFonts w:ascii="宋体" w:hAnsi="宋体" w:eastAsia="宋体" w:cs="宋体"/>
          <w:spacing w:val="8"/>
          <w:sz w:val="20"/>
          <w:szCs w:val="20"/>
        </w:rPr>
        <w:t>信用记录以采购人或采购代理机构查询结果为准</w:t>
      </w:r>
      <w:r>
        <w:rPr>
          <w:rFonts w:ascii="宋体" w:hAnsi="宋体" w:eastAsia="宋体" w:cs="宋体"/>
          <w:spacing w:val="6"/>
          <w:sz w:val="20"/>
          <w:szCs w:val="20"/>
        </w:rPr>
        <w:t>；</w:t>
      </w:r>
    </w:p>
    <w:p w14:paraId="3246D2BD">
      <w:pPr>
        <w:keepNext w:val="0"/>
        <w:keepLines w:val="0"/>
        <w:pageBreakBefore w:val="0"/>
        <w:kinsoku/>
        <w:wordWrap/>
        <w:overflowPunct/>
        <w:topLinePunct w:val="0"/>
        <w:bidi w:val="0"/>
        <w:spacing w:before="2" w:line="439" w:lineRule="auto"/>
        <w:ind w:right="63" w:firstLine="432"/>
        <w:rPr>
          <w:rFonts w:ascii="宋体" w:hAnsi="宋体" w:eastAsia="宋体" w:cs="宋体"/>
          <w:sz w:val="20"/>
          <w:szCs w:val="20"/>
        </w:rPr>
      </w:pPr>
      <w:r>
        <w:rPr>
          <w:rFonts w:ascii="宋体" w:hAnsi="宋体" w:eastAsia="宋体" w:cs="宋体"/>
          <w:spacing w:val="7"/>
          <w:sz w:val="20"/>
          <w:szCs w:val="20"/>
        </w:rPr>
        <w:t>3.2 单位负责人为同一人或者存在直接控股、管理关系的不同投标人，不得参加同一合同项下的政府采购活动。</w:t>
      </w:r>
    </w:p>
    <w:p w14:paraId="552C297A">
      <w:pPr>
        <w:keepNext w:val="0"/>
        <w:keepLines w:val="0"/>
        <w:pageBreakBefore w:val="0"/>
        <w:kinsoku/>
        <w:wordWrap/>
        <w:overflowPunct/>
        <w:topLinePunct w:val="0"/>
        <w:bidi w:val="0"/>
        <w:spacing w:before="1" w:line="227" w:lineRule="auto"/>
        <w:ind w:left="428"/>
        <w:rPr>
          <w:rFonts w:ascii="宋体" w:hAnsi="宋体" w:eastAsia="宋体" w:cs="宋体"/>
          <w:sz w:val="20"/>
          <w:szCs w:val="20"/>
        </w:rPr>
      </w:pPr>
      <w:r>
        <w:rPr>
          <w:rFonts w:ascii="宋体" w:hAnsi="宋体" w:eastAsia="宋体" w:cs="宋体"/>
          <w:b/>
          <w:bCs/>
          <w:spacing w:val="7"/>
          <w:sz w:val="20"/>
          <w:szCs w:val="20"/>
        </w:rPr>
        <w:t>三、获取招标文件</w:t>
      </w:r>
    </w:p>
    <w:p w14:paraId="29403DA3">
      <w:pPr>
        <w:keepNext w:val="0"/>
        <w:keepLines w:val="0"/>
        <w:pageBreakBefore w:val="0"/>
        <w:kinsoku/>
        <w:wordWrap/>
        <w:overflowPunct/>
        <w:topLinePunct w:val="0"/>
        <w:bidi w:val="0"/>
        <w:spacing w:before="228" w:line="439" w:lineRule="auto"/>
        <w:ind w:left="10" w:right="62" w:firstLine="432"/>
        <w:rPr>
          <w:rFonts w:ascii="宋体" w:hAnsi="宋体" w:eastAsia="宋体" w:cs="宋体"/>
          <w:sz w:val="20"/>
          <w:szCs w:val="20"/>
        </w:rPr>
      </w:pPr>
      <w:r>
        <w:rPr>
          <w:rFonts w:ascii="宋体" w:hAnsi="宋体" w:eastAsia="宋体" w:cs="宋体"/>
          <w:spacing w:val="-7"/>
          <w:sz w:val="20"/>
          <w:szCs w:val="20"/>
        </w:rPr>
        <w:t>1.时间：</w:t>
      </w:r>
      <w:r>
        <w:rPr>
          <w:rFonts w:ascii="宋体" w:hAnsi="宋体" w:eastAsia="宋体" w:cs="宋体"/>
          <w:spacing w:val="9"/>
          <w:sz w:val="20"/>
          <w:szCs w:val="20"/>
        </w:rPr>
        <w:t>2026年</w:t>
      </w:r>
      <w:r>
        <w:rPr>
          <w:rFonts w:hint="eastAsia" w:ascii="宋体" w:hAnsi="宋体" w:eastAsia="宋体" w:cs="宋体"/>
          <w:spacing w:val="9"/>
          <w:sz w:val="20"/>
          <w:szCs w:val="20"/>
          <w:lang w:val="en-US" w:eastAsia="zh-CN"/>
        </w:rPr>
        <w:t>04</w:t>
      </w:r>
      <w:r>
        <w:rPr>
          <w:rFonts w:ascii="宋体" w:hAnsi="宋体" w:eastAsia="宋体" w:cs="宋体"/>
          <w:spacing w:val="9"/>
          <w:sz w:val="20"/>
          <w:szCs w:val="20"/>
        </w:rPr>
        <w:t>月</w:t>
      </w:r>
      <w:r>
        <w:rPr>
          <w:rFonts w:hint="eastAsia" w:ascii="宋体" w:hAnsi="宋体" w:eastAsia="宋体" w:cs="宋体"/>
          <w:spacing w:val="9"/>
          <w:sz w:val="20"/>
          <w:szCs w:val="20"/>
          <w:lang w:val="en-US" w:eastAsia="zh-CN"/>
        </w:rPr>
        <w:t>13</w:t>
      </w:r>
      <w:r>
        <w:rPr>
          <w:rFonts w:ascii="宋体" w:hAnsi="宋体" w:eastAsia="宋体" w:cs="宋体"/>
          <w:spacing w:val="9"/>
          <w:sz w:val="20"/>
          <w:szCs w:val="20"/>
        </w:rPr>
        <w:t>日至2026年</w:t>
      </w:r>
      <w:r>
        <w:rPr>
          <w:rFonts w:hint="eastAsia" w:ascii="宋体" w:hAnsi="宋体" w:eastAsia="宋体" w:cs="宋体"/>
          <w:spacing w:val="9"/>
          <w:sz w:val="20"/>
          <w:szCs w:val="20"/>
          <w:lang w:val="en-US" w:eastAsia="zh-CN"/>
        </w:rPr>
        <w:t>04</w:t>
      </w:r>
      <w:r>
        <w:rPr>
          <w:rFonts w:ascii="宋体" w:hAnsi="宋体" w:eastAsia="宋体" w:cs="宋体"/>
          <w:spacing w:val="9"/>
          <w:sz w:val="20"/>
          <w:szCs w:val="20"/>
        </w:rPr>
        <w:t>月</w:t>
      </w:r>
      <w:r>
        <w:rPr>
          <w:rFonts w:hint="eastAsia" w:ascii="宋体" w:hAnsi="宋体" w:eastAsia="宋体" w:cs="宋体"/>
          <w:spacing w:val="9"/>
          <w:sz w:val="20"/>
          <w:szCs w:val="20"/>
          <w:lang w:val="en-US" w:eastAsia="zh-CN"/>
        </w:rPr>
        <w:t>17</w:t>
      </w:r>
      <w:r>
        <w:rPr>
          <w:rFonts w:ascii="宋体" w:hAnsi="宋体" w:eastAsia="宋体" w:cs="宋体"/>
          <w:spacing w:val="9"/>
          <w:sz w:val="20"/>
          <w:szCs w:val="20"/>
        </w:rPr>
        <w:t>日，</w:t>
      </w:r>
      <w:r>
        <w:rPr>
          <w:rFonts w:ascii="宋体" w:hAnsi="宋体" w:eastAsia="宋体" w:cs="宋体"/>
          <w:spacing w:val="-7"/>
          <w:sz w:val="20"/>
          <w:szCs w:val="20"/>
        </w:rPr>
        <w:t>每天上午</w:t>
      </w:r>
      <w:r>
        <w:rPr>
          <w:rFonts w:ascii="宋体" w:hAnsi="宋体" w:eastAsia="宋体" w:cs="宋体"/>
          <w:spacing w:val="-38"/>
          <w:sz w:val="20"/>
          <w:szCs w:val="20"/>
        </w:rPr>
        <w:t xml:space="preserve"> </w:t>
      </w:r>
      <w:r>
        <w:rPr>
          <w:rFonts w:ascii="宋体" w:hAnsi="宋体" w:eastAsia="宋体" w:cs="宋体"/>
          <w:spacing w:val="-7"/>
          <w:sz w:val="20"/>
          <w:szCs w:val="20"/>
        </w:rPr>
        <w:t>00</w:t>
      </w:r>
      <w:r>
        <w:rPr>
          <w:rFonts w:ascii="宋体" w:hAnsi="宋体" w:eastAsia="宋体" w:cs="宋体"/>
          <w:spacing w:val="-59"/>
          <w:sz w:val="20"/>
          <w:szCs w:val="20"/>
        </w:rPr>
        <w:t xml:space="preserve"> </w:t>
      </w:r>
      <w:r>
        <w:rPr>
          <w:rFonts w:ascii="宋体" w:hAnsi="宋体" w:eastAsia="宋体" w:cs="宋体"/>
          <w:spacing w:val="-7"/>
          <w:sz w:val="20"/>
          <w:szCs w:val="20"/>
        </w:rPr>
        <w:t>:00</w:t>
      </w:r>
      <w:r>
        <w:rPr>
          <w:rFonts w:ascii="宋体" w:hAnsi="宋体" w:eastAsia="宋体" w:cs="宋体"/>
          <w:spacing w:val="-41"/>
          <w:sz w:val="20"/>
          <w:szCs w:val="20"/>
        </w:rPr>
        <w:t xml:space="preserve"> </w:t>
      </w:r>
      <w:r>
        <w:rPr>
          <w:rFonts w:ascii="宋体" w:hAnsi="宋体" w:eastAsia="宋体" w:cs="宋体"/>
          <w:spacing w:val="-7"/>
          <w:sz w:val="20"/>
          <w:szCs w:val="20"/>
        </w:rPr>
        <w:t>至</w:t>
      </w:r>
      <w:r>
        <w:rPr>
          <w:rFonts w:ascii="宋体" w:hAnsi="宋体" w:eastAsia="宋体" w:cs="宋体"/>
          <w:spacing w:val="-24"/>
          <w:sz w:val="20"/>
          <w:szCs w:val="20"/>
        </w:rPr>
        <w:t xml:space="preserve"> </w:t>
      </w:r>
      <w:r>
        <w:rPr>
          <w:rFonts w:ascii="宋体" w:hAnsi="宋体" w:eastAsia="宋体" w:cs="宋体"/>
          <w:spacing w:val="-7"/>
          <w:sz w:val="20"/>
          <w:szCs w:val="20"/>
        </w:rPr>
        <w:t>12</w:t>
      </w:r>
      <w:r>
        <w:rPr>
          <w:rFonts w:ascii="宋体" w:hAnsi="宋体" w:eastAsia="宋体" w:cs="宋体"/>
          <w:spacing w:val="-60"/>
          <w:sz w:val="20"/>
          <w:szCs w:val="20"/>
        </w:rPr>
        <w:t xml:space="preserve"> </w:t>
      </w:r>
      <w:r>
        <w:rPr>
          <w:rFonts w:ascii="宋体" w:hAnsi="宋体" w:eastAsia="宋体" w:cs="宋体"/>
          <w:spacing w:val="-7"/>
          <w:sz w:val="20"/>
          <w:szCs w:val="20"/>
        </w:rPr>
        <w:t>:00，下午</w:t>
      </w:r>
      <w:r>
        <w:rPr>
          <w:rFonts w:ascii="宋体" w:hAnsi="宋体" w:eastAsia="宋体" w:cs="宋体"/>
          <w:spacing w:val="-26"/>
          <w:sz w:val="20"/>
          <w:szCs w:val="20"/>
        </w:rPr>
        <w:t xml:space="preserve"> </w:t>
      </w:r>
      <w:r>
        <w:rPr>
          <w:rFonts w:ascii="宋体" w:hAnsi="宋体" w:eastAsia="宋体" w:cs="宋体"/>
          <w:spacing w:val="-7"/>
          <w:sz w:val="20"/>
          <w:szCs w:val="20"/>
        </w:rPr>
        <w:t>12</w:t>
      </w:r>
      <w:r>
        <w:rPr>
          <w:rFonts w:ascii="宋体" w:hAnsi="宋体" w:eastAsia="宋体" w:cs="宋体"/>
          <w:spacing w:val="-60"/>
          <w:sz w:val="20"/>
          <w:szCs w:val="20"/>
        </w:rPr>
        <w:t xml:space="preserve"> </w:t>
      </w:r>
      <w:r>
        <w:rPr>
          <w:rFonts w:ascii="宋体" w:hAnsi="宋体" w:eastAsia="宋体" w:cs="宋体"/>
          <w:spacing w:val="-7"/>
          <w:sz w:val="20"/>
          <w:szCs w:val="20"/>
        </w:rPr>
        <w:t>:00</w:t>
      </w:r>
      <w:r>
        <w:rPr>
          <w:rFonts w:ascii="宋体" w:hAnsi="宋体" w:eastAsia="宋体" w:cs="宋体"/>
          <w:spacing w:val="-38"/>
          <w:sz w:val="20"/>
          <w:szCs w:val="20"/>
        </w:rPr>
        <w:t xml:space="preserve"> </w:t>
      </w:r>
      <w:r>
        <w:rPr>
          <w:rFonts w:ascii="宋体" w:hAnsi="宋体" w:eastAsia="宋体" w:cs="宋体"/>
          <w:spacing w:val="-7"/>
          <w:sz w:val="20"/>
          <w:szCs w:val="20"/>
        </w:rPr>
        <w:t>至</w:t>
      </w:r>
      <w:r>
        <w:rPr>
          <w:rFonts w:ascii="宋体" w:hAnsi="宋体" w:eastAsia="宋体" w:cs="宋体"/>
          <w:spacing w:val="-37"/>
          <w:sz w:val="20"/>
          <w:szCs w:val="20"/>
        </w:rPr>
        <w:t xml:space="preserve"> </w:t>
      </w:r>
      <w:r>
        <w:rPr>
          <w:rFonts w:ascii="宋体" w:hAnsi="宋体" w:eastAsia="宋体" w:cs="宋体"/>
          <w:spacing w:val="-7"/>
          <w:sz w:val="20"/>
          <w:szCs w:val="20"/>
        </w:rPr>
        <w:t>23</w:t>
      </w:r>
      <w:r>
        <w:rPr>
          <w:rFonts w:ascii="宋体" w:hAnsi="宋体" w:eastAsia="宋体" w:cs="宋体"/>
          <w:spacing w:val="-60"/>
          <w:sz w:val="20"/>
          <w:szCs w:val="20"/>
        </w:rPr>
        <w:t xml:space="preserve"> </w:t>
      </w:r>
      <w:r>
        <w:rPr>
          <w:rFonts w:ascii="宋体" w:hAnsi="宋体" w:eastAsia="宋体" w:cs="宋体"/>
          <w:spacing w:val="-8"/>
          <w:sz w:val="20"/>
          <w:szCs w:val="20"/>
        </w:rPr>
        <w:t>:59</w:t>
      </w:r>
      <w:r>
        <w:rPr>
          <w:rFonts w:ascii="宋体" w:hAnsi="宋体" w:eastAsia="宋体" w:cs="宋体"/>
          <w:sz w:val="20"/>
          <w:szCs w:val="20"/>
        </w:rPr>
        <w:t xml:space="preserve"> </w:t>
      </w:r>
      <w:r>
        <w:rPr>
          <w:rFonts w:ascii="宋体" w:hAnsi="宋体" w:eastAsia="宋体" w:cs="宋体"/>
          <w:spacing w:val="7"/>
          <w:sz w:val="20"/>
          <w:szCs w:val="20"/>
        </w:rPr>
        <w:t>（北京时间，法定节假日除外。）</w:t>
      </w:r>
    </w:p>
    <w:p w14:paraId="7106CDE5">
      <w:pPr>
        <w:keepNext w:val="0"/>
        <w:keepLines w:val="0"/>
        <w:pageBreakBefore w:val="0"/>
        <w:kinsoku/>
        <w:wordWrap/>
        <w:overflowPunct/>
        <w:topLinePunct w:val="0"/>
        <w:bidi w:val="0"/>
        <w:spacing w:before="1" w:line="221" w:lineRule="auto"/>
        <w:ind w:left="430"/>
        <w:rPr>
          <w:rFonts w:ascii="宋体" w:hAnsi="宋体" w:eastAsia="宋体" w:cs="宋体"/>
          <w:sz w:val="20"/>
          <w:szCs w:val="20"/>
        </w:rPr>
      </w:pPr>
      <w:r>
        <w:rPr>
          <w:rFonts w:ascii="宋体" w:hAnsi="宋体" w:eastAsia="宋体" w:cs="宋体"/>
          <w:spacing w:val="12"/>
          <w:sz w:val="20"/>
          <w:szCs w:val="20"/>
        </w:rPr>
        <w:t>2.地点：河南省公共资源交易中心平台系</w:t>
      </w:r>
      <w:r>
        <w:rPr>
          <w:rFonts w:ascii="宋体" w:hAnsi="宋体" w:eastAsia="宋体" w:cs="宋体"/>
          <w:spacing w:val="11"/>
          <w:sz w:val="20"/>
          <w:szCs w:val="20"/>
        </w:rPr>
        <w:t>统（</w:t>
      </w:r>
      <w:r>
        <w:fldChar w:fldCharType="begin"/>
      </w:r>
      <w:r>
        <w:instrText xml:space="preserve"> HYPERLINK "http://hnsggzyjy.henan.gov.cn/" </w:instrText>
      </w:r>
      <w:r>
        <w:fldChar w:fldCharType="separate"/>
      </w:r>
      <w:r>
        <w:rPr>
          <w:rFonts w:ascii="宋体" w:hAnsi="宋体" w:eastAsia="宋体" w:cs="宋体"/>
          <w:sz w:val="20"/>
          <w:szCs w:val="20"/>
        </w:rPr>
        <w:t>http</w:t>
      </w:r>
      <w:r>
        <w:rPr>
          <w:rFonts w:ascii="宋体" w:hAnsi="宋体" w:eastAsia="宋体" w:cs="宋体"/>
          <w:spacing w:val="11"/>
          <w:sz w:val="20"/>
          <w:szCs w:val="20"/>
        </w:rPr>
        <w:t>://</w:t>
      </w:r>
      <w:r>
        <w:rPr>
          <w:rFonts w:ascii="宋体" w:hAnsi="宋体" w:eastAsia="宋体" w:cs="宋体"/>
          <w:sz w:val="20"/>
          <w:szCs w:val="20"/>
        </w:rPr>
        <w:t>hnsggzyjy</w:t>
      </w:r>
      <w:r>
        <w:rPr>
          <w:rFonts w:ascii="宋体" w:hAnsi="宋体" w:eastAsia="宋体" w:cs="宋体"/>
          <w:spacing w:val="11"/>
          <w:sz w:val="20"/>
          <w:szCs w:val="20"/>
        </w:rPr>
        <w:t>.</w:t>
      </w:r>
      <w:r>
        <w:rPr>
          <w:rFonts w:ascii="宋体" w:hAnsi="宋体" w:eastAsia="宋体" w:cs="宋体"/>
          <w:sz w:val="20"/>
          <w:szCs w:val="20"/>
        </w:rPr>
        <w:t>henan</w:t>
      </w:r>
      <w:r>
        <w:rPr>
          <w:rFonts w:ascii="宋体" w:hAnsi="宋体" w:eastAsia="宋体" w:cs="宋体"/>
          <w:spacing w:val="11"/>
          <w:sz w:val="20"/>
          <w:szCs w:val="20"/>
        </w:rPr>
        <w:t>.</w:t>
      </w:r>
      <w:r>
        <w:rPr>
          <w:rFonts w:ascii="宋体" w:hAnsi="宋体" w:eastAsia="宋体" w:cs="宋体"/>
          <w:sz w:val="20"/>
          <w:szCs w:val="20"/>
        </w:rPr>
        <w:t>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pacing w:val="11"/>
          <w:sz w:val="20"/>
          <w:szCs w:val="20"/>
        </w:rPr>
        <w:t>/</w:t>
      </w:r>
      <w:r>
        <w:rPr>
          <w:rFonts w:ascii="宋体" w:hAnsi="宋体" w:eastAsia="宋体" w:cs="宋体"/>
          <w:spacing w:val="11"/>
          <w:sz w:val="20"/>
          <w:szCs w:val="20"/>
        </w:rPr>
        <w:fldChar w:fldCharType="end"/>
      </w:r>
      <w:r>
        <w:rPr>
          <w:rFonts w:ascii="宋体" w:hAnsi="宋体" w:eastAsia="宋体" w:cs="宋体"/>
          <w:spacing w:val="11"/>
          <w:sz w:val="20"/>
          <w:szCs w:val="20"/>
        </w:rPr>
        <w:t>）</w:t>
      </w:r>
    </w:p>
    <w:p w14:paraId="0336AA01">
      <w:pPr>
        <w:keepNext w:val="0"/>
        <w:keepLines w:val="0"/>
        <w:pageBreakBefore w:val="0"/>
        <w:kinsoku/>
        <w:wordWrap/>
        <w:overflowPunct/>
        <w:topLinePunct w:val="0"/>
        <w:bidi w:val="0"/>
        <w:spacing w:before="233" w:line="439" w:lineRule="auto"/>
        <w:ind w:left="2" w:right="82" w:firstLine="429"/>
        <w:rPr>
          <w:rFonts w:ascii="宋体" w:hAnsi="宋体" w:eastAsia="宋体" w:cs="宋体"/>
          <w:sz w:val="20"/>
          <w:szCs w:val="20"/>
        </w:rPr>
      </w:pPr>
      <w:r>
        <w:rPr>
          <w:rFonts w:ascii="宋体" w:hAnsi="宋体" w:eastAsia="宋体" w:cs="宋体"/>
          <w:spacing w:val="9"/>
          <w:sz w:val="20"/>
          <w:szCs w:val="20"/>
        </w:rPr>
        <w:t>3.方式：凭</w:t>
      </w:r>
      <w:r>
        <w:rPr>
          <w:rFonts w:ascii="宋体" w:hAnsi="宋体" w:eastAsia="宋体" w:cs="宋体"/>
          <w:spacing w:val="-31"/>
          <w:sz w:val="20"/>
          <w:szCs w:val="20"/>
        </w:rPr>
        <w:t xml:space="preserve"> </w:t>
      </w:r>
      <w:r>
        <w:rPr>
          <w:rFonts w:ascii="宋体" w:hAnsi="宋体" w:eastAsia="宋体" w:cs="宋体"/>
          <w:sz w:val="20"/>
          <w:szCs w:val="20"/>
        </w:rPr>
        <w:t>CA</w:t>
      </w:r>
      <w:r>
        <w:rPr>
          <w:rFonts w:ascii="宋体" w:hAnsi="宋体" w:eastAsia="宋体" w:cs="宋体"/>
          <w:spacing w:val="-40"/>
          <w:sz w:val="20"/>
          <w:szCs w:val="20"/>
        </w:rPr>
        <w:t xml:space="preserve"> </w:t>
      </w:r>
      <w:r>
        <w:rPr>
          <w:rFonts w:ascii="宋体" w:hAnsi="宋体" w:eastAsia="宋体" w:cs="宋体"/>
          <w:spacing w:val="9"/>
          <w:sz w:val="20"/>
          <w:szCs w:val="20"/>
        </w:rPr>
        <w:t>密钥市场主体登录并在规定时间内按网上提示下载招标文件及资料；投标人需要</w:t>
      </w:r>
      <w:r>
        <w:rPr>
          <w:rFonts w:ascii="宋体" w:hAnsi="宋体" w:eastAsia="宋体" w:cs="宋体"/>
          <w:spacing w:val="10"/>
          <w:sz w:val="20"/>
          <w:szCs w:val="20"/>
        </w:rPr>
        <w:t>完成信息登记及</w:t>
      </w:r>
      <w:r>
        <w:rPr>
          <w:rFonts w:ascii="宋体" w:hAnsi="宋体" w:eastAsia="宋体" w:cs="宋体"/>
          <w:spacing w:val="-41"/>
          <w:sz w:val="20"/>
          <w:szCs w:val="20"/>
        </w:rPr>
        <w:t xml:space="preserve"> </w:t>
      </w:r>
      <w:r>
        <w:rPr>
          <w:rFonts w:ascii="宋体" w:hAnsi="宋体" w:eastAsia="宋体" w:cs="宋体"/>
          <w:sz w:val="20"/>
          <w:szCs w:val="20"/>
        </w:rPr>
        <w:t>CA</w:t>
      </w:r>
      <w:r>
        <w:rPr>
          <w:rFonts w:ascii="宋体" w:hAnsi="宋体" w:eastAsia="宋体" w:cs="宋体"/>
          <w:spacing w:val="-36"/>
          <w:sz w:val="20"/>
          <w:szCs w:val="20"/>
        </w:rPr>
        <w:t xml:space="preserve"> </w:t>
      </w:r>
      <w:r>
        <w:rPr>
          <w:rFonts w:ascii="宋体" w:hAnsi="宋体" w:eastAsia="宋体" w:cs="宋体"/>
          <w:spacing w:val="10"/>
          <w:sz w:val="20"/>
          <w:szCs w:val="20"/>
        </w:rPr>
        <w:t>数字证书办理，才能通过省公共资</w:t>
      </w:r>
      <w:r>
        <w:rPr>
          <w:rFonts w:ascii="宋体" w:hAnsi="宋体" w:eastAsia="宋体" w:cs="宋体"/>
          <w:spacing w:val="9"/>
          <w:sz w:val="20"/>
          <w:szCs w:val="20"/>
        </w:rPr>
        <w:t>源交易平台参与交易活动，具体办理事宜请查阅河南省公共资源交易中心网站公共服务-办事指南-新交易平台使用手册（培训资料</w:t>
      </w:r>
      <w:r>
        <w:rPr>
          <w:rFonts w:ascii="宋体" w:hAnsi="宋体" w:eastAsia="宋体" w:cs="宋体"/>
          <w:spacing w:val="8"/>
          <w:sz w:val="20"/>
          <w:szCs w:val="20"/>
        </w:rPr>
        <w:t>）。</w:t>
      </w:r>
    </w:p>
    <w:p w14:paraId="798BC691">
      <w:pPr>
        <w:keepNext w:val="0"/>
        <w:keepLines w:val="0"/>
        <w:pageBreakBefore w:val="0"/>
        <w:kinsoku/>
        <w:wordWrap/>
        <w:overflowPunct/>
        <w:topLinePunct w:val="0"/>
        <w:bidi w:val="0"/>
        <w:spacing w:line="226" w:lineRule="auto"/>
        <w:ind w:left="427"/>
        <w:rPr>
          <w:rFonts w:ascii="宋体" w:hAnsi="宋体" w:eastAsia="宋体" w:cs="宋体"/>
          <w:sz w:val="20"/>
          <w:szCs w:val="20"/>
        </w:rPr>
      </w:pPr>
      <w:r>
        <w:rPr>
          <w:rFonts w:ascii="宋体" w:hAnsi="宋体" w:eastAsia="宋体" w:cs="宋体"/>
          <w:spacing w:val="5"/>
          <w:sz w:val="20"/>
          <w:szCs w:val="20"/>
        </w:rPr>
        <w:t>4.售价：0</w:t>
      </w:r>
      <w:r>
        <w:rPr>
          <w:rFonts w:ascii="宋体" w:hAnsi="宋体" w:eastAsia="宋体" w:cs="宋体"/>
          <w:spacing w:val="-38"/>
          <w:sz w:val="20"/>
          <w:szCs w:val="20"/>
        </w:rPr>
        <w:t xml:space="preserve"> </w:t>
      </w:r>
      <w:r>
        <w:rPr>
          <w:rFonts w:ascii="宋体" w:hAnsi="宋体" w:eastAsia="宋体" w:cs="宋体"/>
          <w:spacing w:val="5"/>
          <w:sz w:val="20"/>
          <w:szCs w:val="20"/>
        </w:rPr>
        <w:t>元</w:t>
      </w:r>
    </w:p>
    <w:p w14:paraId="303666DB">
      <w:pPr>
        <w:keepNext w:val="0"/>
        <w:keepLines w:val="0"/>
        <w:pageBreakBefore w:val="0"/>
        <w:kinsoku/>
        <w:wordWrap/>
        <w:overflowPunct/>
        <w:topLinePunct w:val="0"/>
        <w:bidi w:val="0"/>
        <w:spacing w:before="233" w:line="228" w:lineRule="auto"/>
        <w:ind w:left="447"/>
        <w:rPr>
          <w:rFonts w:ascii="宋体" w:hAnsi="宋体" w:eastAsia="宋体" w:cs="宋体"/>
          <w:sz w:val="20"/>
          <w:szCs w:val="20"/>
        </w:rPr>
      </w:pPr>
      <w:r>
        <w:rPr>
          <w:rFonts w:ascii="宋体" w:hAnsi="宋体" w:eastAsia="宋体" w:cs="宋体"/>
          <w:b/>
          <w:bCs/>
          <w:spacing w:val="5"/>
          <w:sz w:val="20"/>
          <w:szCs w:val="20"/>
        </w:rPr>
        <w:t>四、投标截止时间及地点</w:t>
      </w:r>
    </w:p>
    <w:p w14:paraId="7C8AD82A">
      <w:pPr>
        <w:keepNext w:val="0"/>
        <w:keepLines w:val="0"/>
        <w:pageBreakBefore w:val="0"/>
        <w:kinsoku/>
        <w:wordWrap/>
        <w:overflowPunct/>
        <w:topLinePunct w:val="0"/>
        <w:bidi w:val="0"/>
        <w:spacing w:before="175" w:line="228" w:lineRule="auto"/>
        <w:ind w:left="443"/>
        <w:rPr>
          <w:rFonts w:ascii="宋体" w:hAnsi="宋体" w:eastAsia="宋体" w:cs="宋体"/>
          <w:sz w:val="20"/>
          <w:szCs w:val="20"/>
        </w:rPr>
      </w:pPr>
      <w:r>
        <w:rPr>
          <w:rFonts w:ascii="宋体" w:hAnsi="宋体" w:eastAsia="宋体" w:cs="宋体"/>
          <w:spacing w:val="1"/>
          <w:sz w:val="20"/>
          <w:szCs w:val="20"/>
        </w:rPr>
        <w:t>1.时间：</w:t>
      </w:r>
      <w:r>
        <w:rPr>
          <w:rFonts w:hint="eastAsia" w:ascii="宋体" w:hAnsi="宋体" w:eastAsia="宋体" w:cs="宋体"/>
          <w:spacing w:val="9"/>
          <w:sz w:val="20"/>
          <w:szCs w:val="20"/>
          <w:lang w:val="en-US" w:eastAsia="zh-CN"/>
        </w:rPr>
        <w:t>2026年05月07日09时00分（</w:t>
      </w:r>
      <w:r>
        <w:rPr>
          <w:rFonts w:ascii="宋体" w:hAnsi="宋体" w:eastAsia="宋体" w:cs="宋体"/>
          <w:spacing w:val="1"/>
          <w:sz w:val="20"/>
          <w:szCs w:val="20"/>
        </w:rPr>
        <w:t>北京时间）</w:t>
      </w:r>
    </w:p>
    <w:p w14:paraId="147B5AC8">
      <w:pPr>
        <w:keepNext w:val="0"/>
        <w:keepLines w:val="0"/>
        <w:pageBreakBefore w:val="0"/>
        <w:kinsoku/>
        <w:wordWrap/>
        <w:overflowPunct/>
        <w:topLinePunct w:val="0"/>
        <w:bidi w:val="0"/>
        <w:spacing w:before="228" w:line="360" w:lineRule="auto"/>
        <w:ind w:firstLine="436" w:firstLineChars="200"/>
        <w:rPr>
          <w:rFonts w:ascii="宋体" w:hAnsi="宋体" w:eastAsia="宋体" w:cs="宋体"/>
          <w:sz w:val="20"/>
          <w:szCs w:val="20"/>
        </w:rPr>
      </w:pPr>
      <w:r>
        <w:rPr>
          <w:rFonts w:ascii="宋体" w:hAnsi="宋体" w:eastAsia="宋体" w:cs="宋体"/>
          <w:spacing w:val="9"/>
          <w:sz w:val="20"/>
          <w:szCs w:val="20"/>
        </w:rPr>
        <w:t>2.地点：加密电子投标文件须在投标文件提交截止时间前通过“河南省公共资源交易中心</w:t>
      </w:r>
      <w:r>
        <w:rPr>
          <w:rFonts w:ascii="宋体" w:hAnsi="宋体" w:eastAsia="宋体" w:cs="宋体"/>
          <w:spacing w:val="6"/>
          <w:sz w:val="20"/>
          <w:szCs w:val="20"/>
        </w:rPr>
        <w:t>（</w:t>
      </w:r>
      <w:r>
        <w:fldChar w:fldCharType="begin"/>
      </w:r>
      <w:r>
        <w:instrText xml:space="preserve"> HYPERLINK "http://hnsggzyjy.henan.gov.cn/" </w:instrText>
      </w:r>
      <w:r>
        <w:fldChar w:fldCharType="separate"/>
      </w:r>
      <w:r>
        <w:rPr>
          <w:rFonts w:ascii="宋体" w:hAnsi="宋体" w:eastAsia="宋体" w:cs="宋体"/>
          <w:sz w:val="20"/>
          <w:szCs w:val="20"/>
        </w:rPr>
        <w:t>http</w:t>
      </w:r>
      <w:r>
        <w:rPr>
          <w:rFonts w:ascii="宋体" w:hAnsi="宋体" w:eastAsia="宋体" w:cs="宋体"/>
          <w:spacing w:val="6"/>
          <w:sz w:val="20"/>
          <w:szCs w:val="20"/>
        </w:rPr>
        <w:t>://</w:t>
      </w:r>
      <w:r>
        <w:rPr>
          <w:rFonts w:ascii="宋体" w:hAnsi="宋体" w:eastAsia="宋体" w:cs="宋体"/>
          <w:sz w:val="20"/>
          <w:szCs w:val="20"/>
        </w:rPr>
        <w:t>hnsggzyjy</w:t>
      </w:r>
      <w:r>
        <w:rPr>
          <w:rFonts w:ascii="宋体" w:hAnsi="宋体" w:eastAsia="宋体" w:cs="宋体"/>
          <w:spacing w:val="6"/>
          <w:sz w:val="20"/>
          <w:szCs w:val="20"/>
        </w:rPr>
        <w:t>.</w:t>
      </w:r>
      <w:r>
        <w:rPr>
          <w:rFonts w:ascii="宋体" w:hAnsi="宋体" w:eastAsia="宋体" w:cs="宋体"/>
          <w:sz w:val="20"/>
          <w:szCs w:val="20"/>
        </w:rPr>
        <w:t>henan</w:t>
      </w:r>
      <w:r>
        <w:rPr>
          <w:rFonts w:ascii="宋体" w:hAnsi="宋体" w:eastAsia="宋体" w:cs="宋体"/>
          <w:spacing w:val="6"/>
          <w:sz w:val="20"/>
          <w:szCs w:val="20"/>
        </w:rPr>
        <w:t>.</w:t>
      </w:r>
      <w:r>
        <w:rPr>
          <w:rFonts w:ascii="宋体" w:hAnsi="宋体" w:eastAsia="宋体" w:cs="宋体"/>
          <w:sz w:val="20"/>
          <w:szCs w:val="20"/>
        </w:rPr>
        <w:t>gov</w:t>
      </w:r>
      <w:r>
        <w:rPr>
          <w:rFonts w:ascii="宋体" w:hAnsi="宋体" w:eastAsia="宋体" w:cs="宋体"/>
          <w:spacing w:val="6"/>
          <w:sz w:val="20"/>
          <w:szCs w:val="20"/>
        </w:rPr>
        <w:t>.</w:t>
      </w:r>
      <w:r>
        <w:rPr>
          <w:rFonts w:ascii="宋体" w:hAnsi="宋体" w:eastAsia="宋体" w:cs="宋体"/>
          <w:sz w:val="20"/>
          <w:szCs w:val="20"/>
        </w:rPr>
        <w:t>cn</w:t>
      </w:r>
      <w:r>
        <w:rPr>
          <w:rFonts w:ascii="宋体" w:hAnsi="宋体" w:eastAsia="宋体" w:cs="宋体"/>
          <w:spacing w:val="6"/>
          <w:sz w:val="20"/>
          <w:szCs w:val="20"/>
        </w:rPr>
        <w:t>/</w:t>
      </w:r>
      <w:r>
        <w:rPr>
          <w:rFonts w:ascii="宋体" w:hAnsi="宋体" w:eastAsia="宋体" w:cs="宋体"/>
          <w:spacing w:val="6"/>
          <w:sz w:val="20"/>
          <w:szCs w:val="20"/>
        </w:rPr>
        <w:fldChar w:fldCharType="end"/>
      </w:r>
      <w:r>
        <w:rPr>
          <w:rFonts w:ascii="宋体" w:hAnsi="宋体" w:eastAsia="宋体" w:cs="宋体"/>
          <w:spacing w:val="6"/>
          <w:sz w:val="20"/>
          <w:szCs w:val="20"/>
        </w:rPr>
        <w:t>）”电子交易平台上传。未上传至指定</w:t>
      </w:r>
      <w:r>
        <w:rPr>
          <w:rFonts w:ascii="宋体" w:hAnsi="宋体" w:eastAsia="宋体" w:cs="宋体"/>
          <w:spacing w:val="5"/>
          <w:sz w:val="20"/>
          <w:szCs w:val="20"/>
        </w:rPr>
        <w:t>地点的，采购人不予受理。</w:t>
      </w:r>
    </w:p>
    <w:p w14:paraId="7DA8CDB1">
      <w:pPr>
        <w:keepNext w:val="0"/>
        <w:keepLines w:val="0"/>
        <w:pageBreakBefore w:val="0"/>
        <w:kinsoku/>
        <w:wordWrap/>
        <w:overflowPunct/>
        <w:topLinePunct w:val="0"/>
        <w:bidi w:val="0"/>
        <w:spacing w:before="235" w:line="228" w:lineRule="auto"/>
        <w:ind w:left="431"/>
        <w:rPr>
          <w:rFonts w:ascii="宋体" w:hAnsi="宋体" w:eastAsia="宋体" w:cs="宋体"/>
          <w:sz w:val="20"/>
          <w:szCs w:val="20"/>
        </w:rPr>
      </w:pPr>
      <w:r>
        <w:rPr>
          <w:rFonts w:ascii="宋体" w:hAnsi="宋体" w:eastAsia="宋体" w:cs="宋体"/>
          <w:b/>
          <w:bCs/>
          <w:spacing w:val="7"/>
          <w:sz w:val="20"/>
          <w:szCs w:val="20"/>
        </w:rPr>
        <w:t>五、开标时间及地点</w:t>
      </w:r>
    </w:p>
    <w:p w14:paraId="240DDAA6">
      <w:pPr>
        <w:keepNext w:val="0"/>
        <w:keepLines w:val="0"/>
        <w:pageBreakBefore w:val="0"/>
        <w:kinsoku/>
        <w:wordWrap/>
        <w:overflowPunct/>
        <w:topLinePunct w:val="0"/>
        <w:bidi w:val="0"/>
        <w:spacing w:before="229" w:line="228" w:lineRule="auto"/>
        <w:ind w:left="443"/>
        <w:rPr>
          <w:rFonts w:ascii="宋体" w:hAnsi="宋体" w:eastAsia="宋体" w:cs="宋体"/>
          <w:sz w:val="20"/>
          <w:szCs w:val="20"/>
        </w:rPr>
      </w:pPr>
      <w:r>
        <w:rPr>
          <w:rFonts w:ascii="宋体" w:hAnsi="宋体" w:eastAsia="宋体" w:cs="宋体"/>
          <w:spacing w:val="1"/>
          <w:sz w:val="20"/>
          <w:szCs w:val="20"/>
        </w:rPr>
        <w:t>1.时间：</w:t>
      </w:r>
      <w:r>
        <w:rPr>
          <w:rFonts w:hint="eastAsia" w:ascii="宋体" w:hAnsi="宋体" w:eastAsia="宋体" w:cs="宋体"/>
          <w:spacing w:val="9"/>
          <w:sz w:val="20"/>
          <w:szCs w:val="20"/>
          <w:lang w:val="en-US" w:eastAsia="zh-CN"/>
        </w:rPr>
        <w:t>2026年05月07日09时00分</w:t>
      </w:r>
      <w:r>
        <w:rPr>
          <w:rFonts w:ascii="宋体" w:hAnsi="宋体" w:eastAsia="宋体" w:cs="宋体"/>
          <w:spacing w:val="1"/>
          <w:sz w:val="20"/>
          <w:szCs w:val="20"/>
        </w:rPr>
        <w:t>（北京时间）</w:t>
      </w:r>
    </w:p>
    <w:p w14:paraId="0D8BF15E">
      <w:pPr>
        <w:keepNext w:val="0"/>
        <w:keepLines w:val="0"/>
        <w:pageBreakBefore w:val="0"/>
        <w:kinsoku/>
        <w:wordWrap/>
        <w:overflowPunct/>
        <w:topLinePunct w:val="0"/>
        <w:bidi w:val="0"/>
        <w:spacing w:before="227" w:line="439" w:lineRule="auto"/>
        <w:ind w:left="3" w:right="90" w:firstLine="427"/>
        <w:rPr>
          <w:rFonts w:ascii="宋体" w:hAnsi="宋体" w:eastAsia="宋体" w:cs="宋体"/>
          <w:sz w:val="20"/>
          <w:szCs w:val="20"/>
        </w:rPr>
      </w:pPr>
      <w:r>
        <w:rPr>
          <w:rFonts w:ascii="宋体" w:hAnsi="宋体" w:eastAsia="宋体" w:cs="宋体"/>
          <w:spacing w:val="8"/>
          <w:sz w:val="20"/>
          <w:szCs w:val="20"/>
        </w:rPr>
        <w:t>2.地点：河南省公共资源交易中心远程</w:t>
      </w:r>
      <w:r>
        <w:rPr>
          <w:rFonts w:hint="eastAsia" w:ascii="宋体" w:hAnsi="宋体" w:eastAsia="宋体" w:cs="宋体"/>
          <w:spacing w:val="8"/>
          <w:sz w:val="20"/>
          <w:szCs w:val="20"/>
        </w:rPr>
        <w:t>远程开标室(一)-5</w:t>
      </w:r>
      <w:r>
        <w:rPr>
          <w:rFonts w:ascii="宋体" w:hAnsi="宋体" w:eastAsia="宋体" w:cs="宋体"/>
          <w:spacing w:val="8"/>
          <w:sz w:val="20"/>
          <w:szCs w:val="20"/>
          <w:highlight w:val="none"/>
        </w:rPr>
        <w:t>（</w:t>
      </w:r>
      <w:r>
        <w:rPr>
          <w:rFonts w:ascii="宋体" w:hAnsi="宋体" w:eastAsia="宋体" w:cs="宋体"/>
          <w:spacing w:val="8"/>
          <w:sz w:val="20"/>
          <w:szCs w:val="20"/>
        </w:rPr>
        <w:t>郑州市经二路</w:t>
      </w:r>
      <w:r>
        <w:rPr>
          <w:rFonts w:ascii="宋体" w:hAnsi="宋体" w:eastAsia="宋体" w:cs="宋体"/>
          <w:spacing w:val="-24"/>
          <w:sz w:val="20"/>
          <w:szCs w:val="20"/>
        </w:rPr>
        <w:t xml:space="preserve"> </w:t>
      </w:r>
      <w:r>
        <w:rPr>
          <w:rFonts w:ascii="宋体" w:hAnsi="宋体" w:eastAsia="宋体" w:cs="宋体"/>
          <w:spacing w:val="8"/>
          <w:sz w:val="20"/>
          <w:szCs w:val="20"/>
        </w:rPr>
        <w:t>12</w:t>
      </w:r>
      <w:r>
        <w:rPr>
          <w:rFonts w:ascii="宋体" w:hAnsi="宋体" w:eastAsia="宋体" w:cs="宋体"/>
          <w:spacing w:val="-33"/>
          <w:sz w:val="20"/>
          <w:szCs w:val="20"/>
        </w:rPr>
        <w:t xml:space="preserve"> </w:t>
      </w:r>
      <w:r>
        <w:rPr>
          <w:rFonts w:ascii="宋体" w:hAnsi="宋体" w:eastAsia="宋体" w:cs="宋体"/>
          <w:spacing w:val="8"/>
          <w:sz w:val="20"/>
          <w:szCs w:val="20"/>
        </w:rPr>
        <w:t>号（经二路与纬</w:t>
      </w:r>
      <w:r>
        <w:rPr>
          <w:rFonts w:ascii="宋体" w:hAnsi="宋体" w:eastAsia="宋体" w:cs="宋体"/>
          <w:spacing w:val="7"/>
          <w:sz w:val="20"/>
          <w:szCs w:val="20"/>
        </w:rPr>
        <w:t>四路向</w:t>
      </w:r>
      <w:r>
        <w:rPr>
          <w:rFonts w:ascii="宋体" w:hAnsi="宋体" w:eastAsia="宋体" w:cs="宋体"/>
          <w:spacing w:val="2"/>
          <w:sz w:val="20"/>
          <w:szCs w:val="20"/>
        </w:rPr>
        <w:t>南</w:t>
      </w:r>
      <w:r>
        <w:rPr>
          <w:rFonts w:ascii="宋体" w:hAnsi="宋体" w:eastAsia="宋体" w:cs="宋体"/>
          <w:spacing w:val="-34"/>
          <w:sz w:val="20"/>
          <w:szCs w:val="20"/>
        </w:rPr>
        <w:t xml:space="preserve"> </w:t>
      </w:r>
      <w:r>
        <w:rPr>
          <w:rFonts w:ascii="宋体" w:hAnsi="宋体" w:eastAsia="宋体" w:cs="宋体"/>
          <w:spacing w:val="2"/>
          <w:sz w:val="20"/>
          <w:szCs w:val="20"/>
        </w:rPr>
        <w:t>50</w:t>
      </w:r>
      <w:r>
        <w:rPr>
          <w:rFonts w:ascii="宋体" w:hAnsi="宋体" w:eastAsia="宋体" w:cs="宋体"/>
          <w:spacing w:val="-38"/>
          <w:sz w:val="20"/>
          <w:szCs w:val="20"/>
        </w:rPr>
        <w:t xml:space="preserve"> </w:t>
      </w:r>
      <w:r>
        <w:rPr>
          <w:rFonts w:ascii="宋体" w:hAnsi="宋体" w:eastAsia="宋体" w:cs="宋体"/>
          <w:spacing w:val="2"/>
          <w:sz w:val="20"/>
          <w:szCs w:val="20"/>
        </w:rPr>
        <w:t>米路西）</w:t>
      </w:r>
    </w:p>
    <w:p w14:paraId="4675F20A">
      <w:pPr>
        <w:keepNext w:val="0"/>
        <w:keepLines w:val="0"/>
        <w:pageBreakBefore w:val="0"/>
        <w:kinsoku/>
        <w:wordWrap/>
        <w:overflowPunct/>
        <w:topLinePunct w:val="0"/>
        <w:bidi w:val="0"/>
        <w:spacing w:before="1" w:line="226" w:lineRule="auto"/>
        <w:ind w:left="429"/>
        <w:rPr>
          <w:rFonts w:ascii="宋体" w:hAnsi="宋体" w:eastAsia="宋体" w:cs="宋体"/>
          <w:sz w:val="20"/>
          <w:szCs w:val="20"/>
        </w:rPr>
      </w:pPr>
      <w:r>
        <w:rPr>
          <w:rFonts w:ascii="宋体" w:hAnsi="宋体" w:eastAsia="宋体" w:cs="宋体"/>
          <w:b/>
          <w:bCs/>
          <w:spacing w:val="8"/>
          <w:sz w:val="20"/>
          <w:szCs w:val="20"/>
        </w:rPr>
        <w:t>六、发布公告的媒介及招标公告期限</w:t>
      </w:r>
    </w:p>
    <w:p w14:paraId="0E0B8719">
      <w:pPr>
        <w:keepNext w:val="0"/>
        <w:keepLines w:val="0"/>
        <w:pageBreakBefore w:val="0"/>
        <w:kinsoku/>
        <w:wordWrap/>
        <w:overflowPunct/>
        <w:topLinePunct w:val="0"/>
        <w:bidi w:val="0"/>
        <w:spacing w:before="229" w:line="439" w:lineRule="auto"/>
        <w:ind w:left="8" w:right="73" w:firstLine="420"/>
        <w:rPr>
          <w:rFonts w:ascii="宋体" w:hAnsi="宋体" w:eastAsia="宋体" w:cs="宋体"/>
          <w:sz w:val="20"/>
          <w:szCs w:val="20"/>
        </w:rPr>
      </w:pPr>
      <w:r>
        <w:rPr>
          <w:rFonts w:ascii="宋体" w:hAnsi="宋体" w:eastAsia="宋体" w:cs="宋体"/>
          <w:spacing w:val="8"/>
          <w:sz w:val="20"/>
          <w:szCs w:val="20"/>
        </w:rPr>
        <w:t>本次招标公告在《河南省政府采购网》《中国招标投标</w:t>
      </w:r>
      <w:r>
        <w:rPr>
          <w:rFonts w:ascii="宋体" w:hAnsi="宋体" w:eastAsia="宋体" w:cs="宋体"/>
          <w:spacing w:val="7"/>
          <w:sz w:val="20"/>
          <w:szCs w:val="20"/>
        </w:rPr>
        <w:t>公共服务平台》《河南省公共资源交易中</w:t>
      </w:r>
      <w:r>
        <w:rPr>
          <w:rFonts w:ascii="宋体" w:hAnsi="宋体" w:eastAsia="宋体" w:cs="宋体"/>
          <w:spacing w:val="8"/>
          <w:sz w:val="20"/>
          <w:szCs w:val="20"/>
        </w:rPr>
        <w:t>心网》上发布，招标公告期限为五个工作日。</w:t>
      </w:r>
    </w:p>
    <w:p w14:paraId="6EE38508">
      <w:pPr>
        <w:keepNext w:val="0"/>
        <w:keepLines w:val="0"/>
        <w:pageBreakBefore w:val="0"/>
        <w:kinsoku/>
        <w:wordWrap/>
        <w:overflowPunct/>
        <w:topLinePunct w:val="0"/>
        <w:bidi w:val="0"/>
        <w:spacing w:line="228" w:lineRule="auto"/>
        <w:ind w:left="427"/>
        <w:rPr>
          <w:rFonts w:ascii="宋体" w:hAnsi="宋体" w:eastAsia="宋体" w:cs="宋体"/>
          <w:sz w:val="20"/>
          <w:szCs w:val="20"/>
        </w:rPr>
      </w:pPr>
      <w:r>
        <w:rPr>
          <w:rFonts w:ascii="宋体" w:hAnsi="宋体" w:eastAsia="宋体" w:cs="宋体"/>
          <w:b/>
          <w:bCs/>
          <w:spacing w:val="7"/>
          <w:sz w:val="20"/>
          <w:szCs w:val="20"/>
        </w:rPr>
        <w:t>七、其他补充事宜</w:t>
      </w:r>
    </w:p>
    <w:p w14:paraId="3F6161B8">
      <w:pPr>
        <w:keepNext w:val="0"/>
        <w:keepLines w:val="0"/>
        <w:pageBreakBefore w:val="0"/>
        <w:widowControl/>
        <w:kinsoku/>
        <w:wordWrap/>
        <w:overflowPunct/>
        <w:topLinePunct w:val="0"/>
        <w:autoSpaceDE w:val="0"/>
        <w:autoSpaceDN w:val="0"/>
        <w:bidi w:val="0"/>
        <w:adjustRightInd w:val="0"/>
        <w:snapToGrid w:val="0"/>
        <w:spacing w:line="480" w:lineRule="auto"/>
        <w:ind w:left="443"/>
        <w:textAlignment w:val="baseline"/>
        <w:rPr>
          <w:rFonts w:ascii="宋体" w:hAnsi="宋体" w:eastAsia="宋体" w:cs="宋体"/>
          <w:sz w:val="20"/>
          <w:szCs w:val="20"/>
        </w:rPr>
      </w:pPr>
      <w:r>
        <w:rPr>
          <w:rFonts w:ascii="宋体" w:hAnsi="宋体" w:eastAsia="宋体" w:cs="宋体"/>
          <w:spacing w:val="6"/>
          <w:sz w:val="20"/>
          <w:szCs w:val="20"/>
        </w:rPr>
        <w:t>1.执行《政府采购促进中小企业发展管理办法》</w:t>
      </w:r>
      <w:r>
        <w:rPr>
          <w:rFonts w:ascii="宋体" w:hAnsi="宋体" w:eastAsia="宋体" w:cs="宋体"/>
          <w:spacing w:val="-48"/>
          <w:sz w:val="20"/>
          <w:szCs w:val="20"/>
        </w:rPr>
        <w:t xml:space="preserve"> </w:t>
      </w:r>
      <w:r>
        <w:rPr>
          <w:rFonts w:ascii="宋体" w:hAnsi="宋体" w:eastAsia="宋体" w:cs="宋体"/>
          <w:spacing w:val="6"/>
          <w:sz w:val="20"/>
          <w:szCs w:val="20"/>
        </w:rPr>
        <w:t>[财库（20</w:t>
      </w:r>
      <w:r>
        <w:rPr>
          <w:rFonts w:ascii="宋体" w:hAnsi="宋体" w:eastAsia="宋体" w:cs="宋体"/>
          <w:spacing w:val="5"/>
          <w:sz w:val="20"/>
          <w:szCs w:val="20"/>
        </w:rPr>
        <w:t>20）46</w:t>
      </w:r>
      <w:r>
        <w:rPr>
          <w:rFonts w:ascii="宋体" w:hAnsi="宋体" w:eastAsia="宋体" w:cs="宋体"/>
          <w:spacing w:val="-36"/>
          <w:sz w:val="20"/>
          <w:szCs w:val="20"/>
        </w:rPr>
        <w:t xml:space="preserve"> </w:t>
      </w:r>
      <w:r>
        <w:rPr>
          <w:rFonts w:ascii="宋体" w:hAnsi="宋体" w:eastAsia="宋体" w:cs="宋体"/>
          <w:spacing w:val="5"/>
          <w:sz w:val="20"/>
          <w:szCs w:val="20"/>
        </w:rPr>
        <w:t>号]；</w:t>
      </w:r>
    </w:p>
    <w:p w14:paraId="6DB5EFE6">
      <w:pPr>
        <w:keepNext w:val="0"/>
        <w:keepLines w:val="0"/>
        <w:pageBreakBefore w:val="0"/>
        <w:widowControl/>
        <w:kinsoku/>
        <w:wordWrap/>
        <w:overflowPunct/>
        <w:topLinePunct w:val="0"/>
        <w:autoSpaceDE w:val="0"/>
        <w:autoSpaceDN w:val="0"/>
        <w:bidi w:val="0"/>
        <w:adjustRightInd w:val="0"/>
        <w:snapToGrid w:val="0"/>
        <w:spacing w:line="480" w:lineRule="auto"/>
        <w:ind w:left="430"/>
        <w:textAlignment w:val="baseline"/>
        <w:rPr>
          <w:rFonts w:ascii="宋体" w:hAnsi="宋体" w:eastAsia="宋体" w:cs="宋体"/>
          <w:sz w:val="20"/>
          <w:szCs w:val="20"/>
        </w:rPr>
      </w:pPr>
      <w:r>
        <w:rPr>
          <w:rFonts w:ascii="宋体" w:hAnsi="宋体" w:eastAsia="宋体" w:cs="宋体"/>
          <w:spacing w:val="8"/>
          <w:sz w:val="20"/>
          <w:szCs w:val="20"/>
        </w:rPr>
        <w:t>2.执行《关于进一步加大政府采购支持中小企业力度的通知》财库〔2022〕19</w:t>
      </w:r>
      <w:r>
        <w:rPr>
          <w:rFonts w:ascii="宋体" w:hAnsi="宋体" w:eastAsia="宋体" w:cs="宋体"/>
          <w:spacing w:val="-33"/>
          <w:sz w:val="20"/>
          <w:szCs w:val="20"/>
        </w:rPr>
        <w:t xml:space="preserve"> </w:t>
      </w:r>
      <w:r>
        <w:rPr>
          <w:rFonts w:ascii="宋体" w:hAnsi="宋体" w:eastAsia="宋体" w:cs="宋体"/>
          <w:spacing w:val="8"/>
          <w:sz w:val="20"/>
          <w:szCs w:val="20"/>
        </w:rPr>
        <w:t>号；</w:t>
      </w:r>
    </w:p>
    <w:p w14:paraId="2AB9806B">
      <w:pPr>
        <w:keepNext w:val="0"/>
        <w:keepLines w:val="0"/>
        <w:pageBreakBefore w:val="0"/>
        <w:widowControl/>
        <w:kinsoku/>
        <w:wordWrap/>
        <w:overflowPunct/>
        <w:topLinePunct w:val="0"/>
        <w:autoSpaceDE w:val="0"/>
        <w:autoSpaceDN w:val="0"/>
        <w:bidi w:val="0"/>
        <w:adjustRightInd w:val="0"/>
        <w:snapToGrid w:val="0"/>
        <w:spacing w:line="480" w:lineRule="auto"/>
        <w:ind w:left="28" w:right="404" w:firstLine="403"/>
        <w:textAlignment w:val="baseline"/>
        <w:rPr>
          <w:rFonts w:ascii="宋体" w:hAnsi="宋体" w:eastAsia="宋体" w:cs="宋体"/>
          <w:sz w:val="20"/>
          <w:szCs w:val="20"/>
        </w:rPr>
      </w:pPr>
      <w:r>
        <w:rPr>
          <w:rFonts w:ascii="宋体" w:hAnsi="宋体" w:eastAsia="宋体" w:cs="宋体"/>
          <w:spacing w:val="9"/>
          <w:sz w:val="20"/>
          <w:szCs w:val="20"/>
        </w:rPr>
        <w:t>3.执行《河南省财政厅关于进一步做好政府采购支持中小企业发展有关事项的通知》豫财购</w:t>
      </w:r>
      <w:r>
        <w:rPr>
          <w:rFonts w:ascii="宋体" w:hAnsi="宋体" w:eastAsia="宋体" w:cs="宋体"/>
          <w:sz w:val="20"/>
          <w:szCs w:val="20"/>
        </w:rPr>
        <w:t>〔2022〕5</w:t>
      </w:r>
      <w:r>
        <w:rPr>
          <w:rFonts w:ascii="宋体" w:hAnsi="宋体" w:eastAsia="宋体" w:cs="宋体"/>
          <w:spacing w:val="-33"/>
          <w:sz w:val="20"/>
          <w:szCs w:val="20"/>
        </w:rPr>
        <w:t xml:space="preserve"> </w:t>
      </w:r>
      <w:r>
        <w:rPr>
          <w:rFonts w:ascii="宋体" w:hAnsi="宋体" w:eastAsia="宋体" w:cs="宋体"/>
          <w:sz w:val="20"/>
          <w:szCs w:val="20"/>
        </w:rPr>
        <w:t>号；</w:t>
      </w:r>
    </w:p>
    <w:p w14:paraId="45AB0D7D">
      <w:pPr>
        <w:keepNext w:val="0"/>
        <w:keepLines w:val="0"/>
        <w:pageBreakBefore w:val="0"/>
        <w:widowControl/>
        <w:kinsoku/>
        <w:wordWrap/>
        <w:overflowPunct/>
        <w:topLinePunct w:val="0"/>
        <w:autoSpaceDE w:val="0"/>
        <w:autoSpaceDN w:val="0"/>
        <w:bidi w:val="0"/>
        <w:adjustRightInd w:val="0"/>
        <w:snapToGrid w:val="0"/>
        <w:spacing w:line="480" w:lineRule="auto"/>
        <w:ind w:left="28" w:right="404" w:firstLine="403"/>
        <w:textAlignment w:val="baseline"/>
        <w:rPr>
          <w:rFonts w:ascii="宋体" w:hAnsi="宋体" w:eastAsia="宋体" w:cs="宋体"/>
          <w:spacing w:val="9"/>
          <w:sz w:val="20"/>
          <w:szCs w:val="20"/>
        </w:rPr>
      </w:pPr>
      <w:r>
        <w:rPr>
          <w:rFonts w:ascii="宋体" w:hAnsi="宋体" w:eastAsia="宋体" w:cs="宋体"/>
          <w:spacing w:val="9"/>
          <w:sz w:val="20"/>
          <w:szCs w:val="20"/>
        </w:rPr>
        <w:t>4.执行《财政部、司法部关于政府采购支持监狱企业发展有关问题的通知》（财库[</w:t>
      </w:r>
      <w:r>
        <w:rPr>
          <w:rFonts w:ascii="宋体" w:hAnsi="宋体" w:eastAsia="宋体" w:cs="宋体"/>
          <w:spacing w:val="9"/>
          <w:sz w:val="20"/>
          <w:szCs w:val="20"/>
        </w:rPr>
        <w:fldChar w:fldCharType="begin"/>
      </w:r>
      <w:r>
        <w:rPr>
          <w:rFonts w:ascii="宋体" w:hAnsi="宋体" w:eastAsia="宋体" w:cs="宋体"/>
          <w:spacing w:val="9"/>
          <w:sz w:val="20"/>
          <w:szCs w:val="20"/>
        </w:rPr>
        <w:instrText xml:space="preserve"> HYPERLINK \l "bookmark10" </w:instrText>
      </w:r>
      <w:r>
        <w:rPr>
          <w:rFonts w:ascii="宋体" w:hAnsi="宋体" w:eastAsia="宋体" w:cs="宋体"/>
          <w:spacing w:val="9"/>
          <w:sz w:val="20"/>
          <w:szCs w:val="20"/>
        </w:rPr>
        <w:fldChar w:fldCharType="separate"/>
      </w:r>
      <w:r>
        <w:rPr>
          <w:rFonts w:ascii="宋体" w:hAnsi="宋体" w:eastAsia="宋体" w:cs="宋体"/>
          <w:spacing w:val="9"/>
          <w:sz w:val="20"/>
          <w:szCs w:val="20"/>
        </w:rPr>
        <w:t>2014</w:t>
      </w:r>
      <w:r>
        <w:rPr>
          <w:rFonts w:ascii="宋体" w:hAnsi="宋体" w:eastAsia="宋体" w:cs="宋体"/>
          <w:spacing w:val="9"/>
          <w:sz w:val="20"/>
          <w:szCs w:val="20"/>
        </w:rPr>
        <w:fldChar w:fldCharType="end"/>
      </w:r>
      <w:r>
        <w:rPr>
          <w:rFonts w:ascii="宋体" w:hAnsi="宋体" w:eastAsia="宋体" w:cs="宋体"/>
          <w:spacing w:val="9"/>
          <w:sz w:val="20"/>
          <w:szCs w:val="20"/>
        </w:rPr>
        <w:t>]68 号）；</w:t>
      </w:r>
    </w:p>
    <w:p w14:paraId="51692312">
      <w:pPr>
        <w:keepNext w:val="0"/>
        <w:keepLines w:val="0"/>
        <w:pageBreakBefore w:val="0"/>
        <w:widowControl/>
        <w:kinsoku/>
        <w:wordWrap/>
        <w:overflowPunct/>
        <w:topLinePunct w:val="0"/>
        <w:autoSpaceDE w:val="0"/>
        <w:autoSpaceDN w:val="0"/>
        <w:bidi w:val="0"/>
        <w:adjustRightInd w:val="0"/>
        <w:snapToGrid w:val="0"/>
        <w:spacing w:line="480" w:lineRule="auto"/>
        <w:ind w:left="28" w:right="404" w:firstLine="403"/>
        <w:textAlignment w:val="baseline"/>
        <w:rPr>
          <w:rFonts w:ascii="宋体" w:hAnsi="宋体" w:eastAsia="宋体" w:cs="宋体"/>
          <w:sz w:val="20"/>
          <w:szCs w:val="20"/>
        </w:rPr>
      </w:pPr>
      <w:r>
        <w:rPr>
          <w:rFonts w:ascii="宋体" w:hAnsi="宋体" w:eastAsia="宋体" w:cs="宋体"/>
          <w:spacing w:val="9"/>
          <w:sz w:val="20"/>
          <w:szCs w:val="20"/>
        </w:rPr>
        <w:t>5.执行《三部门联</w:t>
      </w:r>
      <w:r>
        <w:rPr>
          <w:rFonts w:ascii="宋体" w:hAnsi="宋体" w:eastAsia="宋体" w:cs="宋体"/>
          <w:spacing w:val="8"/>
          <w:sz w:val="20"/>
          <w:szCs w:val="20"/>
        </w:rPr>
        <w:t>合发布关于促进残疾人就业政府采购政策的通知》（财库[</w:t>
      </w:r>
      <w:r>
        <w:fldChar w:fldCharType="begin"/>
      </w:r>
      <w:r>
        <w:instrText xml:space="preserve"> HYPERLINK \l "bookmark11" </w:instrText>
      </w:r>
      <w:r>
        <w:fldChar w:fldCharType="separate"/>
      </w:r>
      <w:r>
        <w:rPr>
          <w:rFonts w:ascii="宋体" w:hAnsi="宋体" w:eastAsia="宋体" w:cs="宋体"/>
          <w:spacing w:val="8"/>
          <w:sz w:val="20"/>
          <w:szCs w:val="20"/>
        </w:rPr>
        <w:t>2017</w:t>
      </w:r>
      <w:r>
        <w:rPr>
          <w:rFonts w:ascii="宋体" w:hAnsi="宋体" w:eastAsia="宋体" w:cs="宋体"/>
          <w:spacing w:val="8"/>
          <w:sz w:val="20"/>
          <w:szCs w:val="20"/>
        </w:rPr>
        <w:fldChar w:fldCharType="end"/>
      </w:r>
      <w:r>
        <w:rPr>
          <w:rFonts w:ascii="宋体" w:hAnsi="宋体" w:eastAsia="宋体" w:cs="宋体"/>
          <w:spacing w:val="8"/>
          <w:sz w:val="20"/>
          <w:szCs w:val="20"/>
        </w:rPr>
        <w:t>]141</w:t>
      </w:r>
      <w:r>
        <w:rPr>
          <w:rFonts w:ascii="宋体" w:hAnsi="宋体" w:eastAsia="宋体" w:cs="宋体"/>
          <w:spacing w:val="-34"/>
          <w:sz w:val="20"/>
          <w:szCs w:val="20"/>
        </w:rPr>
        <w:t xml:space="preserve"> </w:t>
      </w:r>
      <w:r>
        <w:rPr>
          <w:rFonts w:ascii="宋体" w:hAnsi="宋体" w:eastAsia="宋体" w:cs="宋体"/>
          <w:spacing w:val="8"/>
          <w:sz w:val="20"/>
          <w:szCs w:val="20"/>
        </w:rPr>
        <w:t>号</w:t>
      </w:r>
      <w:r>
        <w:rPr>
          <w:rFonts w:ascii="宋体" w:hAnsi="宋体" w:eastAsia="宋体" w:cs="宋体"/>
          <w:spacing w:val="1"/>
          <w:sz w:val="20"/>
          <w:szCs w:val="20"/>
        </w:rPr>
        <w:t>）；</w:t>
      </w:r>
    </w:p>
    <w:p w14:paraId="2D4E0B9A">
      <w:pPr>
        <w:keepNext w:val="0"/>
        <w:keepLines w:val="0"/>
        <w:pageBreakBefore w:val="0"/>
        <w:widowControl/>
        <w:kinsoku/>
        <w:wordWrap/>
        <w:overflowPunct/>
        <w:topLinePunct w:val="0"/>
        <w:autoSpaceDE w:val="0"/>
        <w:autoSpaceDN w:val="0"/>
        <w:bidi w:val="0"/>
        <w:adjustRightInd w:val="0"/>
        <w:snapToGrid w:val="0"/>
        <w:spacing w:line="480" w:lineRule="auto"/>
        <w:ind w:left="429"/>
        <w:textAlignment w:val="baseline"/>
        <w:rPr>
          <w:rFonts w:ascii="宋体" w:hAnsi="宋体" w:eastAsia="宋体" w:cs="宋体"/>
          <w:sz w:val="20"/>
          <w:szCs w:val="20"/>
        </w:rPr>
      </w:pPr>
      <w:r>
        <w:rPr>
          <w:rFonts w:ascii="宋体" w:hAnsi="宋体" w:eastAsia="宋体" w:cs="宋体"/>
          <w:spacing w:val="8"/>
          <w:sz w:val="20"/>
          <w:szCs w:val="20"/>
        </w:rPr>
        <w:t>6.执行《关于印发节能产品政府采购品目清单的通知》（财库〔2019〕19</w:t>
      </w:r>
      <w:r>
        <w:rPr>
          <w:rFonts w:ascii="宋体" w:hAnsi="宋体" w:eastAsia="宋体" w:cs="宋体"/>
          <w:spacing w:val="-34"/>
          <w:sz w:val="20"/>
          <w:szCs w:val="20"/>
        </w:rPr>
        <w:t xml:space="preserve"> </w:t>
      </w:r>
      <w:r>
        <w:rPr>
          <w:rFonts w:ascii="宋体" w:hAnsi="宋体" w:eastAsia="宋体" w:cs="宋体"/>
          <w:spacing w:val="8"/>
          <w:sz w:val="20"/>
          <w:szCs w:val="20"/>
        </w:rPr>
        <w:t>号</w:t>
      </w:r>
      <w:r>
        <w:rPr>
          <w:rFonts w:ascii="宋体" w:hAnsi="宋体" w:eastAsia="宋体" w:cs="宋体"/>
          <w:spacing w:val="3"/>
          <w:sz w:val="20"/>
          <w:szCs w:val="20"/>
        </w:rPr>
        <w:t>）；</w:t>
      </w:r>
    </w:p>
    <w:p w14:paraId="28BB98E5">
      <w:pPr>
        <w:keepNext w:val="0"/>
        <w:keepLines w:val="0"/>
        <w:pageBreakBefore w:val="0"/>
        <w:widowControl/>
        <w:kinsoku/>
        <w:wordWrap/>
        <w:overflowPunct/>
        <w:topLinePunct w:val="0"/>
        <w:autoSpaceDE w:val="0"/>
        <w:autoSpaceDN w:val="0"/>
        <w:bidi w:val="0"/>
        <w:adjustRightInd w:val="0"/>
        <w:snapToGrid w:val="0"/>
        <w:spacing w:line="480" w:lineRule="auto"/>
        <w:ind w:left="433"/>
        <w:textAlignment w:val="baseline"/>
        <w:rPr>
          <w:rFonts w:ascii="宋体" w:hAnsi="宋体" w:eastAsia="宋体" w:cs="宋体"/>
          <w:sz w:val="20"/>
          <w:szCs w:val="20"/>
        </w:rPr>
      </w:pPr>
      <w:r>
        <w:rPr>
          <w:rFonts w:ascii="宋体" w:hAnsi="宋体" w:eastAsia="宋体" w:cs="宋体"/>
          <w:spacing w:val="8"/>
          <w:sz w:val="20"/>
          <w:szCs w:val="20"/>
        </w:rPr>
        <w:t>7.执行《关于印发环境标志产品政府采购品目清单的通知》（财库〔2019〕18</w:t>
      </w:r>
      <w:r>
        <w:rPr>
          <w:rFonts w:ascii="宋体" w:hAnsi="宋体" w:eastAsia="宋体" w:cs="宋体"/>
          <w:spacing w:val="-35"/>
          <w:sz w:val="20"/>
          <w:szCs w:val="20"/>
        </w:rPr>
        <w:t xml:space="preserve"> </w:t>
      </w:r>
      <w:r>
        <w:rPr>
          <w:rFonts w:ascii="宋体" w:hAnsi="宋体" w:eastAsia="宋体" w:cs="宋体"/>
          <w:spacing w:val="8"/>
          <w:sz w:val="20"/>
          <w:szCs w:val="20"/>
        </w:rPr>
        <w:t>号</w:t>
      </w:r>
      <w:r>
        <w:rPr>
          <w:rFonts w:ascii="宋体" w:hAnsi="宋体" w:eastAsia="宋体" w:cs="宋体"/>
          <w:spacing w:val="4"/>
          <w:sz w:val="20"/>
          <w:szCs w:val="20"/>
        </w:rPr>
        <w:t>）；</w:t>
      </w:r>
    </w:p>
    <w:p w14:paraId="07FF3B59">
      <w:pPr>
        <w:keepNext w:val="0"/>
        <w:keepLines w:val="0"/>
        <w:pageBreakBefore w:val="0"/>
        <w:widowControl/>
        <w:kinsoku/>
        <w:wordWrap/>
        <w:overflowPunct/>
        <w:topLinePunct w:val="0"/>
        <w:autoSpaceDE w:val="0"/>
        <w:autoSpaceDN w:val="0"/>
        <w:bidi w:val="0"/>
        <w:adjustRightInd w:val="0"/>
        <w:snapToGrid w:val="0"/>
        <w:spacing w:line="480" w:lineRule="auto"/>
        <w:ind w:right="70" w:firstLine="428"/>
        <w:textAlignment w:val="baseline"/>
        <w:rPr>
          <w:rFonts w:ascii="宋体" w:hAnsi="宋体" w:eastAsia="宋体" w:cs="宋体"/>
          <w:sz w:val="20"/>
          <w:szCs w:val="20"/>
        </w:rPr>
      </w:pPr>
      <w:r>
        <w:rPr>
          <w:rFonts w:ascii="宋体" w:hAnsi="宋体" w:eastAsia="宋体" w:cs="宋体"/>
          <w:spacing w:val="8"/>
          <w:sz w:val="20"/>
          <w:szCs w:val="20"/>
        </w:rPr>
        <w:t>8.本项目采购代理服务费参照《河南省招标代理服务收费指</w:t>
      </w:r>
      <w:r>
        <w:rPr>
          <w:rFonts w:ascii="宋体" w:hAnsi="宋体" w:eastAsia="宋体" w:cs="宋体"/>
          <w:spacing w:val="7"/>
          <w:sz w:val="20"/>
          <w:szCs w:val="20"/>
        </w:rPr>
        <w:t>导意见》(豫招协(2023)2</w:t>
      </w:r>
      <w:r>
        <w:rPr>
          <w:rFonts w:ascii="宋体" w:hAnsi="宋体" w:eastAsia="宋体" w:cs="宋体"/>
          <w:spacing w:val="-35"/>
          <w:sz w:val="20"/>
          <w:szCs w:val="20"/>
        </w:rPr>
        <w:t xml:space="preserve"> </w:t>
      </w:r>
      <w:r>
        <w:rPr>
          <w:rFonts w:ascii="宋体" w:hAnsi="宋体" w:eastAsia="宋体" w:cs="宋体"/>
          <w:spacing w:val="7"/>
          <w:sz w:val="20"/>
          <w:szCs w:val="20"/>
        </w:rPr>
        <w:t>号)规定的</w:t>
      </w:r>
      <w:r>
        <w:rPr>
          <w:rFonts w:ascii="宋体" w:hAnsi="宋体" w:eastAsia="宋体" w:cs="宋体"/>
          <w:spacing w:val="8"/>
          <w:sz w:val="20"/>
          <w:szCs w:val="20"/>
        </w:rPr>
        <w:t>代理服务费收费标准的规定，向</w:t>
      </w:r>
      <w:r>
        <w:rPr>
          <w:rFonts w:hint="eastAsia" w:ascii="宋体" w:hAnsi="宋体" w:eastAsia="宋体" w:cs="宋体"/>
          <w:spacing w:val="8"/>
          <w:sz w:val="20"/>
          <w:szCs w:val="20"/>
          <w:lang w:eastAsia="zh-CN"/>
        </w:rPr>
        <w:t>中标人</w:t>
      </w:r>
      <w:r>
        <w:rPr>
          <w:rFonts w:ascii="宋体" w:hAnsi="宋体" w:eastAsia="宋体" w:cs="宋体"/>
          <w:spacing w:val="8"/>
          <w:sz w:val="20"/>
          <w:szCs w:val="20"/>
        </w:rPr>
        <w:t>收取代理服务费。由</w:t>
      </w:r>
      <w:r>
        <w:rPr>
          <w:rFonts w:hint="eastAsia" w:ascii="宋体" w:hAnsi="宋体" w:eastAsia="宋体" w:cs="宋体"/>
          <w:spacing w:val="8"/>
          <w:sz w:val="20"/>
          <w:szCs w:val="20"/>
          <w:lang w:eastAsia="zh-CN"/>
        </w:rPr>
        <w:t>中标人</w:t>
      </w:r>
      <w:r>
        <w:rPr>
          <w:rFonts w:ascii="宋体" w:hAnsi="宋体" w:eastAsia="宋体" w:cs="宋体"/>
          <w:spacing w:val="8"/>
          <w:sz w:val="20"/>
          <w:szCs w:val="20"/>
        </w:rPr>
        <w:t>在领取中标通知书之</w:t>
      </w:r>
      <w:r>
        <w:rPr>
          <w:rFonts w:ascii="宋体" w:hAnsi="宋体" w:eastAsia="宋体" w:cs="宋体"/>
          <w:spacing w:val="7"/>
          <w:sz w:val="20"/>
          <w:szCs w:val="20"/>
        </w:rPr>
        <w:t>前一</w:t>
      </w:r>
      <w:r>
        <w:rPr>
          <w:rFonts w:ascii="宋体" w:hAnsi="宋体" w:eastAsia="宋体" w:cs="宋体"/>
          <w:spacing w:val="8"/>
          <w:sz w:val="20"/>
          <w:szCs w:val="20"/>
        </w:rPr>
        <w:t>次性向代理机构足额交纳采购代理服务费。</w:t>
      </w:r>
    </w:p>
    <w:p w14:paraId="6B166F98">
      <w:pPr>
        <w:keepNext w:val="0"/>
        <w:keepLines w:val="0"/>
        <w:pageBreakBefore w:val="0"/>
        <w:kinsoku/>
        <w:wordWrap/>
        <w:overflowPunct/>
        <w:topLinePunct w:val="0"/>
        <w:bidi w:val="0"/>
        <w:spacing w:before="1" w:line="226" w:lineRule="auto"/>
        <w:ind w:left="431"/>
        <w:rPr>
          <w:rFonts w:ascii="宋体" w:hAnsi="宋体" w:eastAsia="宋体" w:cs="宋体"/>
          <w:sz w:val="20"/>
          <w:szCs w:val="20"/>
        </w:rPr>
      </w:pPr>
      <w:r>
        <w:rPr>
          <w:rFonts w:ascii="宋体" w:hAnsi="宋体" w:eastAsia="宋体" w:cs="宋体"/>
          <w:b/>
          <w:bCs/>
          <w:spacing w:val="8"/>
          <w:sz w:val="20"/>
          <w:szCs w:val="20"/>
        </w:rPr>
        <w:t>八、凡对本次招标提出询问，请按照以下方式联系</w:t>
      </w:r>
    </w:p>
    <w:p w14:paraId="5E4E277F">
      <w:pPr>
        <w:keepNext w:val="0"/>
        <w:keepLines w:val="0"/>
        <w:pageBreakBefore w:val="0"/>
        <w:kinsoku/>
        <w:wordWrap/>
        <w:overflowPunct/>
        <w:topLinePunct w:val="0"/>
        <w:bidi w:val="0"/>
        <w:spacing w:before="229" w:line="227" w:lineRule="auto"/>
        <w:ind w:left="443"/>
        <w:rPr>
          <w:rFonts w:ascii="宋体" w:hAnsi="宋体" w:eastAsia="宋体" w:cs="宋体"/>
          <w:sz w:val="20"/>
          <w:szCs w:val="20"/>
        </w:rPr>
      </w:pPr>
      <w:r>
        <w:rPr>
          <w:rFonts w:ascii="宋体" w:hAnsi="宋体" w:eastAsia="宋体" w:cs="宋体"/>
          <w:spacing w:val="4"/>
          <w:sz w:val="20"/>
          <w:szCs w:val="20"/>
        </w:rPr>
        <w:t>1.采购人信息</w:t>
      </w:r>
    </w:p>
    <w:p w14:paraId="7EFD76C9">
      <w:pPr>
        <w:keepNext w:val="0"/>
        <w:keepLines w:val="0"/>
        <w:pageBreakBefore w:val="0"/>
        <w:kinsoku/>
        <w:wordWrap/>
        <w:overflowPunct/>
        <w:topLinePunct w:val="0"/>
        <w:bidi w:val="0"/>
        <w:spacing w:before="229" w:line="228" w:lineRule="auto"/>
        <w:ind w:left="641"/>
        <w:rPr>
          <w:rFonts w:hint="eastAsia" w:ascii="宋体" w:hAnsi="宋体" w:eastAsia="宋体" w:cs="宋体"/>
          <w:sz w:val="20"/>
          <w:szCs w:val="20"/>
          <w:lang w:eastAsia="zh-CN"/>
        </w:rPr>
      </w:pPr>
      <w:r>
        <w:rPr>
          <w:rFonts w:ascii="宋体" w:hAnsi="宋体" w:eastAsia="宋体" w:cs="宋体"/>
          <w:spacing w:val="9"/>
          <w:sz w:val="20"/>
          <w:szCs w:val="20"/>
        </w:rPr>
        <w:t>名称：</w:t>
      </w:r>
      <w:r>
        <w:rPr>
          <w:rFonts w:hint="eastAsia" w:ascii="宋体" w:hAnsi="宋体" w:eastAsia="宋体" w:cs="宋体"/>
          <w:spacing w:val="9"/>
          <w:sz w:val="20"/>
          <w:szCs w:val="20"/>
          <w:lang w:eastAsia="zh-CN"/>
        </w:rPr>
        <w:t>河南省商务中等职业学校</w:t>
      </w:r>
    </w:p>
    <w:p w14:paraId="6E9D1EFD">
      <w:pPr>
        <w:keepNext w:val="0"/>
        <w:keepLines w:val="0"/>
        <w:pageBreakBefore w:val="0"/>
        <w:kinsoku/>
        <w:wordWrap/>
        <w:overflowPunct/>
        <w:topLinePunct w:val="0"/>
        <w:bidi w:val="0"/>
        <w:spacing w:before="228" w:line="228" w:lineRule="auto"/>
        <w:ind w:left="639"/>
        <w:rPr>
          <w:rFonts w:ascii="宋体" w:hAnsi="宋体" w:eastAsia="宋体" w:cs="宋体"/>
          <w:sz w:val="20"/>
          <w:szCs w:val="20"/>
        </w:rPr>
      </w:pPr>
      <w:r>
        <w:rPr>
          <w:rFonts w:ascii="宋体" w:hAnsi="宋体" w:eastAsia="宋体" w:cs="宋体"/>
          <w:spacing w:val="9"/>
          <w:sz w:val="20"/>
          <w:szCs w:val="20"/>
        </w:rPr>
        <w:t>地址：</w:t>
      </w:r>
      <w:r>
        <w:rPr>
          <w:rFonts w:hint="eastAsia" w:ascii="宋体" w:hAnsi="宋体" w:eastAsia="宋体" w:cs="宋体"/>
          <w:spacing w:val="9"/>
          <w:sz w:val="20"/>
          <w:szCs w:val="20"/>
        </w:rPr>
        <w:t xml:space="preserve">郑州市金水区博颂路6号 </w:t>
      </w:r>
    </w:p>
    <w:p w14:paraId="456C447A">
      <w:pPr>
        <w:keepNext w:val="0"/>
        <w:keepLines w:val="0"/>
        <w:pageBreakBefore w:val="0"/>
        <w:kinsoku/>
        <w:wordWrap/>
        <w:overflowPunct/>
        <w:topLinePunct w:val="0"/>
        <w:bidi w:val="0"/>
        <w:spacing w:before="229" w:line="228" w:lineRule="auto"/>
        <w:ind w:left="640"/>
        <w:rPr>
          <w:rFonts w:hint="eastAsia" w:ascii="宋体" w:hAnsi="宋体" w:eastAsia="宋体" w:cs="宋体"/>
          <w:sz w:val="20"/>
          <w:szCs w:val="20"/>
          <w:lang w:eastAsia="zh-CN"/>
        </w:rPr>
      </w:pPr>
      <w:r>
        <w:rPr>
          <w:rFonts w:ascii="宋体" w:hAnsi="宋体" w:eastAsia="宋体" w:cs="宋体"/>
          <w:spacing w:val="8"/>
          <w:sz w:val="20"/>
          <w:szCs w:val="20"/>
        </w:rPr>
        <w:t>联系人：</w:t>
      </w:r>
      <w:r>
        <w:rPr>
          <w:rFonts w:hint="eastAsia" w:ascii="宋体" w:hAnsi="宋体" w:eastAsia="宋体" w:cs="宋体"/>
          <w:spacing w:val="8"/>
          <w:sz w:val="20"/>
          <w:szCs w:val="20"/>
          <w:lang w:eastAsia="zh-CN"/>
        </w:rPr>
        <w:t>杨老师</w:t>
      </w:r>
    </w:p>
    <w:p w14:paraId="736680E0">
      <w:pPr>
        <w:keepNext w:val="0"/>
        <w:keepLines w:val="0"/>
        <w:pageBreakBefore w:val="0"/>
        <w:kinsoku/>
        <w:wordWrap/>
        <w:overflowPunct/>
        <w:topLinePunct w:val="0"/>
        <w:bidi w:val="0"/>
        <w:spacing w:before="228" w:line="229" w:lineRule="auto"/>
        <w:ind w:left="640"/>
        <w:rPr>
          <w:rFonts w:ascii="宋体" w:hAnsi="宋体" w:eastAsia="宋体" w:cs="宋体"/>
          <w:sz w:val="20"/>
          <w:szCs w:val="20"/>
        </w:rPr>
      </w:pPr>
      <w:r>
        <w:rPr>
          <w:rFonts w:ascii="宋体" w:hAnsi="宋体" w:eastAsia="宋体" w:cs="宋体"/>
          <w:spacing w:val="5"/>
          <w:sz w:val="20"/>
          <w:szCs w:val="20"/>
        </w:rPr>
        <w:t>联系方式：</w:t>
      </w:r>
      <w:r>
        <w:rPr>
          <w:rFonts w:hint="eastAsia" w:ascii="宋体" w:hAnsi="宋体" w:eastAsia="宋体" w:cs="宋体"/>
          <w:spacing w:val="5"/>
          <w:sz w:val="20"/>
          <w:szCs w:val="20"/>
        </w:rPr>
        <w:t>0371-6379 5361</w:t>
      </w:r>
    </w:p>
    <w:p w14:paraId="1EC9FFBB">
      <w:pPr>
        <w:keepNext w:val="0"/>
        <w:keepLines w:val="0"/>
        <w:pageBreakBefore w:val="0"/>
        <w:kinsoku/>
        <w:wordWrap/>
        <w:overflowPunct/>
        <w:topLinePunct w:val="0"/>
        <w:bidi w:val="0"/>
        <w:spacing w:before="230" w:line="227" w:lineRule="auto"/>
        <w:ind w:left="430"/>
        <w:rPr>
          <w:rFonts w:ascii="宋体" w:hAnsi="宋体" w:eastAsia="宋体" w:cs="宋体"/>
          <w:sz w:val="20"/>
          <w:szCs w:val="20"/>
        </w:rPr>
      </w:pPr>
      <w:r>
        <w:rPr>
          <w:rFonts w:ascii="宋体" w:hAnsi="宋体" w:eastAsia="宋体" w:cs="宋体"/>
          <w:spacing w:val="7"/>
          <w:sz w:val="20"/>
          <w:szCs w:val="20"/>
        </w:rPr>
        <w:t>2.采购代理机构信息</w:t>
      </w:r>
    </w:p>
    <w:p w14:paraId="625A04E7">
      <w:pPr>
        <w:keepNext w:val="0"/>
        <w:keepLines w:val="0"/>
        <w:pageBreakBefore w:val="0"/>
        <w:kinsoku/>
        <w:wordWrap/>
        <w:overflowPunct/>
        <w:topLinePunct w:val="0"/>
        <w:bidi w:val="0"/>
        <w:spacing w:before="175" w:line="228" w:lineRule="auto"/>
        <w:ind w:left="224" w:firstLine="436" w:firstLineChars="200"/>
        <w:rPr>
          <w:rFonts w:hint="eastAsia" w:ascii="宋体" w:hAnsi="宋体" w:eastAsia="宋体" w:cs="宋体"/>
          <w:sz w:val="20"/>
          <w:szCs w:val="20"/>
          <w:lang w:eastAsia="zh-CN"/>
        </w:rPr>
      </w:pPr>
      <w:r>
        <w:rPr>
          <w:rFonts w:ascii="宋体" w:hAnsi="宋体" w:eastAsia="宋体" w:cs="宋体"/>
          <w:spacing w:val="9"/>
          <w:sz w:val="20"/>
          <w:szCs w:val="20"/>
        </w:rPr>
        <w:t>名称：</w:t>
      </w:r>
      <w:r>
        <w:rPr>
          <w:rFonts w:hint="eastAsia" w:ascii="宋体" w:hAnsi="宋体" w:eastAsia="宋体" w:cs="宋体"/>
          <w:spacing w:val="9"/>
          <w:sz w:val="20"/>
          <w:szCs w:val="20"/>
          <w:lang w:eastAsia="zh-CN"/>
        </w:rPr>
        <w:t>中诚景信工程咨询有限公司</w:t>
      </w:r>
    </w:p>
    <w:p w14:paraId="5F075C38">
      <w:pPr>
        <w:keepNext w:val="0"/>
        <w:keepLines w:val="0"/>
        <w:pageBreakBefore w:val="0"/>
        <w:kinsoku/>
        <w:wordWrap/>
        <w:overflowPunct/>
        <w:topLinePunct w:val="0"/>
        <w:bidi w:val="0"/>
        <w:spacing w:before="228" w:line="227" w:lineRule="auto"/>
        <w:ind w:left="221" w:firstLine="428" w:firstLineChars="200"/>
        <w:rPr>
          <w:rFonts w:ascii="宋体" w:hAnsi="宋体" w:eastAsia="宋体" w:cs="宋体"/>
          <w:sz w:val="20"/>
          <w:szCs w:val="20"/>
        </w:rPr>
      </w:pPr>
      <w:r>
        <w:rPr>
          <w:rFonts w:ascii="宋体" w:hAnsi="宋体" w:eastAsia="宋体" w:cs="宋体"/>
          <w:spacing w:val="7"/>
          <w:sz w:val="20"/>
          <w:szCs w:val="20"/>
        </w:rPr>
        <w:t>地址：</w:t>
      </w:r>
      <w:r>
        <w:rPr>
          <w:rFonts w:hint="eastAsia" w:ascii="宋体" w:hAnsi="宋体" w:eastAsia="宋体" w:cs="宋体"/>
          <w:spacing w:val="7"/>
          <w:sz w:val="20"/>
          <w:szCs w:val="20"/>
        </w:rPr>
        <w:t xml:space="preserve">郑州市郑东新区康宁街与心怡路交叉口亚新广场A座8楼805室  </w:t>
      </w:r>
    </w:p>
    <w:p w14:paraId="78FF71A3">
      <w:pPr>
        <w:keepNext w:val="0"/>
        <w:keepLines w:val="0"/>
        <w:pageBreakBefore w:val="0"/>
        <w:kinsoku/>
        <w:wordWrap/>
        <w:overflowPunct/>
        <w:topLinePunct w:val="0"/>
        <w:bidi w:val="0"/>
        <w:spacing w:before="228" w:line="228" w:lineRule="auto"/>
        <w:ind w:left="222" w:firstLine="412" w:firstLineChars="200"/>
        <w:rPr>
          <w:rFonts w:hint="eastAsia" w:ascii="宋体" w:hAnsi="宋体" w:eastAsia="宋体" w:cs="宋体"/>
          <w:sz w:val="20"/>
          <w:szCs w:val="20"/>
          <w:lang w:eastAsia="zh-CN"/>
        </w:rPr>
      </w:pPr>
      <w:r>
        <w:rPr>
          <w:rFonts w:ascii="宋体" w:hAnsi="宋体" w:eastAsia="宋体" w:cs="宋体"/>
          <w:spacing w:val="3"/>
          <w:sz w:val="20"/>
          <w:szCs w:val="20"/>
        </w:rPr>
        <w:t>联系人：</w:t>
      </w:r>
      <w:r>
        <w:rPr>
          <w:rFonts w:ascii="宋体" w:hAnsi="宋体" w:eastAsia="宋体" w:cs="宋体"/>
          <w:spacing w:val="-49"/>
          <w:sz w:val="20"/>
          <w:szCs w:val="20"/>
        </w:rPr>
        <w:t xml:space="preserve"> </w:t>
      </w:r>
      <w:r>
        <w:rPr>
          <w:rFonts w:hint="eastAsia" w:ascii="宋体" w:hAnsi="宋体" w:eastAsia="宋体" w:cs="宋体"/>
          <w:spacing w:val="3"/>
          <w:sz w:val="20"/>
          <w:szCs w:val="20"/>
          <w:lang w:eastAsia="zh-CN"/>
        </w:rPr>
        <w:t>侯一帆、楚子璇</w:t>
      </w:r>
    </w:p>
    <w:p w14:paraId="00BBA03B">
      <w:pPr>
        <w:keepNext w:val="0"/>
        <w:keepLines w:val="0"/>
        <w:pageBreakBefore w:val="0"/>
        <w:kinsoku/>
        <w:wordWrap/>
        <w:overflowPunct/>
        <w:topLinePunct w:val="0"/>
        <w:bidi w:val="0"/>
        <w:spacing w:before="228" w:line="229" w:lineRule="auto"/>
        <w:ind w:left="222" w:firstLine="420" w:firstLineChars="200"/>
        <w:rPr>
          <w:rFonts w:ascii="宋体" w:hAnsi="宋体" w:eastAsia="宋体" w:cs="宋体"/>
          <w:sz w:val="20"/>
          <w:szCs w:val="20"/>
        </w:rPr>
      </w:pPr>
      <w:r>
        <w:rPr>
          <w:rFonts w:ascii="宋体" w:hAnsi="宋体" w:eastAsia="宋体" w:cs="宋体"/>
          <w:spacing w:val="5"/>
          <w:sz w:val="20"/>
          <w:szCs w:val="20"/>
        </w:rPr>
        <w:t>联系方式：</w:t>
      </w:r>
      <w:r>
        <w:rPr>
          <w:rFonts w:hint="eastAsia" w:ascii="宋体" w:hAnsi="宋体" w:eastAsia="宋体" w:cs="宋体"/>
          <w:spacing w:val="5"/>
          <w:sz w:val="20"/>
          <w:szCs w:val="20"/>
        </w:rPr>
        <w:t>0371-8752 0763</w:t>
      </w:r>
    </w:p>
    <w:p w14:paraId="22579C9E">
      <w:pPr>
        <w:keepNext w:val="0"/>
        <w:keepLines w:val="0"/>
        <w:pageBreakBefore w:val="0"/>
        <w:kinsoku/>
        <w:wordWrap/>
        <w:overflowPunct/>
        <w:topLinePunct w:val="0"/>
        <w:bidi w:val="0"/>
        <w:spacing w:before="230" w:line="228" w:lineRule="auto"/>
        <w:ind w:left="14" w:firstLine="424" w:firstLineChars="200"/>
        <w:rPr>
          <w:rFonts w:ascii="宋体" w:hAnsi="宋体" w:eastAsia="宋体" w:cs="宋体"/>
          <w:sz w:val="20"/>
          <w:szCs w:val="20"/>
        </w:rPr>
      </w:pPr>
      <w:r>
        <w:rPr>
          <w:rFonts w:ascii="宋体" w:hAnsi="宋体" w:eastAsia="宋体" w:cs="宋体"/>
          <w:spacing w:val="6"/>
          <w:sz w:val="20"/>
          <w:szCs w:val="20"/>
        </w:rPr>
        <w:t>3.项目联系方式</w:t>
      </w:r>
    </w:p>
    <w:p w14:paraId="146751A9">
      <w:pPr>
        <w:keepNext w:val="0"/>
        <w:keepLines w:val="0"/>
        <w:pageBreakBefore w:val="0"/>
        <w:kinsoku/>
        <w:wordWrap/>
        <w:overflowPunct/>
        <w:topLinePunct w:val="0"/>
        <w:bidi w:val="0"/>
        <w:spacing w:before="228" w:line="228" w:lineRule="auto"/>
        <w:ind w:left="222" w:firstLine="412" w:firstLineChars="200"/>
        <w:rPr>
          <w:rFonts w:hint="eastAsia" w:ascii="宋体" w:hAnsi="宋体" w:eastAsia="宋体" w:cs="宋体"/>
          <w:sz w:val="20"/>
          <w:szCs w:val="20"/>
          <w:lang w:eastAsia="zh-CN"/>
        </w:rPr>
      </w:pPr>
      <w:r>
        <w:rPr>
          <w:rFonts w:ascii="宋体" w:hAnsi="宋体" w:eastAsia="宋体" w:cs="宋体"/>
          <w:spacing w:val="3"/>
          <w:sz w:val="20"/>
          <w:szCs w:val="20"/>
        </w:rPr>
        <w:t>联系人：</w:t>
      </w:r>
      <w:r>
        <w:rPr>
          <w:rFonts w:ascii="宋体" w:hAnsi="宋体" w:eastAsia="宋体" w:cs="宋体"/>
          <w:spacing w:val="-49"/>
          <w:sz w:val="20"/>
          <w:szCs w:val="20"/>
        </w:rPr>
        <w:t xml:space="preserve"> </w:t>
      </w:r>
      <w:r>
        <w:rPr>
          <w:rFonts w:hint="eastAsia" w:ascii="宋体" w:hAnsi="宋体" w:eastAsia="宋体" w:cs="宋体"/>
          <w:spacing w:val="3"/>
          <w:sz w:val="20"/>
          <w:szCs w:val="20"/>
          <w:lang w:eastAsia="zh-CN"/>
        </w:rPr>
        <w:t>侯一帆、楚子璇</w:t>
      </w:r>
    </w:p>
    <w:p w14:paraId="6BBFD026">
      <w:pPr>
        <w:keepNext w:val="0"/>
        <w:keepLines w:val="0"/>
        <w:pageBreakBefore w:val="0"/>
        <w:kinsoku/>
        <w:wordWrap/>
        <w:overflowPunct/>
        <w:topLinePunct w:val="0"/>
        <w:bidi w:val="0"/>
        <w:spacing w:before="228" w:line="229" w:lineRule="auto"/>
        <w:ind w:left="222" w:firstLine="420" w:firstLineChars="200"/>
        <w:rPr>
          <w:rFonts w:ascii="宋体" w:hAnsi="宋体" w:eastAsia="宋体" w:cs="宋体"/>
          <w:sz w:val="20"/>
          <w:szCs w:val="20"/>
        </w:rPr>
      </w:pPr>
      <w:r>
        <w:rPr>
          <w:rFonts w:ascii="宋体" w:hAnsi="宋体" w:eastAsia="宋体" w:cs="宋体"/>
          <w:spacing w:val="5"/>
          <w:sz w:val="20"/>
          <w:szCs w:val="20"/>
        </w:rPr>
        <w:t>联系方式：</w:t>
      </w:r>
      <w:r>
        <w:rPr>
          <w:rFonts w:hint="eastAsia" w:ascii="宋体" w:hAnsi="宋体" w:eastAsia="宋体" w:cs="宋体"/>
          <w:spacing w:val="5"/>
          <w:sz w:val="20"/>
          <w:szCs w:val="20"/>
        </w:rPr>
        <w:t>0371-8752 0763</w:t>
      </w:r>
    </w:p>
    <w:p w14:paraId="479E668C">
      <w:pPr>
        <w:keepNext w:val="0"/>
        <w:keepLines w:val="0"/>
        <w:pageBreakBefore w:val="0"/>
        <w:kinsoku/>
        <w:wordWrap/>
        <w:overflowPunct/>
        <w:topLinePunct w:val="0"/>
        <w:bidi w:val="0"/>
        <w:spacing w:before="201" w:line="224" w:lineRule="auto"/>
        <w:ind w:left="3174"/>
        <w:outlineLvl w:val="0"/>
        <w:rPr>
          <w:rFonts w:ascii="宋体" w:hAnsi="宋体" w:eastAsia="宋体" w:cs="宋体"/>
          <w:sz w:val="31"/>
          <w:szCs w:val="31"/>
        </w:rPr>
      </w:pPr>
      <w:bookmarkStart w:id="5" w:name="_Toc11770"/>
      <w:r>
        <w:rPr>
          <w:rFonts w:ascii="宋体" w:hAnsi="宋体" w:eastAsia="宋体" w:cs="宋体"/>
          <w:b/>
          <w:bCs/>
          <w:spacing w:val="8"/>
          <w:sz w:val="31"/>
          <w:szCs w:val="31"/>
        </w:rPr>
        <w:br w:type="page"/>
      </w:r>
      <w:r>
        <w:rPr>
          <w:rFonts w:ascii="宋体" w:hAnsi="宋体" w:eastAsia="宋体" w:cs="宋体"/>
          <w:b/>
          <w:bCs/>
          <w:spacing w:val="8"/>
          <w:sz w:val="31"/>
          <w:szCs w:val="31"/>
        </w:rPr>
        <w:t>第二章</w:t>
      </w:r>
      <w:r>
        <w:rPr>
          <w:rFonts w:ascii="宋体" w:hAnsi="宋体" w:eastAsia="宋体" w:cs="宋体"/>
          <w:spacing w:val="8"/>
          <w:sz w:val="31"/>
          <w:szCs w:val="31"/>
        </w:rPr>
        <w:t xml:space="preserve"> </w:t>
      </w:r>
      <w:r>
        <w:rPr>
          <w:rFonts w:ascii="宋体" w:hAnsi="宋体" w:eastAsia="宋体" w:cs="宋体"/>
          <w:b/>
          <w:bCs/>
          <w:spacing w:val="8"/>
          <w:sz w:val="31"/>
          <w:szCs w:val="31"/>
        </w:rPr>
        <w:t>投标人须知</w:t>
      </w:r>
      <w:bookmarkEnd w:id="5"/>
    </w:p>
    <w:p w14:paraId="07155E25">
      <w:pPr>
        <w:keepNext w:val="0"/>
        <w:keepLines w:val="0"/>
        <w:pageBreakBefore w:val="0"/>
        <w:kinsoku/>
        <w:wordWrap/>
        <w:overflowPunct/>
        <w:topLinePunct w:val="0"/>
        <w:bidi w:val="0"/>
        <w:spacing w:before="276" w:line="219" w:lineRule="auto"/>
        <w:ind w:left="3418"/>
        <w:outlineLvl w:val="1"/>
        <w:rPr>
          <w:rFonts w:ascii="宋体" w:hAnsi="宋体" w:eastAsia="宋体" w:cs="宋体"/>
          <w:sz w:val="28"/>
          <w:szCs w:val="28"/>
        </w:rPr>
      </w:pPr>
      <w:bookmarkStart w:id="6" w:name="bookmark12"/>
      <w:bookmarkEnd w:id="6"/>
      <w:bookmarkStart w:id="7" w:name="_Toc8294"/>
      <w:r>
        <w:rPr>
          <w:rFonts w:ascii="宋体" w:hAnsi="宋体" w:eastAsia="宋体" w:cs="宋体"/>
          <w:b/>
          <w:bCs/>
          <w:spacing w:val="-1"/>
          <w:sz w:val="28"/>
          <w:szCs w:val="28"/>
        </w:rPr>
        <w:t>投标人须知前附表</w:t>
      </w:r>
      <w:bookmarkEnd w:id="7"/>
    </w:p>
    <w:p w14:paraId="5138FD1D">
      <w:pPr>
        <w:keepNext w:val="0"/>
        <w:keepLines w:val="0"/>
        <w:pageBreakBefore w:val="0"/>
        <w:kinsoku/>
        <w:wordWrap/>
        <w:overflowPunct/>
        <w:topLinePunct w:val="0"/>
        <w:bidi w:val="0"/>
        <w:spacing w:line="125" w:lineRule="exact"/>
      </w:pPr>
    </w:p>
    <w:tbl>
      <w:tblPr>
        <w:tblStyle w:val="30"/>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638"/>
        <w:gridCol w:w="6466"/>
      </w:tblGrid>
      <w:tr w14:paraId="1648C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971" w:type="dxa"/>
            <w:vAlign w:val="top"/>
          </w:tcPr>
          <w:p w14:paraId="1D4FADF6">
            <w:pPr>
              <w:pStyle w:val="31"/>
              <w:keepNext w:val="0"/>
              <w:keepLines w:val="0"/>
              <w:pageBreakBefore w:val="0"/>
              <w:kinsoku/>
              <w:wordWrap/>
              <w:overflowPunct/>
              <w:topLinePunct w:val="0"/>
              <w:bidi w:val="0"/>
              <w:spacing w:before="239" w:line="228" w:lineRule="auto"/>
              <w:ind w:left="176"/>
            </w:pPr>
            <w:r>
              <w:rPr>
                <w:spacing w:val="6"/>
              </w:rPr>
              <w:t>条款号</w:t>
            </w:r>
          </w:p>
        </w:tc>
        <w:tc>
          <w:tcPr>
            <w:tcW w:w="1638" w:type="dxa"/>
            <w:vAlign w:val="top"/>
          </w:tcPr>
          <w:p w14:paraId="149135DE">
            <w:pPr>
              <w:pStyle w:val="31"/>
              <w:keepNext w:val="0"/>
              <w:keepLines w:val="0"/>
              <w:pageBreakBefore w:val="0"/>
              <w:kinsoku/>
              <w:wordWrap/>
              <w:overflowPunct/>
              <w:topLinePunct w:val="0"/>
              <w:bidi w:val="0"/>
              <w:spacing w:before="239" w:line="228" w:lineRule="auto"/>
              <w:ind w:left="405"/>
            </w:pPr>
            <w:r>
              <w:rPr>
                <w:spacing w:val="6"/>
              </w:rPr>
              <w:t>条款名称</w:t>
            </w:r>
          </w:p>
        </w:tc>
        <w:tc>
          <w:tcPr>
            <w:tcW w:w="6466" w:type="dxa"/>
            <w:vAlign w:val="top"/>
          </w:tcPr>
          <w:p w14:paraId="270910C5">
            <w:pPr>
              <w:pStyle w:val="31"/>
              <w:keepNext w:val="0"/>
              <w:keepLines w:val="0"/>
              <w:pageBreakBefore w:val="0"/>
              <w:kinsoku/>
              <w:wordWrap/>
              <w:overflowPunct/>
              <w:topLinePunct w:val="0"/>
              <w:bidi w:val="0"/>
              <w:spacing w:before="239" w:line="228" w:lineRule="auto"/>
              <w:ind w:left="2818"/>
            </w:pPr>
            <w:r>
              <w:rPr>
                <w:spacing w:val="6"/>
              </w:rPr>
              <w:t>编列内容</w:t>
            </w:r>
          </w:p>
        </w:tc>
      </w:tr>
      <w:tr w14:paraId="3ACF0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6" w:hRule="atLeast"/>
        </w:trPr>
        <w:tc>
          <w:tcPr>
            <w:tcW w:w="971" w:type="dxa"/>
            <w:vAlign w:val="top"/>
          </w:tcPr>
          <w:p w14:paraId="4C869FF7">
            <w:pPr>
              <w:keepNext w:val="0"/>
              <w:keepLines w:val="0"/>
              <w:pageBreakBefore w:val="0"/>
              <w:kinsoku/>
              <w:wordWrap/>
              <w:overflowPunct/>
              <w:topLinePunct w:val="0"/>
              <w:bidi w:val="0"/>
              <w:spacing w:line="259" w:lineRule="auto"/>
              <w:rPr>
                <w:rFonts w:ascii="Arial"/>
                <w:sz w:val="21"/>
              </w:rPr>
            </w:pPr>
          </w:p>
          <w:p w14:paraId="46C6BE76">
            <w:pPr>
              <w:keepNext w:val="0"/>
              <w:keepLines w:val="0"/>
              <w:pageBreakBefore w:val="0"/>
              <w:kinsoku/>
              <w:wordWrap/>
              <w:overflowPunct/>
              <w:topLinePunct w:val="0"/>
              <w:bidi w:val="0"/>
              <w:spacing w:line="259" w:lineRule="auto"/>
              <w:rPr>
                <w:rFonts w:ascii="Arial"/>
                <w:sz w:val="21"/>
              </w:rPr>
            </w:pPr>
          </w:p>
          <w:p w14:paraId="05D2CBE8">
            <w:pPr>
              <w:keepNext w:val="0"/>
              <w:keepLines w:val="0"/>
              <w:pageBreakBefore w:val="0"/>
              <w:kinsoku/>
              <w:wordWrap/>
              <w:overflowPunct/>
              <w:topLinePunct w:val="0"/>
              <w:bidi w:val="0"/>
              <w:spacing w:line="259" w:lineRule="auto"/>
              <w:rPr>
                <w:rFonts w:ascii="Arial"/>
                <w:sz w:val="21"/>
              </w:rPr>
            </w:pPr>
          </w:p>
          <w:p w14:paraId="5A538241">
            <w:pPr>
              <w:pStyle w:val="31"/>
              <w:keepNext w:val="0"/>
              <w:keepLines w:val="0"/>
              <w:pageBreakBefore w:val="0"/>
              <w:kinsoku/>
              <w:wordWrap/>
              <w:overflowPunct/>
              <w:topLinePunct w:val="0"/>
              <w:bidi w:val="0"/>
              <w:spacing w:before="65" w:line="267" w:lineRule="exact"/>
              <w:ind w:left="243"/>
            </w:pPr>
            <w:r>
              <w:rPr>
                <w:position w:val="1"/>
              </w:rPr>
              <w:t>1.1.1</w:t>
            </w:r>
          </w:p>
        </w:tc>
        <w:tc>
          <w:tcPr>
            <w:tcW w:w="1638" w:type="dxa"/>
            <w:vAlign w:val="top"/>
          </w:tcPr>
          <w:p w14:paraId="476D22F6">
            <w:pPr>
              <w:keepNext w:val="0"/>
              <w:keepLines w:val="0"/>
              <w:pageBreakBefore w:val="0"/>
              <w:kinsoku/>
              <w:wordWrap/>
              <w:overflowPunct/>
              <w:topLinePunct w:val="0"/>
              <w:bidi w:val="0"/>
              <w:spacing w:line="258" w:lineRule="auto"/>
              <w:rPr>
                <w:rFonts w:ascii="Arial"/>
                <w:sz w:val="21"/>
              </w:rPr>
            </w:pPr>
          </w:p>
          <w:p w14:paraId="4EE9DDEF">
            <w:pPr>
              <w:keepNext w:val="0"/>
              <w:keepLines w:val="0"/>
              <w:pageBreakBefore w:val="0"/>
              <w:kinsoku/>
              <w:wordWrap/>
              <w:overflowPunct/>
              <w:topLinePunct w:val="0"/>
              <w:bidi w:val="0"/>
              <w:spacing w:line="259" w:lineRule="auto"/>
              <w:rPr>
                <w:rFonts w:ascii="Arial"/>
                <w:sz w:val="21"/>
              </w:rPr>
            </w:pPr>
          </w:p>
          <w:p w14:paraId="3A1FFB60">
            <w:pPr>
              <w:keepNext w:val="0"/>
              <w:keepLines w:val="0"/>
              <w:pageBreakBefore w:val="0"/>
              <w:kinsoku/>
              <w:wordWrap/>
              <w:overflowPunct/>
              <w:topLinePunct w:val="0"/>
              <w:bidi w:val="0"/>
              <w:spacing w:line="259" w:lineRule="auto"/>
              <w:rPr>
                <w:rFonts w:ascii="Arial"/>
                <w:sz w:val="21"/>
              </w:rPr>
            </w:pPr>
          </w:p>
          <w:p w14:paraId="546FB63E">
            <w:pPr>
              <w:pStyle w:val="31"/>
              <w:keepNext w:val="0"/>
              <w:keepLines w:val="0"/>
              <w:pageBreakBefore w:val="0"/>
              <w:kinsoku/>
              <w:wordWrap/>
              <w:overflowPunct/>
              <w:topLinePunct w:val="0"/>
              <w:bidi w:val="0"/>
              <w:spacing w:before="65" w:line="227" w:lineRule="auto"/>
              <w:ind w:left="506"/>
            </w:pPr>
            <w:r>
              <w:rPr>
                <w:spacing w:val="7"/>
              </w:rPr>
              <w:t>采购人</w:t>
            </w:r>
          </w:p>
        </w:tc>
        <w:tc>
          <w:tcPr>
            <w:tcW w:w="6466" w:type="dxa"/>
            <w:vAlign w:val="top"/>
          </w:tcPr>
          <w:p w14:paraId="550B79C3">
            <w:pPr>
              <w:pStyle w:val="31"/>
              <w:keepNext w:val="0"/>
              <w:keepLines w:val="0"/>
              <w:pageBreakBefore w:val="0"/>
              <w:kinsoku/>
              <w:wordWrap/>
              <w:overflowPunct/>
              <w:topLinePunct w:val="0"/>
              <w:bidi w:val="0"/>
              <w:spacing w:before="227" w:line="229" w:lineRule="auto"/>
              <w:ind w:left="113"/>
              <w:rPr>
                <w:rFonts w:hint="eastAsia"/>
                <w:lang w:eastAsia="zh-CN"/>
              </w:rPr>
            </w:pPr>
            <w:r>
              <w:t>名称：</w:t>
            </w:r>
            <w:r>
              <w:rPr>
                <w:rFonts w:hint="eastAsia"/>
                <w:lang w:eastAsia="zh-CN"/>
              </w:rPr>
              <w:t>河南省商务中等职业学校</w:t>
            </w:r>
          </w:p>
          <w:p w14:paraId="57245E6F">
            <w:pPr>
              <w:pStyle w:val="31"/>
              <w:keepNext w:val="0"/>
              <w:keepLines w:val="0"/>
              <w:pageBreakBefore w:val="0"/>
              <w:kinsoku/>
              <w:wordWrap/>
              <w:overflowPunct/>
              <w:topLinePunct w:val="0"/>
              <w:bidi w:val="0"/>
              <w:spacing w:before="227" w:line="229" w:lineRule="auto"/>
              <w:ind w:left="113"/>
            </w:pPr>
            <w:r>
              <w:t>地址：</w:t>
            </w:r>
            <w:r>
              <w:rPr>
                <w:rFonts w:hint="eastAsia"/>
              </w:rPr>
              <w:t xml:space="preserve">郑州市金水区博颂路6号 </w:t>
            </w:r>
          </w:p>
          <w:p w14:paraId="1F257722">
            <w:pPr>
              <w:pStyle w:val="31"/>
              <w:keepNext w:val="0"/>
              <w:keepLines w:val="0"/>
              <w:pageBreakBefore w:val="0"/>
              <w:kinsoku/>
              <w:wordWrap/>
              <w:overflowPunct/>
              <w:topLinePunct w:val="0"/>
              <w:bidi w:val="0"/>
              <w:spacing w:before="227" w:line="229" w:lineRule="auto"/>
              <w:ind w:left="113"/>
              <w:rPr>
                <w:rFonts w:hint="eastAsia"/>
                <w:lang w:eastAsia="zh-CN"/>
              </w:rPr>
            </w:pPr>
            <w:r>
              <w:t>联系人：</w:t>
            </w:r>
            <w:r>
              <w:rPr>
                <w:rFonts w:hint="eastAsia"/>
                <w:lang w:eastAsia="zh-CN"/>
              </w:rPr>
              <w:t>杨老师</w:t>
            </w:r>
          </w:p>
          <w:p w14:paraId="27581425">
            <w:pPr>
              <w:pStyle w:val="31"/>
              <w:keepNext w:val="0"/>
              <w:keepLines w:val="0"/>
              <w:pageBreakBefore w:val="0"/>
              <w:kinsoku/>
              <w:wordWrap/>
              <w:overflowPunct/>
              <w:topLinePunct w:val="0"/>
              <w:bidi w:val="0"/>
              <w:spacing w:before="227" w:line="229" w:lineRule="auto"/>
              <w:ind w:left="113"/>
            </w:pPr>
            <w:r>
              <w:t>联系方式：</w:t>
            </w:r>
            <w:r>
              <w:rPr>
                <w:rFonts w:hint="eastAsia"/>
              </w:rPr>
              <w:t>0371-6379 5361</w:t>
            </w:r>
          </w:p>
        </w:tc>
      </w:tr>
      <w:tr w14:paraId="184BF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2" w:hRule="atLeast"/>
        </w:trPr>
        <w:tc>
          <w:tcPr>
            <w:tcW w:w="971" w:type="dxa"/>
            <w:vAlign w:val="top"/>
          </w:tcPr>
          <w:p w14:paraId="10CA9C26">
            <w:pPr>
              <w:keepNext w:val="0"/>
              <w:keepLines w:val="0"/>
              <w:pageBreakBefore w:val="0"/>
              <w:kinsoku/>
              <w:wordWrap/>
              <w:overflowPunct/>
              <w:topLinePunct w:val="0"/>
              <w:bidi w:val="0"/>
              <w:spacing w:line="253" w:lineRule="auto"/>
              <w:rPr>
                <w:rFonts w:ascii="Arial"/>
                <w:sz w:val="21"/>
              </w:rPr>
            </w:pPr>
          </w:p>
          <w:p w14:paraId="6D05F7D7">
            <w:pPr>
              <w:keepNext w:val="0"/>
              <w:keepLines w:val="0"/>
              <w:pageBreakBefore w:val="0"/>
              <w:kinsoku/>
              <w:wordWrap/>
              <w:overflowPunct/>
              <w:topLinePunct w:val="0"/>
              <w:bidi w:val="0"/>
              <w:spacing w:line="254" w:lineRule="auto"/>
              <w:rPr>
                <w:rFonts w:ascii="Arial"/>
                <w:sz w:val="21"/>
              </w:rPr>
            </w:pPr>
          </w:p>
          <w:p w14:paraId="0ABFF785">
            <w:pPr>
              <w:keepNext w:val="0"/>
              <w:keepLines w:val="0"/>
              <w:pageBreakBefore w:val="0"/>
              <w:kinsoku/>
              <w:wordWrap/>
              <w:overflowPunct/>
              <w:topLinePunct w:val="0"/>
              <w:bidi w:val="0"/>
              <w:spacing w:line="254" w:lineRule="auto"/>
              <w:rPr>
                <w:rFonts w:ascii="Arial"/>
                <w:sz w:val="21"/>
              </w:rPr>
            </w:pPr>
          </w:p>
          <w:p w14:paraId="68C46B0C">
            <w:pPr>
              <w:keepNext w:val="0"/>
              <w:keepLines w:val="0"/>
              <w:pageBreakBefore w:val="0"/>
              <w:kinsoku/>
              <w:wordWrap/>
              <w:overflowPunct/>
              <w:topLinePunct w:val="0"/>
              <w:bidi w:val="0"/>
              <w:spacing w:line="254" w:lineRule="auto"/>
              <w:rPr>
                <w:rFonts w:ascii="Arial"/>
                <w:sz w:val="21"/>
              </w:rPr>
            </w:pPr>
          </w:p>
          <w:p w14:paraId="5E934974">
            <w:pPr>
              <w:pStyle w:val="31"/>
              <w:keepNext w:val="0"/>
              <w:keepLines w:val="0"/>
              <w:pageBreakBefore w:val="0"/>
              <w:kinsoku/>
              <w:wordWrap/>
              <w:overflowPunct/>
              <w:topLinePunct w:val="0"/>
              <w:bidi w:val="0"/>
              <w:spacing w:before="65" w:line="267" w:lineRule="exact"/>
              <w:ind w:left="243"/>
            </w:pPr>
            <w:r>
              <w:rPr>
                <w:position w:val="1"/>
              </w:rPr>
              <w:t>1.1.2</w:t>
            </w:r>
          </w:p>
        </w:tc>
        <w:tc>
          <w:tcPr>
            <w:tcW w:w="1638" w:type="dxa"/>
            <w:vAlign w:val="top"/>
          </w:tcPr>
          <w:p w14:paraId="50709CBF">
            <w:pPr>
              <w:keepNext w:val="0"/>
              <w:keepLines w:val="0"/>
              <w:pageBreakBefore w:val="0"/>
              <w:kinsoku/>
              <w:wordWrap/>
              <w:overflowPunct/>
              <w:topLinePunct w:val="0"/>
              <w:bidi w:val="0"/>
              <w:spacing w:line="253" w:lineRule="auto"/>
              <w:rPr>
                <w:rFonts w:ascii="Arial"/>
                <w:sz w:val="21"/>
              </w:rPr>
            </w:pPr>
          </w:p>
          <w:p w14:paraId="6E739E87">
            <w:pPr>
              <w:keepNext w:val="0"/>
              <w:keepLines w:val="0"/>
              <w:pageBreakBefore w:val="0"/>
              <w:kinsoku/>
              <w:wordWrap/>
              <w:overflowPunct/>
              <w:topLinePunct w:val="0"/>
              <w:bidi w:val="0"/>
              <w:spacing w:line="253" w:lineRule="auto"/>
              <w:rPr>
                <w:rFonts w:ascii="Arial"/>
                <w:sz w:val="21"/>
              </w:rPr>
            </w:pPr>
          </w:p>
          <w:p w14:paraId="6C932B67">
            <w:pPr>
              <w:keepNext w:val="0"/>
              <w:keepLines w:val="0"/>
              <w:pageBreakBefore w:val="0"/>
              <w:kinsoku/>
              <w:wordWrap/>
              <w:overflowPunct/>
              <w:topLinePunct w:val="0"/>
              <w:bidi w:val="0"/>
              <w:spacing w:line="254" w:lineRule="auto"/>
              <w:rPr>
                <w:rFonts w:ascii="Arial"/>
                <w:sz w:val="21"/>
              </w:rPr>
            </w:pPr>
          </w:p>
          <w:p w14:paraId="716C86D6">
            <w:pPr>
              <w:keepNext w:val="0"/>
              <w:keepLines w:val="0"/>
              <w:pageBreakBefore w:val="0"/>
              <w:kinsoku/>
              <w:wordWrap/>
              <w:overflowPunct/>
              <w:topLinePunct w:val="0"/>
              <w:bidi w:val="0"/>
              <w:spacing w:line="254" w:lineRule="auto"/>
              <w:rPr>
                <w:rFonts w:ascii="Arial"/>
                <w:sz w:val="21"/>
              </w:rPr>
            </w:pPr>
          </w:p>
          <w:p w14:paraId="119F1264">
            <w:pPr>
              <w:pStyle w:val="31"/>
              <w:keepNext w:val="0"/>
              <w:keepLines w:val="0"/>
              <w:pageBreakBefore w:val="0"/>
              <w:kinsoku/>
              <w:wordWrap/>
              <w:overflowPunct/>
              <w:topLinePunct w:val="0"/>
              <w:bidi w:val="0"/>
              <w:spacing w:before="65" w:line="227" w:lineRule="auto"/>
              <w:ind w:left="191"/>
            </w:pPr>
            <w:r>
              <w:rPr>
                <w:spacing w:val="8"/>
              </w:rPr>
              <w:t>采购代理机构</w:t>
            </w:r>
          </w:p>
        </w:tc>
        <w:tc>
          <w:tcPr>
            <w:tcW w:w="6466" w:type="dxa"/>
            <w:vAlign w:val="top"/>
          </w:tcPr>
          <w:p w14:paraId="3EDD5340">
            <w:pPr>
              <w:pStyle w:val="31"/>
              <w:keepNext w:val="0"/>
              <w:keepLines w:val="0"/>
              <w:pageBreakBefore w:val="0"/>
              <w:kinsoku/>
              <w:wordWrap/>
              <w:overflowPunct/>
              <w:topLinePunct w:val="0"/>
              <w:bidi w:val="0"/>
              <w:spacing w:before="227" w:line="229" w:lineRule="auto"/>
              <w:ind w:left="113"/>
              <w:rPr>
                <w:rFonts w:hint="eastAsia" w:ascii="宋体" w:hAnsi="宋体" w:eastAsia="宋体" w:cs="宋体"/>
                <w:lang w:eastAsia="zh-CN"/>
              </w:rPr>
            </w:pPr>
            <w:r>
              <w:rPr>
                <w:rFonts w:ascii="宋体" w:hAnsi="宋体" w:eastAsia="宋体" w:cs="宋体"/>
              </w:rPr>
              <w:t>名称：</w:t>
            </w:r>
            <w:r>
              <w:rPr>
                <w:rFonts w:hint="eastAsia" w:ascii="宋体" w:hAnsi="宋体" w:eastAsia="宋体" w:cs="宋体"/>
                <w:lang w:eastAsia="zh-CN"/>
              </w:rPr>
              <w:t>中诚景信工程咨询有限公司</w:t>
            </w:r>
          </w:p>
          <w:p w14:paraId="6FA45B10">
            <w:pPr>
              <w:pStyle w:val="31"/>
              <w:keepNext w:val="0"/>
              <w:keepLines w:val="0"/>
              <w:pageBreakBefore w:val="0"/>
              <w:kinsoku/>
              <w:wordWrap/>
              <w:overflowPunct/>
              <w:topLinePunct w:val="0"/>
              <w:bidi w:val="0"/>
              <w:spacing w:before="227" w:line="229" w:lineRule="auto"/>
              <w:ind w:left="113"/>
              <w:rPr>
                <w:rFonts w:ascii="宋体" w:hAnsi="宋体" w:eastAsia="宋体" w:cs="宋体"/>
              </w:rPr>
            </w:pPr>
            <w:r>
              <w:rPr>
                <w:rFonts w:ascii="宋体" w:hAnsi="宋体" w:eastAsia="宋体" w:cs="宋体"/>
              </w:rPr>
              <w:t>地址：</w:t>
            </w:r>
            <w:r>
              <w:rPr>
                <w:rFonts w:hint="eastAsia" w:ascii="宋体" w:hAnsi="宋体" w:eastAsia="宋体" w:cs="宋体"/>
              </w:rPr>
              <w:t xml:space="preserve">郑州市郑东新区康宁街与心怡路交叉口亚新广场A座8楼805室  </w:t>
            </w:r>
          </w:p>
          <w:p w14:paraId="5E51482E">
            <w:pPr>
              <w:pStyle w:val="31"/>
              <w:keepNext w:val="0"/>
              <w:keepLines w:val="0"/>
              <w:pageBreakBefore w:val="0"/>
              <w:kinsoku/>
              <w:wordWrap/>
              <w:overflowPunct/>
              <w:topLinePunct w:val="0"/>
              <w:bidi w:val="0"/>
              <w:spacing w:before="227" w:line="229" w:lineRule="auto"/>
              <w:ind w:left="113"/>
              <w:rPr>
                <w:rFonts w:hint="eastAsia" w:ascii="宋体" w:hAnsi="宋体" w:eastAsia="宋体" w:cs="宋体"/>
                <w:lang w:eastAsia="zh-CN"/>
              </w:rPr>
            </w:pPr>
            <w:r>
              <w:rPr>
                <w:rFonts w:ascii="宋体" w:hAnsi="宋体" w:eastAsia="宋体" w:cs="宋体"/>
              </w:rPr>
              <w:t xml:space="preserve">联系人： </w:t>
            </w:r>
            <w:r>
              <w:rPr>
                <w:rFonts w:hint="eastAsia" w:ascii="宋体" w:hAnsi="宋体" w:eastAsia="宋体" w:cs="宋体"/>
                <w:lang w:eastAsia="zh-CN"/>
              </w:rPr>
              <w:t>侯一帆、楚子璇</w:t>
            </w:r>
          </w:p>
          <w:p w14:paraId="702E86E1">
            <w:pPr>
              <w:pStyle w:val="31"/>
              <w:keepNext w:val="0"/>
              <w:keepLines w:val="0"/>
              <w:pageBreakBefore w:val="0"/>
              <w:kinsoku/>
              <w:wordWrap/>
              <w:overflowPunct/>
              <w:topLinePunct w:val="0"/>
              <w:bidi w:val="0"/>
              <w:spacing w:before="227" w:line="222" w:lineRule="auto"/>
              <w:ind w:left="127"/>
              <w:rPr>
                <w:spacing w:val="14"/>
              </w:rPr>
            </w:pPr>
            <w:r>
              <w:rPr>
                <w:spacing w:val="14"/>
              </w:rPr>
              <w:t>联系方式：</w:t>
            </w:r>
            <w:r>
              <w:rPr>
                <w:rFonts w:hint="eastAsia"/>
                <w:spacing w:val="14"/>
              </w:rPr>
              <w:t>0371-8752 0763</w:t>
            </w:r>
          </w:p>
          <w:p w14:paraId="0D6A8319">
            <w:pPr>
              <w:pStyle w:val="31"/>
              <w:keepNext w:val="0"/>
              <w:keepLines w:val="0"/>
              <w:pageBreakBefore w:val="0"/>
              <w:kinsoku/>
              <w:wordWrap/>
              <w:overflowPunct/>
              <w:topLinePunct w:val="0"/>
              <w:bidi w:val="0"/>
              <w:spacing w:before="227" w:line="222" w:lineRule="auto"/>
              <w:ind w:left="127"/>
            </w:pPr>
            <w:r>
              <w:rPr>
                <w:spacing w:val="14"/>
              </w:rPr>
              <w:t>邮箱：</w:t>
            </w:r>
            <w:r>
              <w:rPr>
                <w:rFonts w:hint="eastAsia"/>
                <w:spacing w:val="14"/>
              </w:rPr>
              <w:t>hncx1806@126.com</w:t>
            </w:r>
          </w:p>
        </w:tc>
      </w:tr>
      <w:tr w14:paraId="06367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971" w:type="dxa"/>
            <w:vAlign w:val="top"/>
          </w:tcPr>
          <w:p w14:paraId="30AA484D">
            <w:pPr>
              <w:pStyle w:val="31"/>
              <w:keepNext w:val="0"/>
              <w:keepLines w:val="0"/>
              <w:pageBreakBefore w:val="0"/>
              <w:kinsoku/>
              <w:wordWrap/>
              <w:overflowPunct/>
              <w:topLinePunct w:val="0"/>
              <w:bidi w:val="0"/>
              <w:spacing w:before="237" w:line="265" w:lineRule="exact"/>
              <w:ind w:left="243"/>
              <w:rPr>
                <w:rFonts w:ascii="Times New Roman" w:hAnsi="Times New Roman" w:eastAsia="Times New Roman" w:cs="Times New Roman"/>
              </w:rPr>
            </w:pPr>
            <w:r>
              <w:rPr>
                <w:position w:val="1"/>
              </w:rPr>
              <w:t>1.1.</w:t>
            </w:r>
            <w:r>
              <w:rPr>
                <w:rFonts w:ascii="Times New Roman" w:hAnsi="Times New Roman" w:eastAsia="Times New Roman" w:cs="Times New Roman"/>
                <w:position w:val="1"/>
              </w:rPr>
              <w:t>3</w:t>
            </w:r>
          </w:p>
        </w:tc>
        <w:tc>
          <w:tcPr>
            <w:tcW w:w="1638" w:type="dxa"/>
            <w:vAlign w:val="top"/>
          </w:tcPr>
          <w:p w14:paraId="256EC050">
            <w:pPr>
              <w:pStyle w:val="31"/>
              <w:keepNext w:val="0"/>
              <w:keepLines w:val="0"/>
              <w:pageBreakBefore w:val="0"/>
              <w:kinsoku/>
              <w:wordWrap/>
              <w:overflowPunct/>
              <w:topLinePunct w:val="0"/>
              <w:bidi w:val="0"/>
              <w:spacing w:before="238" w:line="228" w:lineRule="auto"/>
              <w:ind w:left="407"/>
            </w:pPr>
            <w:r>
              <w:rPr>
                <w:spacing w:val="6"/>
              </w:rPr>
              <w:t>项目名称</w:t>
            </w:r>
          </w:p>
        </w:tc>
        <w:tc>
          <w:tcPr>
            <w:tcW w:w="6466" w:type="dxa"/>
            <w:vAlign w:val="top"/>
          </w:tcPr>
          <w:p w14:paraId="1D4D4DDD">
            <w:pPr>
              <w:pStyle w:val="31"/>
              <w:keepNext w:val="0"/>
              <w:keepLines w:val="0"/>
              <w:pageBreakBefore w:val="0"/>
              <w:kinsoku/>
              <w:wordWrap/>
              <w:overflowPunct/>
              <w:topLinePunct w:val="0"/>
              <w:bidi w:val="0"/>
              <w:spacing w:before="237" w:line="228" w:lineRule="auto"/>
              <w:ind w:left="111"/>
              <w:rPr>
                <w:rFonts w:hint="eastAsia" w:eastAsia="宋体"/>
                <w:lang w:eastAsia="zh-CN"/>
              </w:rPr>
            </w:pPr>
            <w:r>
              <w:rPr>
                <w:rFonts w:hint="eastAsia"/>
                <w:spacing w:val="9"/>
                <w:lang w:eastAsia="zh-CN"/>
              </w:rPr>
              <w:t>河南省商务中等职业学校学生综合素养提升项目</w:t>
            </w:r>
          </w:p>
        </w:tc>
      </w:tr>
      <w:tr w14:paraId="41445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971" w:type="dxa"/>
            <w:vAlign w:val="top"/>
          </w:tcPr>
          <w:p w14:paraId="2D61E2DF">
            <w:pPr>
              <w:pStyle w:val="31"/>
              <w:keepNext w:val="0"/>
              <w:keepLines w:val="0"/>
              <w:pageBreakBefore w:val="0"/>
              <w:kinsoku/>
              <w:wordWrap/>
              <w:overflowPunct/>
              <w:topLinePunct w:val="0"/>
              <w:bidi w:val="0"/>
              <w:spacing w:before="236" w:line="268" w:lineRule="exact"/>
              <w:ind w:left="243"/>
            </w:pPr>
            <w:r>
              <w:rPr>
                <w:position w:val="1"/>
              </w:rPr>
              <w:t>1.1.4</w:t>
            </w:r>
          </w:p>
        </w:tc>
        <w:tc>
          <w:tcPr>
            <w:tcW w:w="1638" w:type="dxa"/>
            <w:vAlign w:val="top"/>
          </w:tcPr>
          <w:p w14:paraId="7FB7F3AA">
            <w:pPr>
              <w:pStyle w:val="31"/>
              <w:keepNext w:val="0"/>
              <w:keepLines w:val="0"/>
              <w:pageBreakBefore w:val="0"/>
              <w:kinsoku/>
              <w:wordWrap/>
              <w:overflowPunct/>
              <w:topLinePunct w:val="0"/>
              <w:bidi w:val="0"/>
              <w:spacing w:before="236" w:line="228" w:lineRule="auto"/>
              <w:ind w:left="407"/>
            </w:pPr>
            <w:r>
              <w:rPr>
                <w:spacing w:val="6"/>
              </w:rPr>
              <w:t>项目编号</w:t>
            </w:r>
          </w:p>
        </w:tc>
        <w:tc>
          <w:tcPr>
            <w:tcW w:w="6466" w:type="dxa"/>
            <w:vAlign w:val="top"/>
          </w:tcPr>
          <w:p w14:paraId="12F85237">
            <w:pPr>
              <w:pStyle w:val="31"/>
              <w:keepNext w:val="0"/>
              <w:keepLines w:val="0"/>
              <w:pageBreakBefore w:val="0"/>
              <w:kinsoku/>
              <w:wordWrap/>
              <w:overflowPunct/>
              <w:topLinePunct w:val="0"/>
              <w:bidi w:val="0"/>
              <w:spacing w:before="236" w:line="227" w:lineRule="auto"/>
              <w:ind w:left="112"/>
              <w:rPr>
                <w:rFonts w:hint="eastAsia" w:eastAsia="宋体"/>
                <w:lang w:eastAsia="zh-CN"/>
              </w:rPr>
            </w:pPr>
            <w:r>
              <w:rPr>
                <w:rFonts w:hint="eastAsia"/>
                <w:spacing w:val="6"/>
                <w:highlight w:val="none"/>
                <w:lang w:eastAsia="zh-CN"/>
              </w:rPr>
              <w:t>豫财招标采购-2026-317</w:t>
            </w:r>
          </w:p>
        </w:tc>
      </w:tr>
      <w:tr w14:paraId="16C8C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971" w:type="dxa"/>
            <w:vAlign w:val="top"/>
          </w:tcPr>
          <w:p w14:paraId="1DA2B5C7">
            <w:pPr>
              <w:pStyle w:val="31"/>
              <w:keepNext w:val="0"/>
              <w:keepLines w:val="0"/>
              <w:pageBreakBefore w:val="0"/>
              <w:kinsoku/>
              <w:wordWrap/>
              <w:overflowPunct/>
              <w:topLinePunct w:val="0"/>
              <w:bidi w:val="0"/>
              <w:spacing w:before="237" w:line="268" w:lineRule="exact"/>
              <w:ind w:left="243"/>
            </w:pPr>
            <w:r>
              <w:rPr>
                <w:position w:val="1"/>
              </w:rPr>
              <w:t>1.1.5</w:t>
            </w:r>
          </w:p>
        </w:tc>
        <w:tc>
          <w:tcPr>
            <w:tcW w:w="1638" w:type="dxa"/>
            <w:vAlign w:val="top"/>
          </w:tcPr>
          <w:p w14:paraId="4A7263F4">
            <w:pPr>
              <w:pStyle w:val="31"/>
              <w:keepNext w:val="0"/>
              <w:keepLines w:val="0"/>
              <w:pageBreakBefore w:val="0"/>
              <w:kinsoku/>
              <w:wordWrap/>
              <w:overflowPunct/>
              <w:topLinePunct w:val="0"/>
              <w:bidi w:val="0"/>
              <w:spacing w:before="238" w:line="228" w:lineRule="auto"/>
              <w:ind w:left="404"/>
            </w:pPr>
            <w:r>
              <w:rPr>
                <w:spacing w:val="7"/>
              </w:rPr>
              <w:t>标包划分</w:t>
            </w:r>
          </w:p>
        </w:tc>
        <w:tc>
          <w:tcPr>
            <w:tcW w:w="6466" w:type="dxa"/>
            <w:vAlign w:val="top"/>
          </w:tcPr>
          <w:p w14:paraId="49BB19B2">
            <w:pPr>
              <w:pStyle w:val="31"/>
              <w:keepNext w:val="0"/>
              <w:keepLines w:val="0"/>
              <w:pageBreakBefore w:val="0"/>
              <w:kinsoku/>
              <w:wordWrap/>
              <w:overflowPunct/>
              <w:topLinePunct w:val="0"/>
              <w:bidi w:val="0"/>
              <w:spacing w:before="237" w:line="228" w:lineRule="auto"/>
              <w:ind w:left="111"/>
            </w:pPr>
            <w:r>
              <w:rPr>
                <w:spacing w:val="-2"/>
              </w:rPr>
              <w:t>共</w:t>
            </w:r>
            <w:r>
              <w:rPr>
                <w:spacing w:val="-24"/>
              </w:rPr>
              <w:t xml:space="preserve"> </w:t>
            </w:r>
            <w:r>
              <w:rPr>
                <w:spacing w:val="-2"/>
              </w:rPr>
              <w:t>1</w:t>
            </w:r>
            <w:r>
              <w:rPr>
                <w:spacing w:val="-38"/>
              </w:rPr>
              <w:t xml:space="preserve"> </w:t>
            </w:r>
            <w:r>
              <w:rPr>
                <w:spacing w:val="-2"/>
              </w:rPr>
              <w:t>个包</w:t>
            </w:r>
          </w:p>
        </w:tc>
      </w:tr>
      <w:tr w14:paraId="23B3E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971" w:type="dxa"/>
            <w:vAlign w:val="top"/>
          </w:tcPr>
          <w:p w14:paraId="6532D9F8">
            <w:pPr>
              <w:keepNext w:val="0"/>
              <w:keepLines w:val="0"/>
              <w:pageBreakBefore w:val="0"/>
              <w:kinsoku/>
              <w:wordWrap/>
              <w:overflowPunct/>
              <w:topLinePunct w:val="0"/>
              <w:bidi w:val="0"/>
              <w:spacing w:line="306" w:lineRule="auto"/>
              <w:rPr>
                <w:rFonts w:ascii="Arial"/>
                <w:sz w:val="21"/>
              </w:rPr>
            </w:pPr>
          </w:p>
          <w:p w14:paraId="1ED64321">
            <w:pPr>
              <w:pStyle w:val="31"/>
              <w:keepNext w:val="0"/>
              <w:keepLines w:val="0"/>
              <w:pageBreakBefore w:val="0"/>
              <w:kinsoku/>
              <w:wordWrap/>
              <w:overflowPunct/>
              <w:topLinePunct w:val="0"/>
              <w:bidi w:val="0"/>
              <w:spacing w:before="65" w:line="268" w:lineRule="exact"/>
              <w:ind w:left="243"/>
            </w:pPr>
            <w:r>
              <w:rPr>
                <w:position w:val="1"/>
              </w:rPr>
              <w:t>1.2.1</w:t>
            </w:r>
          </w:p>
        </w:tc>
        <w:tc>
          <w:tcPr>
            <w:tcW w:w="1638" w:type="dxa"/>
            <w:vAlign w:val="top"/>
          </w:tcPr>
          <w:p w14:paraId="595A839B">
            <w:pPr>
              <w:pStyle w:val="31"/>
              <w:keepNext w:val="0"/>
              <w:keepLines w:val="0"/>
              <w:pageBreakBefore w:val="0"/>
              <w:kinsoku/>
              <w:wordWrap/>
              <w:overflowPunct/>
              <w:topLinePunct w:val="0"/>
              <w:bidi w:val="0"/>
              <w:spacing w:before="134" w:line="374" w:lineRule="auto"/>
              <w:ind w:left="717" w:right="190" w:hanging="516"/>
            </w:pPr>
            <w:r>
              <w:rPr>
                <w:spacing w:val="6"/>
              </w:rPr>
              <w:t>资金来源及比</w:t>
            </w:r>
            <w:r>
              <w:t>例</w:t>
            </w:r>
          </w:p>
        </w:tc>
        <w:tc>
          <w:tcPr>
            <w:tcW w:w="6466" w:type="dxa"/>
            <w:vAlign w:val="top"/>
          </w:tcPr>
          <w:p w14:paraId="45ACD33A">
            <w:pPr>
              <w:keepNext w:val="0"/>
              <w:keepLines w:val="0"/>
              <w:pageBreakBefore w:val="0"/>
              <w:kinsoku/>
              <w:wordWrap/>
              <w:overflowPunct/>
              <w:topLinePunct w:val="0"/>
              <w:bidi w:val="0"/>
              <w:spacing w:line="306" w:lineRule="auto"/>
              <w:rPr>
                <w:rFonts w:ascii="Arial"/>
                <w:sz w:val="21"/>
              </w:rPr>
            </w:pPr>
          </w:p>
          <w:p w14:paraId="11F11EB1">
            <w:pPr>
              <w:pStyle w:val="31"/>
              <w:keepNext w:val="0"/>
              <w:keepLines w:val="0"/>
              <w:pageBreakBefore w:val="0"/>
              <w:kinsoku/>
              <w:wordWrap/>
              <w:overflowPunct/>
              <w:topLinePunct w:val="0"/>
              <w:bidi w:val="0"/>
              <w:spacing w:before="65" w:line="229" w:lineRule="auto"/>
              <w:ind w:left="113"/>
            </w:pPr>
            <w:r>
              <w:rPr>
                <w:spacing w:val="6"/>
              </w:rPr>
              <w:t>财政资金，100%</w:t>
            </w:r>
          </w:p>
        </w:tc>
      </w:tr>
      <w:tr w14:paraId="3BEF1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971" w:type="dxa"/>
            <w:vAlign w:val="top"/>
          </w:tcPr>
          <w:p w14:paraId="45F9BFC4">
            <w:pPr>
              <w:pStyle w:val="31"/>
              <w:keepNext w:val="0"/>
              <w:keepLines w:val="0"/>
              <w:pageBreakBefore w:val="0"/>
              <w:kinsoku/>
              <w:wordWrap/>
              <w:overflowPunct/>
              <w:topLinePunct w:val="0"/>
              <w:bidi w:val="0"/>
              <w:spacing w:before="238" w:line="268" w:lineRule="exact"/>
              <w:ind w:left="243"/>
            </w:pPr>
            <w:r>
              <w:rPr>
                <w:position w:val="1"/>
              </w:rPr>
              <w:t>1.2.2</w:t>
            </w:r>
          </w:p>
        </w:tc>
        <w:tc>
          <w:tcPr>
            <w:tcW w:w="1638" w:type="dxa"/>
            <w:vAlign w:val="top"/>
          </w:tcPr>
          <w:p w14:paraId="67AB2359">
            <w:pPr>
              <w:pStyle w:val="31"/>
              <w:keepNext w:val="0"/>
              <w:keepLines w:val="0"/>
              <w:pageBreakBefore w:val="0"/>
              <w:kinsoku/>
              <w:wordWrap/>
              <w:overflowPunct/>
              <w:topLinePunct w:val="0"/>
              <w:bidi w:val="0"/>
              <w:spacing w:before="238" w:line="227" w:lineRule="auto"/>
              <w:ind w:left="403"/>
            </w:pPr>
            <w:r>
              <w:rPr>
                <w:spacing w:val="7"/>
              </w:rPr>
              <w:t>采购预算</w:t>
            </w:r>
          </w:p>
        </w:tc>
        <w:tc>
          <w:tcPr>
            <w:tcW w:w="6466" w:type="dxa"/>
            <w:vAlign w:val="top"/>
          </w:tcPr>
          <w:p w14:paraId="7E886DFD">
            <w:pPr>
              <w:pStyle w:val="31"/>
              <w:keepNext w:val="0"/>
              <w:keepLines w:val="0"/>
              <w:pageBreakBefore w:val="0"/>
              <w:kinsoku/>
              <w:wordWrap/>
              <w:overflowPunct/>
              <w:topLinePunct w:val="0"/>
              <w:bidi w:val="0"/>
              <w:spacing w:before="239" w:line="228" w:lineRule="auto"/>
              <w:ind w:left="116"/>
            </w:pPr>
            <w:r>
              <w:rPr>
                <w:rFonts w:hint="eastAsia"/>
                <w:spacing w:val="3"/>
                <w:lang w:val="en-US" w:eastAsia="zh-CN"/>
              </w:rPr>
              <w:t>66</w:t>
            </w:r>
            <w:r>
              <w:rPr>
                <w:spacing w:val="3"/>
              </w:rPr>
              <w:t>00000.00</w:t>
            </w:r>
            <w:r>
              <w:rPr>
                <w:spacing w:val="-35"/>
              </w:rPr>
              <w:t xml:space="preserve"> </w:t>
            </w:r>
            <w:r>
              <w:rPr>
                <w:spacing w:val="3"/>
              </w:rPr>
              <w:t>元</w:t>
            </w:r>
          </w:p>
        </w:tc>
      </w:tr>
      <w:tr w14:paraId="0D06E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971" w:type="dxa"/>
            <w:vAlign w:val="top"/>
          </w:tcPr>
          <w:p w14:paraId="6F0B5F82">
            <w:pPr>
              <w:keepNext w:val="0"/>
              <w:keepLines w:val="0"/>
              <w:pageBreakBefore w:val="0"/>
              <w:kinsoku/>
              <w:wordWrap/>
              <w:overflowPunct/>
              <w:topLinePunct w:val="0"/>
              <w:bidi w:val="0"/>
              <w:spacing w:line="307" w:lineRule="auto"/>
              <w:rPr>
                <w:rFonts w:ascii="Arial"/>
                <w:sz w:val="21"/>
              </w:rPr>
            </w:pPr>
          </w:p>
          <w:p w14:paraId="1F41D0D7">
            <w:pPr>
              <w:pStyle w:val="31"/>
              <w:keepNext w:val="0"/>
              <w:keepLines w:val="0"/>
              <w:pageBreakBefore w:val="0"/>
              <w:kinsoku/>
              <w:wordWrap/>
              <w:overflowPunct/>
              <w:topLinePunct w:val="0"/>
              <w:bidi w:val="0"/>
              <w:spacing w:before="65" w:line="268" w:lineRule="exact"/>
              <w:ind w:left="243"/>
            </w:pPr>
            <w:r>
              <w:rPr>
                <w:position w:val="1"/>
              </w:rPr>
              <w:t>1.2.3</w:t>
            </w:r>
          </w:p>
        </w:tc>
        <w:tc>
          <w:tcPr>
            <w:tcW w:w="1638" w:type="dxa"/>
            <w:vAlign w:val="top"/>
          </w:tcPr>
          <w:p w14:paraId="03910497">
            <w:pPr>
              <w:keepNext w:val="0"/>
              <w:keepLines w:val="0"/>
              <w:pageBreakBefore w:val="0"/>
              <w:kinsoku/>
              <w:wordWrap/>
              <w:overflowPunct/>
              <w:topLinePunct w:val="0"/>
              <w:bidi w:val="0"/>
              <w:spacing w:line="307" w:lineRule="auto"/>
              <w:rPr>
                <w:rFonts w:ascii="Arial"/>
                <w:sz w:val="21"/>
              </w:rPr>
            </w:pPr>
          </w:p>
          <w:p w14:paraId="678FE731">
            <w:pPr>
              <w:pStyle w:val="31"/>
              <w:keepNext w:val="0"/>
              <w:keepLines w:val="0"/>
              <w:pageBreakBefore w:val="0"/>
              <w:kinsoku/>
              <w:wordWrap/>
              <w:overflowPunct/>
              <w:topLinePunct w:val="0"/>
              <w:bidi w:val="0"/>
              <w:spacing w:before="65" w:line="226" w:lineRule="auto"/>
              <w:ind w:left="406"/>
            </w:pPr>
            <w:r>
              <w:rPr>
                <w:spacing w:val="6"/>
              </w:rPr>
              <w:t>最高限价</w:t>
            </w:r>
          </w:p>
        </w:tc>
        <w:tc>
          <w:tcPr>
            <w:tcW w:w="6466" w:type="dxa"/>
            <w:vAlign w:val="top"/>
          </w:tcPr>
          <w:p w14:paraId="3DB35D3A">
            <w:pPr>
              <w:pStyle w:val="31"/>
              <w:keepNext w:val="0"/>
              <w:keepLines w:val="0"/>
              <w:pageBreakBefore w:val="0"/>
              <w:kinsoku/>
              <w:wordWrap/>
              <w:overflowPunct/>
              <w:topLinePunct w:val="0"/>
              <w:bidi w:val="0"/>
              <w:spacing w:before="137" w:line="228" w:lineRule="auto"/>
              <w:ind w:left="116"/>
            </w:pPr>
            <w:r>
              <w:rPr>
                <w:rFonts w:hint="eastAsia"/>
                <w:spacing w:val="3"/>
                <w:lang w:val="en-US" w:eastAsia="zh-CN"/>
              </w:rPr>
              <w:t>66</w:t>
            </w:r>
            <w:r>
              <w:rPr>
                <w:spacing w:val="3"/>
              </w:rPr>
              <w:t>00000.00</w:t>
            </w:r>
            <w:r>
              <w:rPr>
                <w:spacing w:val="-35"/>
              </w:rPr>
              <w:t xml:space="preserve"> </w:t>
            </w:r>
            <w:r>
              <w:rPr>
                <w:spacing w:val="3"/>
              </w:rPr>
              <w:t>元</w:t>
            </w:r>
          </w:p>
          <w:p w14:paraId="57F888CC">
            <w:pPr>
              <w:pStyle w:val="31"/>
              <w:keepNext w:val="0"/>
              <w:keepLines w:val="0"/>
              <w:pageBreakBefore w:val="0"/>
              <w:kinsoku/>
              <w:wordWrap/>
              <w:overflowPunct/>
              <w:topLinePunct w:val="0"/>
              <w:bidi w:val="0"/>
              <w:spacing w:before="228" w:line="226" w:lineRule="auto"/>
              <w:ind w:left="114"/>
            </w:pPr>
            <w:r>
              <w:rPr>
                <w:b/>
                <w:bCs/>
                <w:spacing w:val="7"/>
              </w:rPr>
              <w:t>投标人投标报价超过最高限价的，按无效投标处理。</w:t>
            </w:r>
          </w:p>
        </w:tc>
      </w:tr>
      <w:tr w14:paraId="4619F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9" w:hRule="atLeast"/>
        </w:trPr>
        <w:tc>
          <w:tcPr>
            <w:tcW w:w="971" w:type="dxa"/>
            <w:vAlign w:val="top"/>
          </w:tcPr>
          <w:p w14:paraId="5D940B0A">
            <w:pPr>
              <w:keepNext w:val="0"/>
              <w:keepLines w:val="0"/>
              <w:pageBreakBefore w:val="0"/>
              <w:kinsoku/>
              <w:wordWrap/>
              <w:overflowPunct/>
              <w:topLinePunct w:val="0"/>
              <w:bidi w:val="0"/>
              <w:spacing w:line="254" w:lineRule="auto"/>
              <w:rPr>
                <w:rFonts w:ascii="Arial"/>
                <w:sz w:val="21"/>
              </w:rPr>
            </w:pPr>
          </w:p>
          <w:p w14:paraId="54AAA20C">
            <w:pPr>
              <w:keepNext w:val="0"/>
              <w:keepLines w:val="0"/>
              <w:pageBreakBefore w:val="0"/>
              <w:kinsoku/>
              <w:wordWrap/>
              <w:overflowPunct/>
              <w:topLinePunct w:val="0"/>
              <w:bidi w:val="0"/>
              <w:spacing w:line="254" w:lineRule="auto"/>
              <w:rPr>
                <w:rFonts w:ascii="Arial"/>
                <w:sz w:val="21"/>
              </w:rPr>
            </w:pPr>
          </w:p>
          <w:p w14:paraId="39568A1C">
            <w:pPr>
              <w:keepNext w:val="0"/>
              <w:keepLines w:val="0"/>
              <w:pageBreakBefore w:val="0"/>
              <w:kinsoku/>
              <w:wordWrap/>
              <w:overflowPunct/>
              <w:topLinePunct w:val="0"/>
              <w:bidi w:val="0"/>
              <w:spacing w:line="254" w:lineRule="auto"/>
              <w:rPr>
                <w:rFonts w:ascii="Arial"/>
                <w:sz w:val="21"/>
              </w:rPr>
            </w:pPr>
          </w:p>
          <w:p w14:paraId="0AE95878">
            <w:pPr>
              <w:keepNext w:val="0"/>
              <w:keepLines w:val="0"/>
              <w:pageBreakBefore w:val="0"/>
              <w:kinsoku/>
              <w:wordWrap/>
              <w:overflowPunct/>
              <w:topLinePunct w:val="0"/>
              <w:bidi w:val="0"/>
              <w:spacing w:line="254" w:lineRule="auto"/>
              <w:rPr>
                <w:rFonts w:ascii="Arial"/>
                <w:sz w:val="21"/>
              </w:rPr>
            </w:pPr>
          </w:p>
          <w:p w14:paraId="74F36EE5">
            <w:pPr>
              <w:pStyle w:val="31"/>
              <w:keepNext w:val="0"/>
              <w:keepLines w:val="0"/>
              <w:pageBreakBefore w:val="0"/>
              <w:kinsoku/>
              <w:wordWrap/>
              <w:overflowPunct/>
              <w:topLinePunct w:val="0"/>
              <w:bidi w:val="0"/>
              <w:spacing w:before="65" w:line="267" w:lineRule="exact"/>
              <w:ind w:left="243"/>
            </w:pPr>
            <w:r>
              <w:rPr>
                <w:position w:val="1"/>
              </w:rPr>
              <w:t>1.3.1</w:t>
            </w:r>
          </w:p>
        </w:tc>
        <w:tc>
          <w:tcPr>
            <w:tcW w:w="1638" w:type="dxa"/>
            <w:vAlign w:val="top"/>
          </w:tcPr>
          <w:p w14:paraId="20BE74E2">
            <w:pPr>
              <w:keepNext w:val="0"/>
              <w:keepLines w:val="0"/>
              <w:pageBreakBefore w:val="0"/>
              <w:kinsoku/>
              <w:wordWrap/>
              <w:overflowPunct/>
              <w:topLinePunct w:val="0"/>
              <w:bidi w:val="0"/>
              <w:spacing w:line="253" w:lineRule="auto"/>
              <w:rPr>
                <w:rFonts w:ascii="Arial"/>
                <w:sz w:val="21"/>
              </w:rPr>
            </w:pPr>
          </w:p>
          <w:p w14:paraId="1862D17F">
            <w:pPr>
              <w:keepNext w:val="0"/>
              <w:keepLines w:val="0"/>
              <w:pageBreakBefore w:val="0"/>
              <w:kinsoku/>
              <w:wordWrap/>
              <w:overflowPunct/>
              <w:topLinePunct w:val="0"/>
              <w:bidi w:val="0"/>
              <w:spacing w:line="254" w:lineRule="auto"/>
              <w:rPr>
                <w:rFonts w:ascii="Arial"/>
                <w:sz w:val="21"/>
              </w:rPr>
            </w:pPr>
          </w:p>
          <w:p w14:paraId="4027A4D3">
            <w:pPr>
              <w:keepNext w:val="0"/>
              <w:keepLines w:val="0"/>
              <w:pageBreakBefore w:val="0"/>
              <w:kinsoku/>
              <w:wordWrap/>
              <w:overflowPunct/>
              <w:topLinePunct w:val="0"/>
              <w:bidi w:val="0"/>
              <w:spacing w:line="254" w:lineRule="auto"/>
              <w:rPr>
                <w:rFonts w:ascii="Arial"/>
                <w:sz w:val="21"/>
              </w:rPr>
            </w:pPr>
          </w:p>
          <w:p w14:paraId="1900E4AC">
            <w:pPr>
              <w:keepNext w:val="0"/>
              <w:keepLines w:val="0"/>
              <w:pageBreakBefore w:val="0"/>
              <w:kinsoku/>
              <w:wordWrap/>
              <w:overflowPunct/>
              <w:topLinePunct w:val="0"/>
              <w:bidi w:val="0"/>
              <w:spacing w:line="254" w:lineRule="auto"/>
              <w:rPr>
                <w:rFonts w:ascii="Arial"/>
                <w:sz w:val="21"/>
              </w:rPr>
            </w:pPr>
          </w:p>
          <w:p w14:paraId="159BCE26">
            <w:pPr>
              <w:pStyle w:val="31"/>
              <w:keepNext w:val="0"/>
              <w:keepLines w:val="0"/>
              <w:pageBreakBefore w:val="0"/>
              <w:kinsoku/>
              <w:wordWrap/>
              <w:overflowPunct/>
              <w:topLinePunct w:val="0"/>
              <w:bidi w:val="0"/>
              <w:spacing w:before="65" w:line="227" w:lineRule="auto"/>
              <w:ind w:left="403"/>
            </w:pPr>
            <w:r>
              <w:rPr>
                <w:spacing w:val="7"/>
              </w:rPr>
              <w:t>采购内容</w:t>
            </w:r>
          </w:p>
        </w:tc>
        <w:tc>
          <w:tcPr>
            <w:tcW w:w="6466" w:type="dxa"/>
            <w:vAlign w:val="top"/>
          </w:tcPr>
          <w:p w14:paraId="064A6CA4">
            <w:pPr>
              <w:pStyle w:val="31"/>
              <w:keepNext w:val="0"/>
              <w:keepLines w:val="0"/>
              <w:pageBreakBefore w:val="0"/>
              <w:kinsoku/>
              <w:wordWrap/>
              <w:overflowPunct/>
              <w:topLinePunct w:val="0"/>
              <w:bidi w:val="0"/>
              <w:spacing w:before="136" w:line="413" w:lineRule="auto"/>
              <w:ind w:left="112" w:right="109"/>
              <w:jc w:val="both"/>
            </w:pPr>
            <w:r>
              <w:rPr>
                <w:rFonts w:hint="eastAsia" w:ascii="宋体" w:hAnsi="宋体" w:eastAsia="宋体" w:cs="宋体"/>
                <w:spacing w:val="8"/>
                <w:sz w:val="20"/>
                <w:szCs w:val="20"/>
                <w:lang w:val="en-US" w:eastAsia="zh-CN"/>
              </w:rPr>
              <w:t>23</w:t>
            </w:r>
            <w:r>
              <w:rPr>
                <w:rFonts w:ascii="宋体" w:hAnsi="宋体" w:eastAsia="宋体" w:cs="宋体"/>
                <w:spacing w:val="8"/>
                <w:sz w:val="20"/>
                <w:szCs w:val="20"/>
              </w:rPr>
              <w:t>名驻校教官</w:t>
            </w:r>
            <w:r>
              <w:rPr>
                <w:rFonts w:hint="eastAsia" w:ascii="宋体" w:hAnsi="宋体" w:eastAsia="宋体" w:cs="宋体"/>
                <w:spacing w:val="8"/>
                <w:sz w:val="20"/>
                <w:szCs w:val="20"/>
                <w:lang w:eastAsia="zh-CN"/>
              </w:rPr>
              <w:t>，</w:t>
            </w:r>
            <w:r>
              <w:rPr>
                <w:rFonts w:ascii="宋体" w:hAnsi="宋体" w:eastAsia="宋体" w:cs="宋体"/>
                <w:spacing w:val="8"/>
                <w:sz w:val="20"/>
                <w:szCs w:val="20"/>
              </w:rPr>
              <w:t>驻校教官</w:t>
            </w:r>
            <w:r>
              <w:rPr>
                <w:rFonts w:ascii="宋体" w:hAnsi="宋体" w:eastAsia="宋体" w:cs="宋体"/>
                <w:spacing w:val="-34"/>
                <w:sz w:val="20"/>
                <w:szCs w:val="20"/>
              </w:rPr>
              <w:t xml:space="preserve"> </w:t>
            </w:r>
            <w:r>
              <w:rPr>
                <w:rFonts w:ascii="宋体" w:hAnsi="宋体" w:eastAsia="宋体" w:cs="宋体"/>
                <w:spacing w:val="8"/>
                <w:sz w:val="20"/>
                <w:szCs w:val="20"/>
              </w:rPr>
              <w:t>24</w:t>
            </w:r>
            <w:r>
              <w:rPr>
                <w:rFonts w:ascii="宋体" w:hAnsi="宋体" w:eastAsia="宋体" w:cs="宋体"/>
                <w:spacing w:val="-34"/>
                <w:sz w:val="20"/>
                <w:szCs w:val="20"/>
              </w:rPr>
              <w:t xml:space="preserve"> </w:t>
            </w:r>
            <w:r>
              <w:rPr>
                <w:rFonts w:ascii="宋体" w:hAnsi="宋体" w:eastAsia="宋体" w:cs="宋体"/>
                <w:spacing w:val="8"/>
                <w:sz w:val="20"/>
                <w:szCs w:val="20"/>
              </w:rPr>
              <w:t>小时驻校，和学生吃住在一起，负责学生宿舍楼内全部住校学生</w:t>
            </w:r>
            <w:r>
              <w:rPr>
                <w:rFonts w:ascii="宋体" w:hAnsi="宋体" w:eastAsia="宋体" w:cs="宋体"/>
                <w:color w:val="000000" w:themeColor="text1"/>
                <w:spacing w:val="8"/>
                <w:sz w:val="20"/>
                <w:szCs w:val="20"/>
                <w14:textFill>
                  <w14:solidFill>
                    <w14:schemeClr w14:val="tx1"/>
                  </w14:solidFill>
                </w14:textFill>
              </w:rPr>
              <w:t>及其周边的</w:t>
            </w:r>
            <w:r>
              <w:rPr>
                <w:rFonts w:hint="eastAsia" w:ascii="宋体" w:hAnsi="宋体" w:eastAsia="宋体" w:cs="宋体"/>
                <w:color w:val="000000" w:themeColor="text1"/>
                <w:spacing w:val="8"/>
                <w:sz w:val="20"/>
                <w:szCs w:val="20"/>
                <w:lang w:val="en-US" w:eastAsia="zh-CN"/>
                <w14:textFill>
                  <w14:solidFill>
                    <w14:schemeClr w14:val="tx1"/>
                  </w14:solidFill>
                </w14:textFill>
              </w:rPr>
              <w:t>安全、</w:t>
            </w:r>
            <w:r>
              <w:rPr>
                <w:rFonts w:ascii="宋体" w:hAnsi="宋体" w:eastAsia="宋体" w:cs="宋体"/>
                <w:color w:val="000000" w:themeColor="text1"/>
                <w:spacing w:val="8"/>
                <w:sz w:val="20"/>
                <w:szCs w:val="20"/>
                <w14:textFill>
                  <w14:solidFill>
                    <w14:schemeClr w14:val="tx1"/>
                  </w14:solidFill>
                </w14:textFill>
              </w:rPr>
              <w:t>服务</w:t>
            </w:r>
            <w:r>
              <w:rPr>
                <w:rFonts w:ascii="宋体" w:hAnsi="宋体" w:eastAsia="宋体" w:cs="宋体"/>
                <w:spacing w:val="8"/>
                <w:sz w:val="20"/>
                <w:szCs w:val="20"/>
              </w:rPr>
              <w:t>与育人工作。确保学生安全，促进学生发展，协助打造学</w:t>
            </w:r>
            <w:r>
              <w:rPr>
                <w:rFonts w:ascii="宋体" w:hAnsi="宋体" w:eastAsia="宋体" w:cs="宋体"/>
                <w:spacing w:val="10"/>
                <w:sz w:val="20"/>
                <w:szCs w:val="20"/>
              </w:rPr>
              <w:t>生自我管理机制</w:t>
            </w:r>
            <w:r>
              <w:rPr>
                <w:rFonts w:hint="eastAsia" w:ascii="宋体" w:hAnsi="宋体" w:eastAsia="宋体" w:cs="宋体"/>
                <w:spacing w:val="10"/>
                <w:sz w:val="20"/>
                <w:szCs w:val="20"/>
                <w:lang w:eastAsia="zh-CN"/>
              </w:rPr>
              <w:t>（具体详见招标文件第五章“采购需求”）。</w:t>
            </w:r>
          </w:p>
        </w:tc>
      </w:tr>
    </w:tbl>
    <w:p w14:paraId="32043230">
      <w:pPr>
        <w:pStyle w:val="4"/>
        <w:keepNext w:val="0"/>
        <w:keepLines w:val="0"/>
        <w:pageBreakBefore w:val="0"/>
        <w:kinsoku/>
        <w:wordWrap/>
        <w:overflowPunct/>
        <w:topLinePunct w:val="0"/>
        <w:bidi w:val="0"/>
      </w:pPr>
    </w:p>
    <w:p w14:paraId="65BA12EB">
      <w:pPr>
        <w:keepNext w:val="0"/>
        <w:keepLines w:val="0"/>
        <w:pageBreakBefore w:val="0"/>
        <w:kinsoku/>
        <w:wordWrap/>
        <w:overflowPunct/>
        <w:topLinePunct w:val="0"/>
        <w:bidi w:val="0"/>
        <w:spacing w:line="42" w:lineRule="exact"/>
        <w:rPr>
          <w:rFonts w:hint="eastAsia" w:eastAsia="宋体"/>
          <w:lang w:eastAsia="zh-CN"/>
        </w:rPr>
      </w:pPr>
      <w:r>
        <w:rPr>
          <w:rFonts w:hint="eastAsia" w:eastAsia="宋体"/>
          <w:lang w:eastAsia="zh-CN"/>
        </w:rPr>
        <w:br w:type="page"/>
      </w:r>
    </w:p>
    <w:tbl>
      <w:tblPr>
        <w:tblStyle w:val="30"/>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638"/>
        <w:gridCol w:w="6466"/>
      </w:tblGrid>
      <w:tr w14:paraId="4AE8E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971" w:type="dxa"/>
            <w:vAlign w:val="top"/>
          </w:tcPr>
          <w:p w14:paraId="6ADA670C">
            <w:pPr>
              <w:keepNext w:val="0"/>
              <w:keepLines w:val="0"/>
              <w:pageBreakBefore w:val="0"/>
              <w:kinsoku/>
              <w:wordWrap/>
              <w:overflowPunct/>
              <w:topLinePunct w:val="0"/>
              <w:bidi w:val="0"/>
              <w:spacing w:line="308" w:lineRule="auto"/>
              <w:rPr>
                <w:rFonts w:ascii="Arial"/>
                <w:sz w:val="21"/>
              </w:rPr>
            </w:pPr>
          </w:p>
          <w:p w14:paraId="08C2C586">
            <w:pPr>
              <w:pStyle w:val="31"/>
              <w:keepNext w:val="0"/>
              <w:keepLines w:val="0"/>
              <w:pageBreakBefore w:val="0"/>
              <w:kinsoku/>
              <w:wordWrap/>
              <w:overflowPunct/>
              <w:topLinePunct w:val="0"/>
              <w:bidi w:val="0"/>
              <w:spacing w:before="65" w:line="268" w:lineRule="exact"/>
              <w:ind w:left="243"/>
            </w:pPr>
            <w:r>
              <w:rPr>
                <w:position w:val="1"/>
              </w:rPr>
              <w:t>1.3.2</w:t>
            </w:r>
          </w:p>
        </w:tc>
        <w:tc>
          <w:tcPr>
            <w:tcW w:w="1638" w:type="dxa"/>
            <w:vAlign w:val="top"/>
          </w:tcPr>
          <w:p w14:paraId="16972521">
            <w:pPr>
              <w:keepNext w:val="0"/>
              <w:keepLines w:val="0"/>
              <w:pageBreakBefore w:val="0"/>
              <w:kinsoku/>
              <w:wordWrap/>
              <w:overflowPunct/>
              <w:topLinePunct w:val="0"/>
              <w:bidi w:val="0"/>
              <w:spacing w:line="307" w:lineRule="auto"/>
              <w:rPr>
                <w:rFonts w:ascii="Arial"/>
                <w:sz w:val="21"/>
                <w:highlight w:val="none"/>
              </w:rPr>
            </w:pPr>
          </w:p>
          <w:p w14:paraId="2FF36B73">
            <w:pPr>
              <w:pStyle w:val="31"/>
              <w:keepNext w:val="0"/>
              <w:keepLines w:val="0"/>
              <w:pageBreakBefore w:val="0"/>
              <w:kinsoku/>
              <w:wordWrap/>
              <w:overflowPunct/>
              <w:topLinePunct w:val="0"/>
              <w:bidi w:val="0"/>
              <w:spacing w:before="65" w:line="228" w:lineRule="auto"/>
              <w:ind w:left="403"/>
              <w:rPr>
                <w:highlight w:val="none"/>
              </w:rPr>
            </w:pPr>
            <w:r>
              <w:rPr>
                <w:spacing w:val="7"/>
                <w:highlight w:val="none"/>
              </w:rPr>
              <w:t>服务期限</w:t>
            </w:r>
          </w:p>
        </w:tc>
        <w:tc>
          <w:tcPr>
            <w:tcW w:w="6466" w:type="dxa"/>
            <w:vAlign w:val="center"/>
          </w:tcPr>
          <w:p w14:paraId="4DF19D51">
            <w:pPr>
              <w:keepNext w:val="0"/>
              <w:keepLines w:val="0"/>
              <w:pageBreakBefore w:val="0"/>
              <w:kinsoku/>
              <w:wordWrap/>
              <w:overflowPunct/>
              <w:topLinePunct w:val="0"/>
              <w:bidi w:val="0"/>
              <w:spacing w:line="439" w:lineRule="auto"/>
              <w:ind w:right="134"/>
              <w:rPr>
                <w:rFonts w:hint="eastAsia" w:eastAsia="宋体"/>
                <w:highlight w:val="none"/>
                <w:lang w:eastAsia="zh-CN"/>
              </w:rPr>
            </w:pPr>
            <w:r>
              <w:rPr>
                <w:rFonts w:hint="eastAsia" w:ascii="宋体" w:hAnsi="宋体" w:eastAsia="宋体" w:cs="宋体"/>
                <w:color w:val="000000" w:themeColor="text1"/>
                <w:spacing w:val="7"/>
                <w:sz w:val="20"/>
                <w:szCs w:val="20"/>
                <w:highlight w:val="none"/>
                <w:lang w:val="en-US" w:eastAsia="zh-CN"/>
                <w14:textFill>
                  <w14:solidFill>
                    <w14:schemeClr w14:val="tx1"/>
                  </w14:solidFill>
                </w14:textFill>
              </w:rPr>
              <w:t>三年（第一年为10个月，第二年、第三年每年为12个月，</w:t>
            </w:r>
            <w:r>
              <w:rPr>
                <w:rFonts w:hint="eastAsia" w:ascii="宋体" w:hAnsi="宋体" w:eastAsia="宋体" w:cs="宋体"/>
                <w:spacing w:val="7"/>
                <w:sz w:val="20"/>
                <w:szCs w:val="20"/>
                <w:highlight w:val="none"/>
                <w:lang w:val="en-GB" w:eastAsia="zh-CN"/>
              </w:rPr>
              <w:t>合同一年一签，中标单位每年服务经采购人考核认可，采购人根据考核情况</w:t>
            </w:r>
            <w:r>
              <w:rPr>
                <w:rFonts w:hint="eastAsia" w:ascii="宋体" w:hAnsi="宋体" w:eastAsia="宋体" w:cs="宋体"/>
                <w:spacing w:val="7"/>
                <w:sz w:val="20"/>
                <w:szCs w:val="20"/>
                <w:highlight w:val="none"/>
                <w:lang w:eastAsia="zh-CN"/>
              </w:rPr>
              <w:t>及服务期内综合表现</w:t>
            </w:r>
            <w:r>
              <w:rPr>
                <w:rFonts w:hint="eastAsia" w:ascii="宋体" w:hAnsi="宋体" w:eastAsia="宋体" w:cs="宋体"/>
                <w:spacing w:val="7"/>
                <w:sz w:val="20"/>
                <w:szCs w:val="20"/>
                <w:highlight w:val="none"/>
                <w:lang w:val="en-GB" w:eastAsia="zh-CN"/>
              </w:rPr>
              <w:t>决定是否续签</w:t>
            </w:r>
            <w:r>
              <w:rPr>
                <w:rFonts w:hint="eastAsia" w:ascii="宋体" w:hAnsi="宋体" w:eastAsia="宋体" w:cs="宋体"/>
                <w:color w:val="000000" w:themeColor="text1"/>
                <w:spacing w:val="7"/>
                <w:sz w:val="20"/>
                <w:szCs w:val="20"/>
                <w:highlight w:val="none"/>
                <w:lang w:val="en-US" w:eastAsia="zh-CN"/>
                <w14:textFill>
                  <w14:solidFill>
                    <w14:schemeClr w14:val="tx1"/>
                  </w14:solidFill>
                </w14:textFill>
              </w:rPr>
              <w:t>）。</w:t>
            </w:r>
          </w:p>
        </w:tc>
      </w:tr>
      <w:tr w14:paraId="40CAE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971" w:type="dxa"/>
            <w:vAlign w:val="top"/>
          </w:tcPr>
          <w:p w14:paraId="450183C8">
            <w:pPr>
              <w:pStyle w:val="31"/>
              <w:keepNext w:val="0"/>
              <w:keepLines w:val="0"/>
              <w:pageBreakBefore w:val="0"/>
              <w:kinsoku/>
              <w:wordWrap/>
              <w:overflowPunct/>
              <w:topLinePunct w:val="0"/>
              <w:bidi w:val="0"/>
              <w:spacing w:before="235" w:line="268" w:lineRule="exact"/>
              <w:ind w:left="243"/>
            </w:pPr>
            <w:r>
              <w:rPr>
                <w:position w:val="1"/>
              </w:rPr>
              <w:t>1.3.3</w:t>
            </w:r>
          </w:p>
        </w:tc>
        <w:tc>
          <w:tcPr>
            <w:tcW w:w="1638" w:type="dxa"/>
            <w:vAlign w:val="top"/>
          </w:tcPr>
          <w:p w14:paraId="60F9E373">
            <w:pPr>
              <w:pStyle w:val="31"/>
              <w:keepNext w:val="0"/>
              <w:keepLines w:val="0"/>
              <w:pageBreakBefore w:val="0"/>
              <w:kinsoku/>
              <w:wordWrap/>
              <w:overflowPunct/>
              <w:topLinePunct w:val="0"/>
              <w:bidi w:val="0"/>
              <w:spacing w:before="235" w:line="228" w:lineRule="auto"/>
              <w:ind w:left="403"/>
            </w:pPr>
            <w:r>
              <w:rPr>
                <w:spacing w:val="7"/>
              </w:rPr>
              <w:t>服务地点</w:t>
            </w:r>
          </w:p>
        </w:tc>
        <w:tc>
          <w:tcPr>
            <w:tcW w:w="6466" w:type="dxa"/>
            <w:vAlign w:val="top"/>
          </w:tcPr>
          <w:p w14:paraId="4D830B64">
            <w:pPr>
              <w:pStyle w:val="31"/>
              <w:keepNext w:val="0"/>
              <w:keepLines w:val="0"/>
              <w:pageBreakBefore w:val="0"/>
              <w:kinsoku/>
              <w:wordWrap/>
              <w:overflowPunct/>
              <w:topLinePunct w:val="0"/>
              <w:bidi w:val="0"/>
              <w:spacing w:before="235" w:line="227" w:lineRule="auto"/>
              <w:ind w:left="111"/>
            </w:pPr>
            <w:r>
              <w:rPr>
                <w:spacing w:val="8"/>
              </w:rPr>
              <w:t>采购人指定地点</w:t>
            </w:r>
          </w:p>
        </w:tc>
      </w:tr>
      <w:tr w14:paraId="49AFE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971" w:type="dxa"/>
            <w:vAlign w:val="top"/>
          </w:tcPr>
          <w:p w14:paraId="0F885DBD">
            <w:pPr>
              <w:pStyle w:val="31"/>
              <w:keepNext w:val="0"/>
              <w:keepLines w:val="0"/>
              <w:pageBreakBefore w:val="0"/>
              <w:kinsoku/>
              <w:wordWrap/>
              <w:overflowPunct/>
              <w:topLinePunct w:val="0"/>
              <w:bidi w:val="0"/>
              <w:spacing w:before="237" w:line="267" w:lineRule="exact"/>
              <w:ind w:left="243"/>
            </w:pPr>
            <w:r>
              <w:rPr>
                <w:position w:val="1"/>
              </w:rPr>
              <w:t>1.3.4</w:t>
            </w:r>
          </w:p>
        </w:tc>
        <w:tc>
          <w:tcPr>
            <w:tcW w:w="1638" w:type="dxa"/>
            <w:vAlign w:val="top"/>
          </w:tcPr>
          <w:p w14:paraId="68AD947F">
            <w:pPr>
              <w:pStyle w:val="31"/>
              <w:keepNext w:val="0"/>
              <w:keepLines w:val="0"/>
              <w:pageBreakBefore w:val="0"/>
              <w:kinsoku/>
              <w:wordWrap/>
              <w:overflowPunct/>
              <w:topLinePunct w:val="0"/>
              <w:bidi w:val="0"/>
              <w:spacing w:before="237" w:line="228" w:lineRule="auto"/>
              <w:ind w:left="404"/>
            </w:pPr>
            <w:r>
              <w:rPr>
                <w:spacing w:val="7"/>
              </w:rPr>
              <w:t>质量要求</w:t>
            </w:r>
          </w:p>
        </w:tc>
        <w:tc>
          <w:tcPr>
            <w:tcW w:w="6466" w:type="dxa"/>
            <w:vAlign w:val="top"/>
          </w:tcPr>
          <w:p w14:paraId="251DB685">
            <w:pPr>
              <w:pStyle w:val="31"/>
              <w:keepNext w:val="0"/>
              <w:keepLines w:val="0"/>
              <w:pageBreakBefore w:val="0"/>
              <w:kinsoku/>
              <w:wordWrap/>
              <w:overflowPunct/>
              <w:topLinePunct w:val="0"/>
              <w:bidi w:val="0"/>
              <w:spacing w:before="236" w:line="227" w:lineRule="auto"/>
              <w:ind w:left="114"/>
            </w:pPr>
            <w:r>
              <w:rPr>
                <w:spacing w:val="9"/>
              </w:rPr>
              <w:t>符合国家及行业相关质量要求，满足采购人需求</w:t>
            </w:r>
          </w:p>
        </w:tc>
      </w:tr>
      <w:tr w14:paraId="33F35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1" w:hRule="atLeast"/>
        </w:trPr>
        <w:tc>
          <w:tcPr>
            <w:tcW w:w="971" w:type="dxa"/>
            <w:vAlign w:val="top"/>
          </w:tcPr>
          <w:p w14:paraId="7C0A9E65">
            <w:pPr>
              <w:keepNext w:val="0"/>
              <w:keepLines w:val="0"/>
              <w:pageBreakBefore w:val="0"/>
              <w:kinsoku/>
              <w:wordWrap/>
              <w:overflowPunct/>
              <w:topLinePunct w:val="0"/>
              <w:bidi w:val="0"/>
              <w:rPr>
                <w:rFonts w:ascii="Arial"/>
                <w:sz w:val="21"/>
              </w:rPr>
            </w:pPr>
          </w:p>
          <w:p w14:paraId="00C444E3">
            <w:pPr>
              <w:keepNext w:val="0"/>
              <w:keepLines w:val="0"/>
              <w:pageBreakBefore w:val="0"/>
              <w:kinsoku/>
              <w:wordWrap/>
              <w:overflowPunct/>
              <w:topLinePunct w:val="0"/>
              <w:bidi w:val="0"/>
              <w:rPr>
                <w:rFonts w:ascii="Arial"/>
                <w:sz w:val="21"/>
              </w:rPr>
            </w:pPr>
          </w:p>
          <w:p w14:paraId="7A902342">
            <w:pPr>
              <w:keepNext w:val="0"/>
              <w:keepLines w:val="0"/>
              <w:pageBreakBefore w:val="0"/>
              <w:kinsoku/>
              <w:wordWrap/>
              <w:overflowPunct/>
              <w:topLinePunct w:val="0"/>
              <w:bidi w:val="0"/>
              <w:rPr>
                <w:rFonts w:ascii="Arial"/>
                <w:sz w:val="21"/>
              </w:rPr>
            </w:pPr>
          </w:p>
          <w:p w14:paraId="59CAF838">
            <w:pPr>
              <w:keepNext w:val="0"/>
              <w:keepLines w:val="0"/>
              <w:pageBreakBefore w:val="0"/>
              <w:kinsoku/>
              <w:wordWrap/>
              <w:overflowPunct/>
              <w:topLinePunct w:val="0"/>
              <w:bidi w:val="0"/>
              <w:rPr>
                <w:rFonts w:ascii="Arial"/>
                <w:sz w:val="21"/>
              </w:rPr>
            </w:pPr>
          </w:p>
          <w:p w14:paraId="744EE4AB">
            <w:pPr>
              <w:keepNext w:val="0"/>
              <w:keepLines w:val="0"/>
              <w:pageBreakBefore w:val="0"/>
              <w:kinsoku/>
              <w:wordWrap/>
              <w:overflowPunct/>
              <w:topLinePunct w:val="0"/>
              <w:bidi w:val="0"/>
              <w:rPr>
                <w:rFonts w:ascii="Arial"/>
                <w:sz w:val="21"/>
              </w:rPr>
            </w:pPr>
          </w:p>
          <w:p w14:paraId="463F8ACE">
            <w:pPr>
              <w:keepNext w:val="0"/>
              <w:keepLines w:val="0"/>
              <w:pageBreakBefore w:val="0"/>
              <w:kinsoku/>
              <w:wordWrap/>
              <w:overflowPunct/>
              <w:topLinePunct w:val="0"/>
              <w:bidi w:val="0"/>
              <w:rPr>
                <w:rFonts w:ascii="Arial"/>
                <w:sz w:val="21"/>
              </w:rPr>
            </w:pPr>
          </w:p>
          <w:p w14:paraId="1A9B8525">
            <w:pPr>
              <w:keepNext w:val="0"/>
              <w:keepLines w:val="0"/>
              <w:pageBreakBefore w:val="0"/>
              <w:kinsoku/>
              <w:wordWrap/>
              <w:overflowPunct/>
              <w:topLinePunct w:val="0"/>
              <w:bidi w:val="0"/>
              <w:rPr>
                <w:rFonts w:ascii="Arial"/>
                <w:sz w:val="21"/>
              </w:rPr>
            </w:pPr>
          </w:p>
          <w:p w14:paraId="5077C75C">
            <w:pPr>
              <w:keepNext w:val="0"/>
              <w:keepLines w:val="0"/>
              <w:pageBreakBefore w:val="0"/>
              <w:kinsoku/>
              <w:wordWrap/>
              <w:overflowPunct/>
              <w:topLinePunct w:val="0"/>
              <w:bidi w:val="0"/>
              <w:rPr>
                <w:rFonts w:ascii="Arial"/>
                <w:sz w:val="21"/>
              </w:rPr>
            </w:pPr>
          </w:p>
          <w:p w14:paraId="3DE495C2">
            <w:pPr>
              <w:keepNext w:val="0"/>
              <w:keepLines w:val="0"/>
              <w:pageBreakBefore w:val="0"/>
              <w:kinsoku/>
              <w:wordWrap/>
              <w:overflowPunct/>
              <w:topLinePunct w:val="0"/>
              <w:bidi w:val="0"/>
              <w:rPr>
                <w:rFonts w:ascii="Arial"/>
                <w:sz w:val="21"/>
              </w:rPr>
            </w:pPr>
          </w:p>
          <w:p w14:paraId="4FB349C9">
            <w:pPr>
              <w:keepNext w:val="0"/>
              <w:keepLines w:val="0"/>
              <w:pageBreakBefore w:val="0"/>
              <w:kinsoku/>
              <w:wordWrap/>
              <w:overflowPunct/>
              <w:topLinePunct w:val="0"/>
              <w:bidi w:val="0"/>
              <w:rPr>
                <w:rFonts w:ascii="Arial"/>
                <w:sz w:val="21"/>
              </w:rPr>
            </w:pPr>
          </w:p>
          <w:p w14:paraId="7E2638AF">
            <w:pPr>
              <w:keepNext w:val="0"/>
              <w:keepLines w:val="0"/>
              <w:pageBreakBefore w:val="0"/>
              <w:kinsoku/>
              <w:wordWrap/>
              <w:overflowPunct/>
              <w:topLinePunct w:val="0"/>
              <w:bidi w:val="0"/>
              <w:rPr>
                <w:rFonts w:ascii="Arial"/>
                <w:sz w:val="21"/>
              </w:rPr>
            </w:pPr>
          </w:p>
          <w:p w14:paraId="52B24F87">
            <w:pPr>
              <w:keepNext w:val="0"/>
              <w:keepLines w:val="0"/>
              <w:pageBreakBefore w:val="0"/>
              <w:kinsoku/>
              <w:wordWrap/>
              <w:overflowPunct/>
              <w:topLinePunct w:val="0"/>
              <w:bidi w:val="0"/>
              <w:rPr>
                <w:rFonts w:ascii="Arial"/>
                <w:sz w:val="21"/>
              </w:rPr>
            </w:pPr>
          </w:p>
          <w:p w14:paraId="384F5AF8">
            <w:pPr>
              <w:keepNext w:val="0"/>
              <w:keepLines w:val="0"/>
              <w:pageBreakBefore w:val="0"/>
              <w:kinsoku/>
              <w:wordWrap/>
              <w:overflowPunct/>
              <w:topLinePunct w:val="0"/>
              <w:bidi w:val="0"/>
              <w:rPr>
                <w:rFonts w:ascii="Arial"/>
                <w:sz w:val="21"/>
              </w:rPr>
            </w:pPr>
          </w:p>
          <w:p w14:paraId="5BBCC7CE">
            <w:pPr>
              <w:keepNext w:val="0"/>
              <w:keepLines w:val="0"/>
              <w:pageBreakBefore w:val="0"/>
              <w:kinsoku/>
              <w:wordWrap/>
              <w:overflowPunct/>
              <w:topLinePunct w:val="0"/>
              <w:bidi w:val="0"/>
              <w:spacing w:line="241" w:lineRule="auto"/>
              <w:rPr>
                <w:rFonts w:ascii="Arial"/>
                <w:sz w:val="21"/>
              </w:rPr>
            </w:pPr>
          </w:p>
          <w:p w14:paraId="22C08EE7">
            <w:pPr>
              <w:keepNext w:val="0"/>
              <w:keepLines w:val="0"/>
              <w:pageBreakBefore w:val="0"/>
              <w:kinsoku/>
              <w:wordWrap/>
              <w:overflowPunct/>
              <w:topLinePunct w:val="0"/>
              <w:bidi w:val="0"/>
              <w:spacing w:line="241" w:lineRule="auto"/>
              <w:rPr>
                <w:rFonts w:ascii="Arial"/>
                <w:sz w:val="21"/>
              </w:rPr>
            </w:pPr>
          </w:p>
          <w:p w14:paraId="5B443597">
            <w:pPr>
              <w:keepNext w:val="0"/>
              <w:keepLines w:val="0"/>
              <w:pageBreakBefore w:val="0"/>
              <w:kinsoku/>
              <w:wordWrap/>
              <w:overflowPunct/>
              <w:topLinePunct w:val="0"/>
              <w:bidi w:val="0"/>
              <w:spacing w:line="241" w:lineRule="auto"/>
              <w:rPr>
                <w:rFonts w:ascii="Arial"/>
                <w:sz w:val="21"/>
              </w:rPr>
            </w:pPr>
          </w:p>
          <w:p w14:paraId="037E90C9">
            <w:pPr>
              <w:keepNext w:val="0"/>
              <w:keepLines w:val="0"/>
              <w:pageBreakBefore w:val="0"/>
              <w:kinsoku/>
              <w:wordWrap/>
              <w:overflowPunct/>
              <w:topLinePunct w:val="0"/>
              <w:bidi w:val="0"/>
              <w:spacing w:line="241" w:lineRule="auto"/>
              <w:rPr>
                <w:rFonts w:ascii="Arial"/>
                <w:sz w:val="21"/>
              </w:rPr>
            </w:pPr>
          </w:p>
          <w:p w14:paraId="3CBC085E">
            <w:pPr>
              <w:pStyle w:val="31"/>
              <w:keepNext w:val="0"/>
              <w:keepLines w:val="0"/>
              <w:pageBreakBefore w:val="0"/>
              <w:kinsoku/>
              <w:wordWrap/>
              <w:overflowPunct/>
              <w:topLinePunct w:val="0"/>
              <w:bidi w:val="0"/>
              <w:spacing w:before="65" w:line="267" w:lineRule="exact"/>
              <w:ind w:left="243"/>
            </w:pPr>
            <w:r>
              <w:rPr>
                <w:position w:val="1"/>
              </w:rPr>
              <w:t>1.4.1</w:t>
            </w:r>
          </w:p>
        </w:tc>
        <w:tc>
          <w:tcPr>
            <w:tcW w:w="1638" w:type="dxa"/>
            <w:vAlign w:val="top"/>
          </w:tcPr>
          <w:p w14:paraId="35FEBF0F">
            <w:pPr>
              <w:keepNext w:val="0"/>
              <w:keepLines w:val="0"/>
              <w:pageBreakBefore w:val="0"/>
              <w:kinsoku/>
              <w:wordWrap/>
              <w:overflowPunct/>
              <w:topLinePunct w:val="0"/>
              <w:bidi w:val="0"/>
              <w:rPr>
                <w:rFonts w:ascii="Arial"/>
                <w:sz w:val="21"/>
              </w:rPr>
            </w:pPr>
          </w:p>
          <w:p w14:paraId="35FBF640">
            <w:pPr>
              <w:keepNext w:val="0"/>
              <w:keepLines w:val="0"/>
              <w:pageBreakBefore w:val="0"/>
              <w:kinsoku/>
              <w:wordWrap/>
              <w:overflowPunct/>
              <w:topLinePunct w:val="0"/>
              <w:bidi w:val="0"/>
              <w:rPr>
                <w:rFonts w:ascii="Arial"/>
                <w:sz w:val="21"/>
              </w:rPr>
            </w:pPr>
          </w:p>
          <w:p w14:paraId="1AF3346F">
            <w:pPr>
              <w:keepNext w:val="0"/>
              <w:keepLines w:val="0"/>
              <w:pageBreakBefore w:val="0"/>
              <w:kinsoku/>
              <w:wordWrap/>
              <w:overflowPunct/>
              <w:topLinePunct w:val="0"/>
              <w:bidi w:val="0"/>
              <w:rPr>
                <w:rFonts w:ascii="Arial"/>
                <w:sz w:val="21"/>
              </w:rPr>
            </w:pPr>
          </w:p>
          <w:p w14:paraId="01AD8F94">
            <w:pPr>
              <w:keepNext w:val="0"/>
              <w:keepLines w:val="0"/>
              <w:pageBreakBefore w:val="0"/>
              <w:kinsoku/>
              <w:wordWrap/>
              <w:overflowPunct/>
              <w:topLinePunct w:val="0"/>
              <w:bidi w:val="0"/>
              <w:rPr>
                <w:rFonts w:ascii="Arial"/>
                <w:sz w:val="21"/>
              </w:rPr>
            </w:pPr>
          </w:p>
          <w:p w14:paraId="2BFEB220">
            <w:pPr>
              <w:keepNext w:val="0"/>
              <w:keepLines w:val="0"/>
              <w:pageBreakBefore w:val="0"/>
              <w:kinsoku/>
              <w:wordWrap/>
              <w:overflowPunct/>
              <w:topLinePunct w:val="0"/>
              <w:bidi w:val="0"/>
              <w:rPr>
                <w:rFonts w:ascii="Arial"/>
                <w:sz w:val="21"/>
              </w:rPr>
            </w:pPr>
          </w:p>
          <w:p w14:paraId="52A039DB">
            <w:pPr>
              <w:keepNext w:val="0"/>
              <w:keepLines w:val="0"/>
              <w:pageBreakBefore w:val="0"/>
              <w:kinsoku/>
              <w:wordWrap/>
              <w:overflowPunct/>
              <w:topLinePunct w:val="0"/>
              <w:bidi w:val="0"/>
              <w:rPr>
                <w:rFonts w:ascii="Arial"/>
                <w:sz w:val="21"/>
              </w:rPr>
            </w:pPr>
          </w:p>
          <w:p w14:paraId="68622266">
            <w:pPr>
              <w:keepNext w:val="0"/>
              <w:keepLines w:val="0"/>
              <w:pageBreakBefore w:val="0"/>
              <w:kinsoku/>
              <w:wordWrap/>
              <w:overflowPunct/>
              <w:topLinePunct w:val="0"/>
              <w:bidi w:val="0"/>
              <w:rPr>
                <w:rFonts w:ascii="Arial"/>
                <w:sz w:val="21"/>
              </w:rPr>
            </w:pPr>
          </w:p>
          <w:p w14:paraId="4B04E2A0">
            <w:pPr>
              <w:keepNext w:val="0"/>
              <w:keepLines w:val="0"/>
              <w:pageBreakBefore w:val="0"/>
              <w:kinsoku/>
              <w:wordWrap/>
              <w:overflowPunct/>
              <w:topLinePunct w:val="0"/>
              <w:bidi w:val="0"/>
              <w:spacing w:line="241" w:lineRule="auto"/>
              <w:rPr>
                <w:rFonts w:ascii="Arial"/>
                <w:sz w:val="21"/>
              </w:rPr>
            </w:pPr>
          </w:p>
          <w:p w14:paraId="0AEA6A33">
            <w:pPr>
              <w:keepNext w:val="0"/>
              <w:keepLines w:val="0"/>
              <w:pageBreakBefore w:val="0"/>
              <w:kinsoku/>
              <w:wordWrap/>
              <w:overflowPunct/>
              <w:topLinePunct w:val="0"/>
              <w:bidi w:val="0"/>
              <w:spacing w:line="241" w:lineRule="auto"/>
              <w:rPr>
                <w:rFonts w:ascii="Arial"/>
                <w:sz w:val="21"/>
              </w:rPr>
            </w:pPr>
          </w:p>
          <w:p w14:paraId="4369EF12">
            <w:pPr>
              <w:keepNext w:val="0"/>
              <w:keepLines w:val="0"/>
              <w:pageBreakBefore w:val="0"/>
              <w:kinsoku/>
              <w:wordWrap/>
              <w:overflowPunct/>
              <w:topLinePunct w:val="0"/>
              <w:bidi w:val="0"/>
              <w:spacing w:line="241" w:lineRule="auto"/>
              <w:rPr>
                <w:rFonts w:ascii="Arial"/>
                <w:sz w:val="21"/>
              </w:rPr>
            </w:pPr>
          </w:p>
          <w:p w14:paraId="666DC6BA">
            <w:pPr>
              <w:keepNext w:val="0"/>
              <w:keepLines w:val="0"/>
              <w:pageBreakBefore w:val="0"/>
              <w:kinsoku/>
              <w:wordWrap/>
              <w:overflowPunct/>
              <w:topLinePunct w:val="0"/>
              <w:bidi w:val="0"/>
              <w:spacing w:line="241" w:lineRule="auto"/>
              <w:rPr>
                <w:rFonts w:ascii="Arial"/>
                <w:sz w:val="21"/>
              </w:rPr>
            </w:pPr>
          </w:p>
          <w:p w14:paraId="226D592A">
            <w:pPr>
              <w:keepNext w:val="0"/>
              <w:keepLines w:val="0"/>
              <w:pageBreakBefore w:val="0"/>
              <w:kinsoku/>
              <w:wordWrap/>
              <w:overflowPunct/>
              <w:topLinePunct w:val="0"/>
              <w:bidi w:val="0"/>
              <w:spacing w:line="241" w:lineRule="auto"/>
              <w:rPr>
                <w:rFonts w:ascii="Arial"/>
                <w:sz w:val="21"/>
              </w:rPr>
            </w:pPr>
          </w:p>
          <w:p w14:paraId="65A60AE5">
            <w:pPr>
              <w:keepNext w:val="0"/>
              <w:keepLines w:val="0"/>
              <w:pageBreakBefore w:val="0"/>
              <w:kinsoku/>
              <w:wordWrap/>
              <w:overflowPunct/>
              <w:topLinePunct w:val="0"/>
              <w:bidi w:val="0"/>
              <w:spacing w:line="241" w:lineRule="auto"/>
              <w:rPr>
                <w:rFonts w:ascii="Arial"/>
                <w:sz w:val="21"/>
              </w:rPr>
            </w:pPr>
          </w:p>
          <w:p w14:paraId="2516D248">
            <w:pPr>
              <w:keepNext w:val="0"/>
              <w:keepLines w:val="0"/>
              <w:pageBreakBefore w:val="0"/>
              <w:kinsoku/>
              <w:wordWrap/>
              <w:overflowPunct/>
              <w:topLinePunct w:val="0"/>
              <w:bidi w:val="0"/>
              <w:spacing w:line="241" w:lineRule="auto"/>
              <w:rPr>
                <w:rFonts w:ascii="Arial"/>
                <w:sz w:val="21"/>
              </w:rPr>
            </w:pPr>
          </w:p>
          <w:p w14:paraId="1FE43BD1">
            <w:pPr>
              <w:keepNext w:val="0"/>
              <w:keepLines w:val="0"/>
              <w:pageBreakBefore w:val="0"/>
              <w:kinsoku/>
              <w:wordWrap/>
              <w:overflowPunct/>
              <w:topLinePunct w:val="0"/>
              <w:bidi w:val="0"/>
              <w:spacing w:line="241" w:lineRule="auto"/>
              <w:rPr>
                <w:rFonts w:ascii="Arial"/>
                <w:sz w:val="21"/>
              </w:rPr>
            </w:pPr>
          </w:p>
          <w:p w14:paraId="09ED3A49">
            <w:pPr>
              <w:keepNext w:val="0"/>
              <w:keepLines w:val="0"/>
              <w:pageBreakBefore w:val="0"/>
              <w:kinsoku/>
              <w:wordWrap/>
              <w:overflowPunct/>
              <w:topLinePunct w:val="0"/>
              <w:bidi w:val="0"/>
              <w:spacing w:line="241" w:lineRule="auto"/>
              <w:rPr>
                <w:rFonts w:ascii="Arial"/>
                <w:sz w:val="21"/>
              </w:rPr>
            </w:pPr>
          </w:p>
          <w:p w14:paraId="53546C82">
            <w:pPr>
              <w:pStyle w:val="31"/>
              <w:keepNext w:val="0"/>
              <w:keepLines w:val="0"/>
              <w:pageBreakBefore w:val="0"/>
              <w:kinsoku/>
              <w:wordWrap/>
              <w:overflowPunct/>
              <w:topLinePunct w:val="0"/>
              <w:bidi w:val="0"/>
              <w:spacing w:before="65" w:line="440" w:lineRule="auto"/>
              <w:ind w:left="110" w:right="106" w:firstLine="84"/>
            </w:pPr>
            <w:r>
              <w:rPr>
                <w:spacing w:val="7"/>
              </w:rPr>
              <w:t>投标人资质条</w:t>
            </w:r>
            <w:r>
              <w:rPr>
                <w:spacing w:val="2"/>
              </w:rPr>
              <w:t>件、能力和信誉</w:t>
            </w:r>
          </w:p>
        </w:tc>
        <w:tc>
          <w:tcPr>
            <w:tcW w:w="6466" w:type="dxa"/>
            <w:vAlign w:val="top"/>
          </w:tcPr>
          <w:p w14:paraId="1497F14A">
            <w:pPr>
              <w:pStyle w:val="31"/>
              <w:keepNext w:val="0"/>
              <w:keepLines w:val="0"/>
              <w:pageBreakBefore w:val="0"/>
              <w:kinsoku/>
              <w:wordWrap/>
              <w:overflowPunct/>
              <w:topLinePunct w:val="0"/>
              <w:bidi w:val="0"/>
              <w:spacing w:before="134" w:line="227" w:lineRule="auto"/>
              <w:ind w:left="127"/>
            </w:pPr>
            <w:r>
              <w:rPr>
                <w:spacing w:val="8"/>
              </w:rPr>
              <w:t>1、满足《中华人民共和国政府采购法》第二十二条规定；</w:t>
            </w:r>
          </w:p>
          <w:p w14:paraId="64D50E94">
            <w:pPr>
              <w:pStyle w:val="31"/>
              <w:keepNext w:val="0"/>
              <w:keepLines w:val="0"/>
              <w:pageBreakBefore w:val="0"/>
              <w:kinsoku/>
              <w:wordWrap/>
              <w:overflowPunct/>
              <w:topLinePunct w:val="0"/>
              <w:bidi w:val="0"/>
              <w:spacing w:before="228" w:line="439" w:lineRule="auto"/>
              <w:ind w:left="111" w:right="162" w:firstLine="3"/>
            </w:pPr>
            <w:r>
              <w:rPr>
                <w:spacing w:val="9"/>
              </w:rPr>
              <w:t>2、落实政府采购政策满足的资格要求：本项目</w:t>
            </w:r>
            <w:r>
              <w:rPr>
                <w:color w:val="000000" w:themeColor="text1"/>
                <w:spacing w:val="9"/>
                <w14:textFill>
                  <w14:solidFill>
                    <w14:schemeClr w14:val="tx1"/>
                  </w14:solidFill>
                </w14:textFill>
              </w:rPr>
              <w:t>为专门面向中小</w:t>
            </w:r>
            <w:r>
              <w:rPr>
                <w:rFonts w:hint="eastAsia" w:ascii="宋体" w:hAnsi="宋体" w:eastAsia="宋体" w:cs="宋体"/>
                <w:color w:val="000000" w:themeColor="text1"/>
                <w:spacing w:val="8"/>
                <w:sz w:val="20"/>
                <w:szCs w:val="20"/>
                <w:highlight w:val="none"/>
                <w:lang w:val="en-US" w:eastAsia="zh-CN"/>
                <w14:textFill>
                  <w14:solidFill>
                    <w14:schemeClr w14:val="tx1"/>
                  </w14:solidFill>
                </w14:textFill>
              </w:rPr>
              <w:t>微</w:t>
            </w:r>
            <w:r>
              <w:rPr>
                <w:spacing w:val="9"/>
              </w:rPr>
              <w:t>企业采购项目（监狱企业、残疾人福利性企业视同小型、微型企业）</w:t>
            </w:r>
          </w:p>
          <w:p w14:paraId="6C562705">
            <w:pPr>
              <w:pStyle w:val="31"/>
              <w:keepNext w:val="0"/>
              <w:keepLines w:val="0"/>
              <w:pageBreakBefore w:val="0"/>
              <w:kinsoku/>
              <w:wordWrap/>
              <w:overflowPunct/>
              <w:topLinePunct w:val="0"/>
              <w:bidi w:val="0"/>
              <w:spacing w:line="226" w:lineRule="auto"/>
              <w:ind w:left="116"/>
            </w:pPr>
            <w:r>
              <w:rPr>
                <w:spacing w:val="8"/>
              </w:rPr>
              <w:t>3、本项目的特定资格要求</w:t>
            </w:r>
          </w:p>
          <w:p w14:paraId="6A918EF5">
            <w:pPr>
              <w:pStyle w:val="31"/>
              <w:keepNext w:val="0"/>
              <w:keepLines w:val="0"/>
              <w:pageBreakBefore w:val="0"/>
              <w:kinsoku/>
              <w:wordWrap/>
              <w:overflowPunct/>
              <w:topLinePunct w:val="0"/>
              <w:bidi w:val="0"/>
              <w:spacing w:before="230" w:line="439" w:lineRule="auto"/>
              <w:ind w:left="111" w:firstLine="4"/>
            </w:pPr>
            <w:r>
              <w:rPr>
                <w:spacing w:val="6"/>
              </w:rPr>
              <w:t>3.1 根据《关于在政府采购活动中查询及使用信用记录有关问题的通</w:t>
            </w:r>
            <w:r>
              <w:rPr>
                <w:spacing w:val="5"/>
              </w:rPr>
              <w:t>知》</w:t>
            </w:r>
            <w:r>
              <w:rPr>
                <w:spacing w:val="-43"/>
              </w:rPr>
              <w:t xml:space="preserve"> </w:t>
            </w:r>
            <w:r>
              <w:rPr>
                <w:spacing w:val="5"/>
              </w:rPr>
              <w:t>(财库[</w:t>
            </w:r>
            <w:r>
              <w:fldChar w:fldCharType="begin"/>
            </w:r>
            <w:r>
              <w:instrText xml:space="preserve"> HYPERLINK \l "bookmark13" </w:instrText>
            </w:r>
            <w:r>
              <w:fldChar w:fldCharType="separate"/>
            </w:r>
            <w:r>
              <w:rPr>
                <w:spacing w:val="5"/>
              </w:rPr>
              <w:t>2016</w:t>
            </w:r>
            <w:r>
              <w:rPr>
                <w:spacing w:val="5"/>
              </w:rPr>
              <w:fldChar w:fldCharType="end"/>
            </w:r>
            <w:r>
              <w:rPr>
                <w:spacing w:val="5"/>
              </w:rPr>
              <w:t>]125</w:t>
            </w:r>
            <w:r>
              <w:rPr>
                <w:spacing w:val="-36"/>
              </w:rPr>
              <w:t xml:space="preserve"> </w:t>
            </w:r>
            <w:r>
              <w:rPr>
                <w:spacing w:val="5"/>
              </w:rPr>
              <w:t>号)的规定，对列入失信被执行人、重大税收违</w:t>
            </w:r>
            <w:r>
              <w:rPr>
                <w:spacing w:val="6"/>
              </w:rPr>
              <w:t>法失信主体、政府采购严重违法失信行为记录名单的投标人，拒绝参</w:t>
            </w:r>
            <w:r>
              <w:rPr>
                <w:spacing w:val="5"/>
              </w:rPr>
              <w:t>与本项目政府采购活动；查询渠道：失信被执行人查询渠道：“</w:t>
            </w:r>
            <w:r>
              <w:rPr>
                <w:spacing w:val="-54"/>
              </w:rPr>
              <w:t xml:space="preserve"> </w:t>
            </w:r>
            <w:r>
              <w:rPr>
                <w:spacing w:val="5"/>
              </w:rPr>
              <w:t>中国</w:t>
            </w:r>
            <w:r>
              <w:rPr>
                <w:spacing w:val="9"/>
              </w:rPr>
              <w:t>执行信息公开网</w:t>
            </w:r>
            <w:r>
              <w:rPr>
                <w:spacing w:val="-52"/>
              </w:rPr>
              <w:t xml:space="preserve"> </w:t>
            </w:r>
            <w:r>
              <w:rPr>
                <w:spacing w:val="9"/>
              </w:rPr>
              <w:t>”；重大税收违法失信主体查询渠道：“信用中国</w:t>
            </w:r>
            <w:r>
              <w:rPr>
                <w:spacing w:val="-70"/>
              </w:rPr>
              <w:t xml:space="preserve"> </w:t>
            </w:r>
            <w:r>
              <w:rPr>
                <w:spacing w:val="9"/>
              </w:rPr>
              <w:t>”</w:t>
            </w:r>
            <w:r>
              <w:rPr>
                <w:spacing w:val="7"/>
              </w:rPr>
              <w:t>网站；政府采购严重违法失信行为查询渠道：“</w:t>
            </w:r>
            <w:r>
              <w:rPr>
                <w:spacing w:val="-70"/>
              </w:rPr>
              <w:t xml:space="preserve"> </w:t>
            </w:r>
            <w:r>
              <w:rPr>
                <w:spacing w:val="7"/>
              </w:rPr>
              <w:t>中国政府采购网</w:t>
            </w:r>
            <w:r>
              <w:rPr>
                <w:spacing w:val="-73"/>
              </w:rPr>
              <w:t xml:space="preserve"> </w:t>
            </w:r>
            <w:r>
              <w:rPr>
                <w:spacing w:val="7"/>
              </w:rPr>
              <w:t>”；采购人或采购代理机构通过“中国执行信息公开网”（</w:t>
            </w:r>
            <w:r>
              <w:fldChar w:fldCharType="begin"/>
            </w:r>
            <w:r>
              <w:instrText xml:space="preserve"> HYPERLINK "http://zxgk" </w:instrText>
            </w:r>
            <w:r>
              <w:fldChar w:fldCharType="separate"/>
            </w:r>
            <w:r>
              <w:t>http</w:t>
            </w:r>
            <w:r>
              <w:rPr>
                <w:spacing w:val="7"/>
              </w:rPr>
              <w:t>://</w:t>
            </w:r>
            <w:r>
              <w:t>zxgk</w:t>
            </w:r>
            <w:r>
              <w:fldChar w:fldCharType="end"/>
            </w:r>
            <w:r>
              <w:rPr>
                <w:spacing w:val="7"/>
              </w:rPr>
              <w:t>.</w:t>
            </w:r>
            <w:r>
              <w:rPr>
                <w:spacing w:val="2"/>
              </w:rPr>
              <w:t xml:space="preserve"> </w:t>
            </w:r>
            <w:r>
              <w:fldChar w:fldCharType="begin"/>
            </w:r>
            <w:r>
              <w:instrText xml:space="preserve"> HYPERLINK "court.gov.cn/" </w:instrText>
            </w:r>
            <w:r>
              <w:fldChar w:fldCharType="separate"/>
            </w:r>
            <w:r>
              <w:t>court</w:t>
            </w:r>
            <w:r>
              <w:rPr>
                <w:spacing w:val="9"/>
              </w:rPr>
              <w:t>.</w:t>
            </w:r>
            <w:r>
              <w:t>gov</w:t>
            </w:r>
            <w:r>
              <w:rPr>
                <w:spacing w:val="9"/>
              </w:rPr>
              <w:t>.</w:t>
            </w:r>
            <w:r>
              <w:t>cn</w:t>
            </w:r>
            <w:r>
              <w:rPr>
                <w:spacing w:val="9"/>
              </w:rPr>
              <w:t>/</w:t>
            </w:r>
            <w:r>
              <w:rPr>
                <w:spacing w:val="9"/>
              </w:rPr>
              <w:fldChar w:fldCharType="end"/>
            </w:r>
            <w:r>
              <w:rPr>
                <w:spacing w:val="9"/>
              </w:rPr>
              <w:t>）、“信用中国”网站（</w:t>
            </w:r>
            <w:r>
              <w:fldChar w:fldCharType="begin"/>
            </w:r>
            <w:r>
              <w:instrText xml:space="preserve"> HYPERLINK "https://www.creditchina.g" </w:instrText>
            </w:r>
            <w:r>
              <w:fldChar w:fldCharType="separate"/>
            </w:r>
            <w:r>
              <w:t>https</w:t>
            </w:r>
            <w:r>
              <w:rPr>
                <w:spacing w:val="9"/>
              </w:rPr>
              <w:t>://</w:t>
            </w:r>
            <w:r>
              <w:t>www</w:t>
            </w:r>
            <w:r>
              <w:rPr>
                <w:spacing w:val="9"/>
              </w:rPr>
              <w:t>.</w:t>
            </w:r>
            <w:r>
              <w:t>creditchina</w:t>
            </w:r>
            <w:r>
              <w:rPr>
                <w:spacing w:val="9"/>
              </w:rPr>
              <w:t>.g</w:t>
            </w:r>
            <w:r>
              <w:rPr>
                <w:spacing w:val="9"/>
              </w:rPr>
              <w:fldChar w:fldCharType="end"/>
            </w:r>
            <w:r>
              <w:rPr>
                <w:spacing w:val="8"/>
              </w:rPr>
              <w:t xml:space="preserve"> </w:t>
            </w:r>
            <w:r>
              <w:fldChar w:fldCharType="begin"/>
            </w:r>
            <w:r>
              <w:instrText xml:space="preserve"> HYPERLINK "ov.cn/" </w:instrText>
            </w:r>
            <w:r>
              <w:fldChar w:fldCharType="separate"/>
            </w:r>
            <w:r>
              <w:t>ov</w:t>
            </w:r>
            <w:r>
              <w:rPr>
                <w:spacing w:val="10"/>
              </w:rPr>
              <w:t>.</w:t>
            </w:r>
            <w:r>
              <w:t>cn</w:t>
            </w:r>
            <w:r>
              <w:rPr>
                <w:spacing w:val="10"/>
              </w:rPr>
              <w:t>/</w:t>
            </w:r>
            <w:r>
              <w:rPr>
                <w:spacing w:val="10"/>
              </w:rPr>
              <w:fldChar w:fldCharType="end"/>
            </w:r>
            <w:r>
              <w:rPr>
                <w:spacing w:val="10"/>
              </w:rPr>
              <w:t>）、中国政府采购网（</w:t>
            </w:r>
            <w:r>
              <w:fldChar w:fldCharType="begin"/>
            </w:r>
            <w:r>
              <w:instrText xml:space="preserve"> HYPERLINK "http://www.ccgp.gov.cn/" </w:instrText>
            </w:r>
            <w:r>
              <w:fldChar w:fldCharType="separate"/>
            </w:r>
            <w:r>
              <w:t>http</w:t>
            </w:r>
            <w:r>
              <w:rPr>
                <w:spacing w:val="10"/>
              </w:rPr>
              <w:t>://</w:t>
            </w:r>
            <w:r>
              <w:t>www</w:t>
            </w:r>
            <w:r>
              <w:rPr>
                <w:spacing w:val="10"/>
              </w:rPr>
              <w:t>.</w:t>
            </w:r>
            <w:r>
              <w:t>ccgp</w:t>
            </w:r>
            <w:r>
              <w:rPr>
                <w:spacing w:val="10"/>
              </w:rPr>
              <w:t>.</w:t>
            </w:r>
            <w:r>
              <w:t>gov</w:t>
            </w:r>
            <w:r>
              <w:rPr>
                <w:spacing w:val="10"/>
              </w:rPr>
              <w:t>.</w:t>
            </w:r>
            <w:r>
              <w:t>cn</w:t>
            </w:r>
            <w:r>
              <w:rPr>
                <w:spacing w:val="10"/>
              </w:rPr>
              <w:t>/</w:t>
            </w:r>
            <w:r>
              <w:rPr>
                <w:spacing w:val="10"/>
              </w:rPr>
              <w:fldChar w:fldCharType="end"/>
            </w:r>
            <w:r>
              <w:rPr>
                <w:spacing w:val="10"/>
              </w:rPr>
              <w:t>）等渠道查</w:t>
            </w:r>
            <w:r>
              <w:rPr>
                <w:spacing w:val="1"/>
              </w:rPr>
              <w:t xml:space="preserve"> </w:t>
            </w:r>
            <w:r>
              <w:rPr>
                <w:spacing w:val="8"/>
              </w:rPr>
              <w:t>询相关主体信用记录,信用信息查询记录及相关证据与其他采购文件</w:t>
            </w:r>
            <w:r>
              <w:t xml:space="preserve"> </w:t>
            </w:r>
            <w:r>
              <w:rPr>
                <w:spacing w:val="6"/>
              </w:rPr>
              <w:t>一并保存，投标人不良信用记录以采购人或采购代理机构查询结果为</w:t>
            </w:r>
            <w:r>
              <w:rPr>
                <w:spacing w:val="8"/>
              </w:rPr>
              <w:t>准；</w:t>
            </w:r>
          </w:p>
          <w:p w14:paraId="30CA382D">
            <w:pPr>
              <w:pStyle w:val="31"/>
              <w:keepNext w:val="0"/>
              <w:keepLines w:val="0"/>
              <w:pageBreakBefore w:val="0"/>
              <w:kinsoku/>
              <w:wordWrap/>
              <w:overflowPunct/>
              <w:topLinePunct w:val="0"/>
              <w:bidi w:val="0"/>
              <w:spacing w:before="2" w:line="372" w:lineRule="auto"/>
              <w:ind w:left="114" w:right="267" w:firstLine="2"/>
            </w:pPr>
            <w:r>
              <w:rPr>
                <w:spacing w:val="9"/>
              </w:rPr>
              <w:t>3.2 单位负责人为同一人或者存在直接控股、管理关系的</w:t>
            </w:r>
            <w:r>
              <w:rPr>
                <w:spacing w:val="8"/>
              </w:rPr>
              <w:t>不同投标人，不得参加同一合同项下的政府采购活动。</w:t>
            </w:r>
          </w:p>
        </w:tc>
      </w:tr>
      <w:tr w14:paraId="5DD0E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971" w:type="dxa"/>
            <w:vAlign w:val="top"/>
          </w:tcPr>
          <w:p w14:paraId="0EA51CD1">
            <w:pPr>
              <w:keepNext w:val="0"/>
              <w:keepLines w:val="0"/>
              <w:pageBreakBefore w:val="0"/>
              <w:kinsoku/>
              <w:wordWrap/>
              <w:overflowPunct/>
              <w:topLinePunct w:val="0"/>
              <w:bidi w:val="0"/>
              <w:spacing w:line="307" w:lineRule="auto"/>
              <w:rPr>
                <w:rFonts w:ascii="Arial"/>
                <w:sz w:val="21"/>
              </w:rPr>
            </w:pPr>
          </w:p>
          <w:p w14:paraId="280E31F1">
            <w:pPr>
              <w:pStyle w:val="31"/>
              <w:keepNext w:val="0"/>
              <w:keepLines w:val="0"/>
              <w:pageBreakBefore w:val="0"/>
              <w:kinsoku/>
              <w:wordWrap/>
              <w:overflowPunct/>
              <w:topLinePunct w:val="0"/>
              <w:bidi w:val="0"/>
              <w:spacing w:before="65" w:line="268" w:lineRule="exact"/>
              <w:ind w:left="243"/>
            </w:pPr>
            <w:r>
              <w:rPr>
                <w:position w:val="1"/>
              </w:rPr>
              <w:t>1.4.2</w:t>
            </w:r>
          </w:p>
        </w:tc>
        <w:tc>
          <w:tcPr>
            <w:tcW w:w="1638" w:type="dxa"/>
            <w:vAlign w:val="top"/>
          </w:tcPr>
          <w:p w14:paraId="6FFBAFB9">
            <w:pPr>
              <w:pStyle w:val="31"/>
              <w:keepNext w:val="0"/>
              <w:keepLines w:val="0"/>
              <w:pageBreakBefore w:val="0"/>
              <w:kinsoku/>
              <w:wordWrap/>
              <w:overflowPunct/>
              <w:topLinePunct w:val="0"/>
              <w:bidi w:val="0"/>
              <w:spacing w:before="136" w:line="373" w:lineRule="auto"/>
              <w:ind w:left="507" w:right="190" w:hanging="311"/>
            </w:pPr>
            <w:r>
              <w:rPr>
                <w:spacing w:val="7"/>
              </w:rPr>
              <w:t>是否接受联合</w:t>
            </w:r>
            <w:r>
              <w:rPr>
                <w:spacing w:val="6"/>
              </w:rPr>
              <w:t>体投标</w:t>
            </w:r>
          </w:p>
        </w:tc>
        <w:tc>
          <w:tcPr>
            <w:tcW w:w="6466" w:type="dxa"/>
            <w:vAlign w:val="top"/>
          </w:tcPr>
          <w:p w14:paraId="62464AD0">
            <w:pPr>
              <w:keepNext w:val="0"/>
              <w:keepLines w:val="0"/>
              <w:pageBreakBefore w:val="0"/>
              <w:kinsoku/>
              <w:wordWrap/>
              <w:overflowPunct/>
              <w:topLinePunct w:val="0"/>
              <w:bidi w:val="0"/>
              <w:spacing w:line="308" w:lineRule="auto"/>
              <w:rPr>
                <w:rFonts w:ascii="Arial"/>
                <w:sz w:val="21"/>
              </w:rPr>
            </w:pPr>
          </w:p>
          <w:p w14:paraId="5CCF6696">
            <w:pPr>
              <w:pStyle w:val="31"/>
              <w:keepNext w:val="0"/>
              <w:keepLines w:val="0"/>
              <w:pageBreakBefore w:val="0"/>
              <w:kinsoku/>
              <w:wordWrap/>
              <w:overflowPunct/>
              <w:topLinePunct w:val="0"/>
              <w:bidi w:val="0"/>
              <w:spacing w:before="65" w:line="228" w:lineRule="auto"/>
              <w:ind w:left="118"/>
            </w:pPr>
            <w:r>
              <w:t>否</w:t>
            </w:r>
          </w:p>
        </w:tc>
      </w:tr>
      <w:tr w14:paraId="6DAED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971" w:type="dxa"/>
            <w:vAlign w:val="top"/>
          </w:tcPr>
          <w:p w14:paraId="23A0A301">
            <w:pPr>
              <w:pStyle w:val="31"/>
              <w:keepNext w:val="0"/>
              <w:keepLines w:val="0"/>
              <w:pageBreakBefore w:val="0"/>
              <w:kinsoku/>
              <w:wordWrap/>
              <w:overflowPunct/>
              <w:topLinePunct w:val="0"/>
              <w:bidi w:val="0"/>
              <w:spacing w:before="240" w:line="267" w:lineRule="exact"/>
              <w:ind w:left="243"/>
              <w:rPr>
                <w:highlight w:val="none"/>
              </w:rPr>
            </w:pPr>
            <w:r>
              <w:rPr>
                <w:position w:val="1"/>
                <w:highlight w:val="none"/>
              </w:rPr>
              <w:t>1.9.1</w:t>
            </w:r>
          </w:p>
        </w:tc>
        <w:tc>
          <w:tcPr>
            <w:tcW w:w="1638" w:type="dxa"/>
            <w:vAlign w:val="top"/>
          </w:tcPr>
          <w:p w14:paraId="6FC8B25E">
            <w:pPr>
              <w:pStyle w:val="31"/>
              <w:keepNext w:val="0"/>
              <w:keepLines w:val="0"/>
              <w:pageBreakBefore w:val="0"/>
              <w:kinsoku/>
              <w:wordWrap/>
              <w:overflowPunct/>
              <w:topLinePunct w:val="0"/>
              <w:bidi w:val="0"/>
              <w:spacing w:before="239" w:line="228" w:lineRule="auto"/>
              <w:ind w:left="404"/>
              <w:rPr>
                <w:highlight w:val="none"/>
              </w:rPr>
            </w:pPr>
            <w:r>
              <w:rPr>
                <w:spacing w:val="7"/>
                <w:highlight w:val="none"/>
              </w:rPr>
              <w:t>踏勘现场</w:t>
            </w:r>
          </w:p>
        </w:tc>
        <w:tc>
          <w:tcPr>
            <w:tcW w:w="6466" w:type="dxa"/>
            <w:vAlign w:val="top"/>
          </w:tcPr>
          <w:p w14:paraId="680BABB8">
            <w:pPr>
              <w:pStyle w:val="31"/>
              <w:keepNext w:val="0"/>
              <w:keepLines w:val="0"/>
              <w:pageBreakBefore w:val="0"/>
              <w:kinsoku/>
              <w:wordWrap/>
              <w:overflowPunct/>
              <w:topLinePunct w:val="0"/>
              <w:bidi w:val="0"/>
              <w:spacing w:before="239" w:line="228" w:lineRule="auto"/>
              <w:ind w:left="115"/>
              <w:rPr>
                <w:highlight w:val="none"/>
              </w:rPr>
            </w:pPr>
            <w:r>
              <w:rPr>
                <w:spacing w:val="8"/>
                <w:highlight w:val="none"/>
              </w:rPr>
              <w:t>不组织。投标人自行勘探现场；费用自理。</w:t>
            </w:r>
          </w:p>
        </w:tc>
      </w:tr>
      <w:tr w14:paraId="79079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971" w:type="dxa"/>
            <w:vAlign w:val="top"/>
          </w:tcPr>
          <w:p w14:paraId="7B16CBA4">
            <w:pPr>
              <w:pStyle w:val="31"/>
              <w:keepNext w:val="0"/>
              <w:keepLines w:val="0"/>
              <w:pageBreakBefore w:val="0"/>
              <w:kinsoku/>
              <w:wordWrap/>
              <w:overflowPunct/>
              <w:topLinePunct w:val="0"/>
              <w:bidi w:val="0"/>
              <w:spacing w:before="241" w:line="268" w:lineRule="exact"/>
              <w:ind w:left="190"/>
              <w:rPr>
                <w:highlight w:val="none"/>
              </w:rPr>
            </w:pPr>
            <w:r>
              <w:rPr>
                <w:spacing w:val="1"/>
                <w:position w:val="1"/>
                <w:highlight w:val="none"/>
              </w:rPr>
              <w:t>1.10.1</w:t>
            </w:r>
          </w:p>
        </w:tc>
        <w:tc>
          <w:tcPr>
            <w:tcW w:w="1638" w:type="dxa"/>
            <w:vAlign w:val="top"/>
          </w:tcPr>
          <w:p w14:paraId="688185FD">
            <w:pPr>
              <w:pStyle w:val="31"/>
              <w:keepNext w:val="0"/>
              <w:keepLines w:val="0"/>
              <w:pageBreakBefore w:val="0"/>
              <w:kinsoku/>
              <w:wordWrap/>
              <w:overflowPunct/>
              <w:topLinePunct w:val="0"/>
              <w:bidi w:val="0"/>
              <w:spacing w:before="241" w:line="227" w:lineRule="auto"/>
              <w:ind w:left="300"/>
              <w:rPr>
                <w:highlight w:val="none"/>
              </w:rPr>
            </w:pPr>
            <w:r>
              <w:rPr>
                <w:spacing w:val="7"/>
                <w:highlight w:val="none"/>
              </w:rPr>
              <w:t>投标预备会</w:t>
            </w:r>
          </w:p>
        </w:tc>
        <w:tc>
          <w:tcPr>
            <w:tcW w:w="6466" w:type="dxa"/>
            <w:vAlign w:val="top"/>
          </w:tcPr>
          <w:p w14:paraId="6423A521">
            <w:pPr>
              <w:pStyle w:val="31"/>
              <w:keepNext w:val="0"/>
              <w:keepLines w:val="0"/>
              <w:pageBreakBefore w:val="0"/>
              <w:kinsoku/>
              <w:wordWrap/>
              <w:overflowPunct/>
              <w:topLinePunct w:val="0"/>
              <w:bidi w:val="0"/>
              <w:spacing w:before="241" w:line="229" w:lineRule="auto"/>
              <w:ind w:left="115"/>
              <w:rPr>
                <w:highlight w:val="none"/>
              </w:rPr>
            </w:pPr>
            <w:r>
              <w:rPr>
                <w:spacing w:val="5"/>
                <w:highlight w:val="none"/>
              </w:rPr>
              <w:t>不召开</w:t>
            </w:r>
          </w:p>
        </w:tc>
      </w:tr>
    </w:tbl>
    <w:p w14:paraId="269B7EB2">
      <w:pPr>
        <w:pStyle w:val="4"/>
        <w:keepNext w:val="0"/>
        <w:keepLines w:val="0"/>
        <w:pageBreakBefore w:val="0"/>
        <w:kinsoku/>
        <w:wordWrap/>
        <w:overflowPunct/>
        <w:topLinePunct w:val="0"/>
        <w:bidi w:val="0"/>
        <w:rPr>
          <w:highlight w:val="none"/>
        </w:rPr>
      </w:pPr>
    </w:p>
    <w:p w14:paraId="6DF22E8E">
      <w:pPr>
        <w:keepNext w:val="0"/>
        <w:keepLines w:val="0"/>
        <w:pageBreakBefore w:val="0"/>
        <w:kinsoku/>
        <w:wordWrap/>
        <w:overflowPunct/>
        <w:topLinePunct w:val="0"/>
        <w:bidi w:val="0"/>
        <w:spacing w:line="42" w:lineRule="exact"/>
        <w:rPr>
          <w:rFonts w:hint="eastAsia" w:eastAsia="宋体"/>
          <w:highlight w:val="none"/>
          <w:lang w:eastAsia="zh-CN"/>
        </w:rPr>
      </w:pPr>
      <w:r>
        <w:rPr>
          <w:rFonts w:hint="eastAsia" w:eastAsia="宋体"/>
          <w:highlight w:val="none"/>
          <w:lang w:eastAsia="zh-CN"/>
        </w:rPr>
        <w:br w:type="page"/>
      </w:r>
    </w:p>
    <w:tbl>
      <w:tblPr>
        <w:tblStyle w:val="30"/>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638"/>
        <w:gridCol w:w="6466"/>
      </w:tblGrid>
      <w:tr w14:paraId="05180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971" w:type="dxa"/>
            <w:vAlign w:val="top"/>
          </w:tcPr>
          <w:p w14:paraId="72E92430">
            <w:pPr>
              <w:pStyle w:val="31"/>
              <w:spacing w:before="240" w:line="268" w:lineRule="exact"/>
              <w:ind w:left="296" w:leftChars="0"/>
              <w:rPr>
                <w:rFonts w:hint="default" w:eastAsia="宋体"/>
                <w:highlight w:val="none"/>
                <w:lang w:val="en-US" w:eastAsia="zh-CN"/>
              </w:rPr>
            </w:pPr>
            <w:r>
              <w:rPr>
                <w:spacing w:val="-1"/>
                <w:position w:val="1"/>
                <w:highlight w:val="none"/>
              </w:rPr>
              <w:t>1.11</w:t>
            </w:r>
          </w:p>
        </w:tc>
        <w:tc>
          <w:tcPr>
            <w:tcW w:w="1638" w:type="dxa"/>
            <w:vAlign w:val="top"/>
          </w:tcPr>
          <w:p w14:paraId="33AE5A5D">
            <w:pPr>
              <w:pStyle w:val="31"/>
              <w:keepNext w:val="0"/>
              <w:keepLines w:val="0"/>
              <w:pageBreakBefore w:val="0"/>
              <w:kinsoku/>
              <w:wordWrap/>
              <w:overflowPunct/>
              <w:topLinePunct w:val="0"/>
              <w:bidi w:val="0"/>
              <w:spacing w:before="241" w:line="228" w:lineRule="auto"/>
              <w:ind w:left="615"/>
              <w:rPr>
                <w:highlight w:val="none"/>
              </w:rPr>
            </w:pPr>
            <w:r>
              <w:rPr>
                <w:spacing w:val="3"/>
                <w:highlight w:val="none"/>
              </w:rPr>
              <w:t>分包</w:t>
            </w:r>
          </w:p>
        </w:tc>
        <w:tc>
          <w:tcPr>
            <w:tcW w:w="6466" w:type="dxa"/>
            <w:vAlign w:val="top"/>
          </w:tcPr>
          <w:p w14:paraId="6C83135B">
            <w:pPr>
              <w:pStyle w:val="31"/>
              <w:keepNext w:val="0"/>
              <w:keepLines w:val="0"/>
              <w:pageBreakBefore w:val="0"/>
              <w:kinsoku/>
              <w:wordWrap/>
              <w:overflowPunct/>
              <w:topLinePunct w:val="0"/>
              <w:bidi w:val="0"/>
              <w:spacing w:before="240" w:line="228" w:lineRule="auto"/>
              <w:ind w:left="115"/>
              <w:rPr>
                <w:highlight w:val="none"/>
              </w:rPr>
            </w:pPr>
            <w:r>
              <w:rPr>
                <w:spacing w:val="5"/>
                <w:highlight w:val="none"/>
              </w:rPr>
              <w:t>不允许</w:t>
            </w:r>
          </w:p>
        </w:tc>
      </w:tr>
      <w:tr w14:paraId="28164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971" w:type="dxa"/>
            <w:vAlign w:val="top"/>
          </w:tcPr>
          <w:p w14:paraId="1A1243EA">
            <w:pPr>
              <w:pStyle w:val="31"/>
              <w:spacing w:before="235" w:line="268" w:lineRule="exact"/>
              <w:ind w:left="296" w:leftChars="0"/>
              <w:rPr>
                <w:rFonts w:hint="default" w:eastAsia="宋体"/>
                <w:highlight w:val="none"/>
                <w:lang w:val="en-US" w:eastAsia="zh-CN"/>
              </w:rPr>
            </w:pPr>
            <w:r>
              <w:rPr>
                <w:spacing w:val="-1"/>
                <w:position w:val="1"/>
                <w:highlight w:val="none"/>
              </w:rPr>
              <w:t>1.12</w:t>
            </w:r>
          </w:p>
        </w:tc>
        <w:tc>
          <w:tcPr>
            <w:tcW w:w="1638" w:type="dxa"/>
            <w:vAlign w:val="top"/>
          </w:tcPr>
          <w:p w14:paraId="640C7FD9">
            <w:pPr>
              <w:pStyle w:val="31"/>
              <w:keepNext w:val="0"/>
              <w:keepLines w:val="0"/>
              <w:pageBreakBefore w:val="0"/>
              <w:kinsoku/>
              <w:wordWrap/>
              <w:overflowPunct/>
              <w:topLinePunct w:val="0"/>
              <w:bidi w:val="0"/>
              <w:spacing w:before="235" w:line="228" w:lineRule="auto"/>
              <w:ind w:left="612"/>
              <w:rPr>
                <w:highlight w:val="none"/>
              </w:rPr>
            </w:pPr>
            <w:r>
              <w:rPr>
                <w:spacing w:val="4"/>
                <w:highlight w:val="none"/>
              </w:rPr>
              <w:t>偏离</w:t>
            </w:r>
          </w:p>
        </w:tc>
        <w:tc>
          <w:tcPr>
            <w:tcW w:w="6466" w:type="dxa"/>
            <w:vAlign w:val="top"/>
          </w:tcPr>
          <w:p w14:paraId="4BD5E79C">
            <w:pPr>
              <w:pStyle w:val="31"/>
              <w:keepNext w:val="0"/>
              <w:keepLines w:val="0"/>
              <w:pageBreakBefore w:val="0"/>
              <w:kinsoku/>
              <w:wordWrap/>
              <w:overflowPunct/>
              <w:topLinePunct w:val="0"/>
              <w:bidi w:val="0"/>
              <w:spacing w:before="235" w:line="228" w:lineRule="auto"/>
              <w:ind w:left="117"/>
              <w:rPr>
                <w:highlight w:val="none"/>
              </w:rPr>
            </w:pPr>
            <w:r>
              <w:rPr>
                <w:spacing w:val="8"/>
                <w:highlight w:val="none"/>
              </w:rPr>
              <w:t>实质性要求和条件不允许负偏离。</w:t>
            </w:r>
          </w:p>
        </w:tc>
      </w:tr>
      <w:tr w14:paraId="13EEA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56" w:hRule="atLeast"/>
        </w:trPr>
        <w:tc>
          <w:tcPr>
            <w:tcW w:w="971" w:type="dxa"/>
            <w:vAlign w:val="top"/>
          </w:tcPr>
          <w:p w14:paraId="7A798FE5">
            <w:pPr>
              <w:spacing w:line="304" w:lineRule="auto"/>
              <w:rPr>
                <w:rFonts w:ascii="Arial"/>
                <w:sz w:val="21"/>
                <w:highlight w:val="none"/>
              </w:rPr>
            </w:pPr>
          </w:p>
          <w:p w14:paraId="1DA02D27">
            <w:pPr>
              <w:pStyle w:val="31"/>
              <w:spacing w:before="65" w:line="268" w:lineRule="exact"/>
              <w:ind w:left="335" w:leftChars="0"/>
              <w:rPr>
                <w:rFonts w:hint="default" w:eastAsia="宋体"/>
                <w:highlight w:val="none"/>
                <w:lang w:val="en-US" w:eastAsia="zh-CN"/>
              </w:rPr>
            </w:pPr>
            <w:r>
              <w:rPr>
                <w:spacing w:val="1"/>
                <w:position w:val="1"/>
                <w:highlight w:val="none"/>
              </w:rPr>
              <w:t>2.1</w:t>
            </w:r>
          </w:p>
        </w:tc>
        <w:tc>
          <w:tcPr>
            <w:tcW w:w="1638" w:type="dxa"/>
            <w:vAlign w:val="top"/>
          </w:tcPr>
          <w:p w14:paraId="23D607C1">
            <w:pPr>
              <w:pStyle w:val="31"/>
              <w:keepNext w:val="0"/>
              <w:keepLines w:val="0"/>
              <w:pageBreakBefore w:val="0"/>
              <w:kinsoku/>
              <w:wordWrap/>
              <w:overflowPunct/>
              <w:topLinePunct w:val="0"/>
              <w:bidi w:val="0"/>
              <w:spacing w:before="133" w:line="375" w:lineRule="auto"/>
              <w:ind w:left="315" w:right="190" w:hanging="120"/>
              <w:rPr>
                <w:highlight w:val="none"/>
              </w:rPr>
            </w:pPr>
            <w:r>
              <w:rPr>
                <w:spacing w:val="7"/>
                <w:highlight w:val="none"/>
              </w:rPr>
              <w:t>构成招标文件</w:t>
            </w:r>
            <w:r>
              <w:rPr>
                <w:spacing w:val="4"/>
                <w:highlight w:val="none"/>
              </w:rPr>
              <w:t>的其他材料</w:t>
            </w:r>
          </w:p>
        </w:tc>
        <w:tc>
          <w:tcPr>
            <w:tcW w:w="6466" w:type="dxa"/>
            <w:vAlign w:val="top"/>
          </w:tcPr>
          <w:p w14:paraId="4E4859B9">
            <w:pPr>
              <w:keepNext w:val="0"/>
              <w:keepLines w:val="0"/>
              <w:pageBreakBefore w:val="0"/>
              <w:kinsoku/>
              <w:wordWrap/>
              <w:overflowPunct/>
              <w:topLinePunct w:val="0"/>
              <w:bidi w:val="0"/>
              <w:spacing w:line="303" w:lineRule="auto"/>
              <w:rPr>
                <w:rFonts w:ascii="Arial"/>
                <w:sz w:val="21"/>
                <w:highlight w:val="none"/>
              </w:rPr>
            </w:pPr>
          </w:p>
          <w:p w14:paraId="117311EE">
            <w:pPr>
              <w:pStyle w:val="31"/>
              <w:keepNext w:val="0"/>
              <w:keepLines w:val="0"/>
              <w:pageBreakBefore w:val="0"/>
              <w:kinsoku/>
              <w:wordWrap/>
              <w:overflowPunct/>
              <w:topLinePunct w:val="0"/>
              <w:bidi w:val="0"/>
              <w:spacing w:before="66" w:line="228" w:lineRule="auto"/>
              <w:ind w:left="113"/>
              <w:rPr>
                <w:highlight w:val="none"/>
              </w:rPr>
            </w:pPr>
            <w:r>
              <w:rPr>
                <w:spacing w:val="8"/>
                <w:highlight w:val="none"/>
              </w:rPr>
              <w:t>招标文件的补充文件（如有）</w:t>
            </w:r>
          </w:p>
        </w:tc>
      </w:tr>
      <w:tr w14:paraId="47FDA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56" w:hRule="atLeast"/>
        </w:trPr>
        <w:tc>
          <w:tcPr>
            <w:tcW w:w="971" w:type="dxa"/>
            <w:vAlign w:val="top"/>
          </w:tcPr>
          <w:p w14:paraId="5304B981">
            <w:pPr>
              <w:spacing w:line="303" w:lineRule="auto"/>
              <w:rPr>
                <w:rFonts w:ascii="Arial"/>
                <w:sz w:val="21"/>
                <w:highlight w:val="none"/>
              </w:rPr>
            </w:pPr>
          </w:p>
          <w:p w14:paraId="0FB4E3F4">
            <w:pPr>
              <w:pStyle w:val="31"/>
              <w:spacing w:before="65" w:line="268" w:lineRule="exact"/>
              <w:ind w:left="230" w:leftChars="0"/>
              <w:rPr>
                <w:highlight w:val="none"/>
              </w:rPr>
            </w:pPr>
            <w:r>
              <w:rPr>
                <w:spacing w:val="2"/>
                <w:position w:val="1"/>
                <w:highlight w:val="none"/>
              </w:rPr>
              <w:t>2.2.1</w:t>
            </w:r>
          </w:p>
        </w:tc>
        <w:tc>
          <w:tcPr>
            <w:tcW w:w="1638" w:type="dxa"/>
            <w:vAlign w:val="top"/>
          </w:tcPr>
          <w:p w14:paraId="4AEBACAD">
            <w:pPr>
              <w:pStyle w:val="31"/>
              <w:keepNext w:val="0"/>
              <w:keepLines w:val="0"/>
              <w:pageBreakBefore w:val="0"/>
              <w:kinsoku/>
              <w:wordWrap/>
              <w:overflowPunct/>
              <w:topLinePunct w:val="0"/>
              <w:bidi w:val="0"/>
              <w:spacing w:before="135" w:line="374" w:lineRule="auto"/>
              <w:ind w:left="741" w:right="188" w:hanging="546"/>
              <w:rPr>
                <w:highlight w:val="none"/>
              </w:rPr>
            </w:pPr>
            <w:r>
              <w:rPr>
                <w:spacing w:val="8"/>
                <w:highlight w:val="none"/>
              </w:rPr>
              <w:t>投标人提出询</w:t>
            </w:r>
            <w:r>
              <w:rPr>
                <w:highlight w:val="none"/>
              </w:rPr>
              <w:t>问</w:t>
            </w:r>
          </w:p>
        </w:tc>
        <w:tc>
          <w:tcPr>
            <w:tcW w:w="6466" w:type="dxa"/>
            <w:vAlign w:val="top"/>
          </w:tcPr>
          <w:p w14:paraId="7B9244BA">
            <w:pPr>
              <w:pStyle w:val="31"/>
              <w:keepNext w:val="0"/>
              <w:keepLines w:val="0"/>
              <w:pageBreakBefore w:val="0"/>
              <w:kinsoku/>
              <w:wordWrap/>
              <w:overflowPunct/>
              <w:topLinePunct w:val="0"/>
              <w:bidi w:val="0"/>
              <w:spacing w:before="135" w:line="374" w:lineRule="auto"/>
              <w:ind w:left="113" w:right="109" w:hanging="2"/>
              <w:rPr>
                <w:highlight w:val="none"/>
              </w:rPr>
            </w:pPr>
            <w:r>
              <w:rPr>
                <w:spacing w:val="8"/>
                <w:highlight w:val="none"/>
              </w:rPr>
              <w:t>潜在供应商对招标文件内容如有疑问，应在河南省公共资源交易平台</w:t>
            </w:r>
            <w:r>
              <w:rPr>
                <w:spacing w:val="6"/>
                <w:highlight w:val="none"/>
              </w:rPr>
              <w:t>上提出</w:t>
            </w:r>
          </w:p>
        </w:tc>
      </w:tr>
      <w:tr w14:paraId="79F8A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5" w:hRule="atLeast"/>
        </w:trPr>
        <w:tc>
          <w:tcPr>
            <w:tcW w:w="971" w:type="dxa"/>
            <w:vAlign w:val="top"/>
          </w:tcPr>
          <w:p w14:paraId="36A179C8">
            <w:pPr>
              <w:pStyle w:val="31"/>
              <w:spacing w:before="237" w:line="267" w:lineRule="exact"/>
              <w:ind w:left="230" w:leftChars="0"/>
              <w:rPr>
                <w:highlight w:val="green"/>
              </w:rPr>
            </w:pPr>
            <w:r>
              <w:rPr>
                <w:spacing w:val="2"/>
                <w:position w:val="1"/>
                <w:highlight w:val="none"/>
              </w:rPr>
              <w:t>2.2.2</w:t>
            </w:r>
          </w:p>
        </w:tc>
        <w:tc>
          <w:tcPr>
            <w:tcW w:w="1638" w:type="dxa"/>
            <w:vAlign w:val="top"/>
          </w:tcPr>
          <w:p w14:paraId="6D70940B">
            <w:pPr>
              <w:pStyle w:val="31"/>
              <w:keepNext w:val="0"/>
              <w:keepLines w:val="0"/>
              <w:pageBreakBefore w:val="0"/>
              <w:kinsoku/>
              <w:wordWrap/>
              <w:overflowPunct/>
              <w:topLinePunct w:val="0"/>
              <w:bidi w:val="0"/>
              <w:spacing w:before="237" w:line="228" w:lineRule="auto"/>
              <w:ind w:left="195"/>
            </w:pPr>
            <w:r>
              <w:rPr>
                <w:spacing w:val="7"/>
              </w:rPr>
              <w:t>投标截止时间</w:t>
            </w:r>
          </w:p>
        </w:tc>
        <w:tc>
          <w:tcPr>
            <w:tcW w:w="6466" w:type="dxa"/>
            <w:vAlign w:val="top"/>
          </w:tcPr>
          <w:p w14:paraId="5D645C23">
            <w:pPr>
              <w:pStyle w:val="31"/>
              <w:keepNext w:val="0"/>
              <w:keepLines w:val="0"/>
              <w:pageBreakBefore w:val="0"/>
              <w:kinsoku/>
              <w:wordWrap/>
              <w:overflowPunct/>
              <w:topLinePunct w:val="0"/>
              <w:bidi w:val="0"/>
              <w:spacing w:before="236" w:line="228" w:lineRule="auto"/>
              <w:ind w:left="114"/>
            </w:pPr>
            <w:r>
              <w:rPr>
                <w:spacing w:val="8"/>
                <w:highlight w:val="none"/>
              </w:rPr>
              <w:t>2026年</w:t>
            </w:r>
            <w:r>
              <w:rPr>
                <w:rFonts w:hint="eastAsia"/>
                <w:spacing w:val="8"/>
                <w:highlight w:val="none"/>
                <w:lang w:val="en-US" w:eastAsia="zh-CN"/>
              </w:rPr>
              <w:t>05</w:t>
            </w:r>
            <w:r>
              <w:rPr>
                <w:spacing w:val="8"/>
                <w:highlight w:val="none"/>
              </w:rPr>
              <w:t>月</w:t>
            </w:r>
            <w:r>
              <w:rPr>
                <w:rFonts w:hint="eastAsia"/>
                <w:spacing w:val="8"/>
                <w:highlight w:val="none"/>
                <w:lang w:val="en-US" w:eastAsia="zh-CN"/>
              </w:rPr>
              <w:t>07</w:t>
            </w:r>
            <w:r>
              <w:rPr>
                <w:spacing w:val="8"/>
                <w:highlight w:val="none"/>
              </w:rPr>
              <w:t>日09时00分（北京时间）</w:t>
            </w:r>
          </w:p>
        </w:tc>
      </w:tr>
      <w:tr w14:paraId="5DD3E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2" w:hRule="atLeast"/>
        </w:trPr>
        <w:tc>
          <w:tcPr>
            <w:tcW w:w="971" w:type="dxa"/>
            <w:vAlign w:val="top"/>
          </w:tcPr>
          <w:p w14:paraId="48F51600">
            <w:pPr>
              <w:spacing w:line="253" w:lineRule="auto"/>
              <w:rPr>
                <w:rFonts w:ascii="Arial"/>
                <w:sz w:val="21"/>
                <w:highlight w:val="none"/>
              </w:rPr>
            </w:pPr>
          </w:p>
          <w:p w14:paraId="12B55109">
            <w:pPr>
              <w:spacing w:line="253" w:lineRule="auto"/>
              <w:rPr>
                <w:rFonts w:ascii="Arial"/>
                <w:sz w:val="21"/>
                <w:highlight w:val="none"/>
              </w:rPr>
            </w:pPr>
          </w:p>
          <w:p w14:paraId="34FA9FCE">
            <w:pPr>
              <w:spacing w:line="253" w:lineRule="auto"/>
              <w:rPr>
                <w:rFonts w:ascii="Arial"/>
                <w:sz w:val="21"/>
                <w:highlight w:val="none"/>
              </w:rPr>
            </w:pPr>
          </w:p>
          <w:p w14:paraId="0FECCC4D">
            <w:pPr>
              <w:spacing w:line="253" w:lineRule="auto"/>
              <w:rPr>
                <w:rFonts w:ascii="Arial"/>
                <w:sz w:val="21"/>
                <w:highlight w:val="none"/>
              </w:rPr>
            </w:pPr>
          </w:p>
          <w:p w14:paraId="15ED593A">
            <w:pPr>
              <w:pStyle w:val="31"/>
              <w:spacing w:before="65" w:line="267" w:lineRule="exact"/>
              <w:ind w:left="230" w:leftChars="0"/>
              <w:rPr>
                <w:highlight w:val="none"/>
              </w:rPr>
            </w:pPr>
            <w:r>
              <w:rPr>
                <w:spacing w:val="2"/>
                <w:position w:val="1"/>
                <w:highlight w:val="none"/>
              </w:rPr>
              <w:t>2.2.3</w:t>
            </w:r>
          </w:p>
        </w:tc>
        <w:tc>
          <w:tcPr>
            <w:tcW w:w="1638" w:type="dxa"/>
            <w:vAlign w:val="top"/>
          </w:tcPr>
          <w:p w14:paraId="56A6A938">
            <w:pPr>
              <w:keepNext w:val="0"/>
              <w:keepLines w:val="0"/>
              <w:pageBreakBefore w:val="0"/>
              <w:kinsoku/>
              <w:wordWrap/>
              <w:overflowPunct/>
              <w:topLinePunct w:val="0"/>
              <w:bidi w:val="0"/>
              <w:spacing w:line="270" w:lineRule="auto"/>
              <w:rPr>
                <w:rFonts w:ascii="Arial"/>
                <w:sz w:val="21"/>
                <w:highlight w:val="none"/>
              </w:rPr>
            </w:pPr>
          </w:p>
          <w:p w14:paraId="67F26D9A">
            <w:pPr>
              <w:keepNext w:val="0"/>
              <w:keepLines w:val="0"/>
              <w:pageBreakBefore w:val="0"/>
              <w:kinsoku/>
              <w:wordWrap/>
              <w:overflowPunct/>
              <w:topLinePunct w:val="0"/>
              <w:bidi w:val="0"/>
              <w:spacing w:line="271" w:lineRule="auto"/>
              <w:rPr>
                <w:rFonts w:ascii="Arial"/>
                <w:sz w:val="21"/>
                <w:highlight w:val="none"/>
              </w:rPr>
            </w:pPr>
          </w:p>
          <w:p w14:paraId="180FEF5A">
            <w:pPr>
              <w:pStyle w:val="31"/>
              <w:keepNext w:val="0"/>
              <w:keepLines w:val="0"/>
              <w:pageBreakBefore w:val="0"/>
              <w:kinsoku/>
              <w:wordWrap/>
              <w:overflowPunct/>
              <w:topLinePunct w:val="0"/>
              <w:bidi w:val="0"/>
              <w:spacing w:before="65" w:line="228" w:lineRule="auto"/>
              <w:ind w:left="195"/>
              <w:rPr>
                <w:highlight w:val="none"/>
              </w:rPr>
            </w:pPr>
            <w:r>
              <w:rPr>
                <w:spacing w:val="7"/>
                <w:highlight w:val="none"/>
              </w:rPr>
              <w:t>投标人确认收</w:t>
            </w:r>
          </w:p>
          <w:p w14:paraId="24270D54">
            <w:pPr>
              <w:pStyle w:val="31"/>
              <w:keepNext w:val="0"/>
              <w:keepLines w:val="0"/>
              <w:pageBreakBefore w:val="0"/>
              <w:kinsoku/>
              <w:wordWrap/>
              <w:overflowPunct/>
              <w:topLinePunct w:val="0"/>
              <w:bidi w:val="0"/>
              <w:spacing w:before="225" w:line="228" w:lineRule="auto"/>
              <w:ind w:left="198"/>
              <w:rPr>
                <w:highlight w:val="none"/>
              </w:rPr>
            </w:pPr>
            <w:r>
              <w:rPr>
                <w:spacing w:val="7"/>
                <w:highlight w:val="none"/>
              </w:rPr>
              <w:t>到招标文件澄</w:t>
            </w:r>
          </w:p>
          <w:p w14:paraId="7089F8D2">
            <w:pPr>
              <w:pStyle w:val="31"/>
              <w:keepNext w:val="0"/>
              <w:keepLines w:val="0"/>
              <w:pageBreakBefore w:val="0"/>
              <w:kinsoku/>
              <w:wordWrap/>
              <w:overflowPunct/>
              <w:topLinePunct w:val="0"/>
              <w:bidi w:val="0"/>
              <w:spacing w:before="231" w:line="228" w:lineRule="auto"/>
              <w:ind w:left="403"/>
              <w:rPr>
                <w:highlight w:val="none"/>
              </w:rPr>
            </w:pPr>
            <w:r>
              <w:rPr>
                <w:spacing w:val="7"/>
                <w:highlight w:val="none"/>
              </w:rPr>
              <w:t>清的时间</w:t>
            </w:r>
          </w:p>
        </w:tc>
        <w:tc>
          <w:tcPr>
            <w:tcW w:w="6466" w:type="dxa"/>
            <w:vAlign w:val="top"/>
          </w:tcPr>
          <w:p w14:paraId="4E40051F">
            <w:pPr>
              <w:pStyle w:val="31"/>
              <w:keepNext w:val="0"/>
              <w:keepLines w:val="0"/>
              <w:pageBreakBefore w:val="0"/>
              <w:kinsoku/>
              <w:wordWrap/>
              <w:overflowPunct/>
              <w:topLinePunct w:val="0"/>
              <w:bidi w:val="0"/>
              <w:spacing w:before="134" w:line="228" w:lineRule="auto"/>
              <w:ind w:left="111"/>
              <w:rPr>
                <w:highlight w:val="none"/>
              </w:rPr>
            </w:pPr>
            <w:r>
              <w:rPr>
                <w:spacing w:val="7"/>
                <w:highlight w:val="none"/>
              </w:rPr>
              <w:t>在收到相应澄清文件后</w:t>
            </w:r>
            <w:r>
              <w:rPr>
                <w:spacing w:val="7"/>
                <w:highlight w:val="none"/>
                <w:u w:val="single" w:color="auto"/>
              </w:rPr>
              <w:t xml:space="preserve"> 24</w:t>
            </w:r>
            <w:r>
              <w:rPr>
                <w:spacing w:val="28"/>
                <w:highlight w:val="none"/>
                <w:u w:val="single" w:color="auto"/>
              </w:rPr>
              <w:t xml:space="preserve"> </w:t>
            </w:r>
            <w:r>
              <w:rPr>
                <w:spacing w:val="7"/>
                <w:highlight w:val="none"/>
              </w:rPr>
              <w:t>小时内</w:t>
            </w:r>
          </w:p>
          <w:p w14:paraId="5AA6C930">
            <w:pPr>
              <w:pStyle w:val="31"/>
              <w:keepNext w:val="0"/>
              <w:keepLines w:val="0"/>
              <w:pageBreakBefore w:val="0"/>
              <w:kinsoku/>
              <w:wordWrap/>
              <w:overflowPunct/>
              <w:topLinePunct w:val="0"/>
              <w:bidi w:val="0"/>
              <w:spacing w:before="226" w:line="407" w:lineRule="auto"/>
              <w:ind w:left="102" w:right="109" w:firstLine="10"/>
              <w:rPr>
                <w:highlight w:val="none"/>
              </w:rPr>
            </w:pPr>
            <w:r>
              <w:rPr>
                <w:spacing w:val="7"/>
                <w:highlight w:val="none"/>
              </w:rPr>
              <w:t>所有澄清均通过“河南省公共资源交易中心</w:t>
            </w:r>
            <w:r>
              <w:rPr>
                <w:spacing w:val="-70"/>
                <w:highlight w:val="none"/>
              </w:rPr>
              <w:t xml:space="preserve"> </w:t>
            </w:r>
            <w:r>
              <w:rPr>
                <w:spacing w:val="7"/>
                <w:highlight w:val="none"/>
              </w:rPr>
              <w:t>”电子交易平台发布</w:t>
            </w:r>
            <w:r>
              <w:rPr>
                <w:spacing w:val="6"/>
                <w:highlight w:val="none"/>
              </w:rPr>
              <w:t>，一</w:t>
            </w:r>
            <w:r>
              <w:rPr>
                <w:spacing w:val="8"/>
                <w:highlight w:val="none"/>
              </w:rPr>
              <w:t>经发布即视为投标人已收到并确认，请各投标人及时关注本项目通过</w:t>
            </w:r>
            <w:r>
              <w:rPr>
                <w:spacing w:val="7"/>
                <w:highlight w:val="none"/>
              </w:rPr>
              <w:t>“河南省公共资源交易中心</w:t>
            </w:r>
            <w:r>
              <w:rPr>
                <w:spacing w:val="-62"/>
                <w:highlight w:val="none"/>
              </w:rPr>
              <w:t xml:space="preserve"> </w:t>
            </w:r>
            <w:r>
              <w:rPr>
                <w:spacing w:val="7"/>
                <w:highlight w:val="none"/>
              </w:rPr>
              <w:t>”电子交易平台发出的通知，如有遗漏自行负责。</w:t>
            </w:r>
          </w:p>
        </w:tc>
      </w:tr>
      <w:tr w14:paraId="3A0D4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1" w:hRule="atLeast"/>
        </w:trPr>
        <w:tc>
          <w:tcPr>
            <w:tcW w:w="971" w:type="dxa"/>
            <w:vAlign w:val="top"/>
          </w:tcPr>
          <w:p w14:paraId="7ABCDFF9">
            <w:pPr>
              <w:spacing w:line="253" w:lineRule="auto"/>
              <w:rPr>
                <w:rFonts w:ascii="Arial"/>
                <w:sz w:val="21"/>
                <w:highlight w:val="none"/>
              </w:rPr>
            </w:pPr>
          </w:p>
          <w:p w14:paraId="506D1AF8">
            <w:pPr>
              <w:spacing w:line="253" w:lineRule="auto"/>
              <w:rPr>
                <w:rFonts w:ascii="Arial"/>
                <w:sz w:val="21"/>
                <w:highlight w:val="none"/>
              </w:rPr>
            </w:pPr>
          </w:p>
          <w:p w14:paraId="26469AAC">
            <w:pPr>
              <w:spacing w:line="253" w:lineRule="auto"/>
              <w:rPr>
                <w:rFonts w:ascii="Arial"/>
                <w:sz w:val="21"/>
                <w:highlight w:val="none"/>
              </w:rPr>
            </w:pPr>
          </w:p>
          <w:p w14:paraId="170A7DC2">
            <w:pPr>
              <w:spacing w:line="254" w:lineRule="auto"/>
              <w:rPr>
                <w:rFonts w:ascii="Arial"/>
                <w:sz w:val="21"/>
                <w:highlight w:val="none"/>
              </w:rPr>
            </w:pPr>
          </w:p>
          <w:p w14:paraId="4FFE32DE">
            <w:pPr>
              <w:pStyle w:val="31"/>
              <w:spacing w:before="65" w:line="267" w:lineRule="exact"/>
              <w:ind w:left="230" w:leftChars="0"/>
              <w:rPr>
                <w:rFonts w:hint="eastAsia" w:eastAsia="宋体"/>
                <w:highlight w:val="none"/>
                <w:lang w:eastAsia="zh-CN"/>
              </w:rPr>
            </w:pPr>
            <w:r>
              <w:rPr>
                <w:spacing w:val="2"/>
                <w:position w:val="1"/>
                <w:highlight w:val="none"/>
              </w:rPr>
              <w:t>2.3.2</w:t>
            </w:r>
          </w:p>
        </w:tc>
        <w:tc>
          <w:tcPr>
            <w:tcW w:w="1638" w:type="dxa"/>
            <w:vAlign w:val="top"/>
          </w:tcPr>
          <w:p w14:paraId="50B1CBBC">
            <w:pPr>
              <w:keepNext w:val="0"/>
              <w:keepLines w:val="0"/>
              <w:pageBreakBefore w:val="0"/>
              <w:kinsoku/>
              <w:wordWrap/>
              <w:overflowPunct/>
              <w:topLinePunct w:val="0"/>
              <w:bidi w:val="0"/>
              <w:spacing w:line="270" w:lineRule="auto"/>
              <w:rPr>
                <w:rFonts w:ascii="Arial"/>
                <w:sz w:val="21"/>
                <w:highlight w:val="none"/>
              </w:rPr>
            </w:pPr>
          </w:p>
          <w:p w14:paraId="0771160C">
            <w:pPr>
              <w:keepNext w:val="0"/>
              <w:keepLines w:val="0"/>
              <w:pageBreakBefore w:val="0"/>
              <w:kinsoku/>
              <w:wordWrap/>
              <w:overflowPunct/>
              <w:topLinePunct w:val="0"/>
              <w:bidi w:val="0"/>
              <w:spacing w:line="270" w:lineRule="auto"/>
              <w:rPr>
                <w:rFonts w:ascii="Arial"/>
                <w:sz w:val="21"/>
                <w:highlight w:val="none"/>
              </w:rPr>
            </w:pPr>
          </w:p>
          <w:p w14:paraId="44D26FBB">
            <w:pPr>
              <w:pStyle w:val="31"/>
              <w:keepNext w:val="0"/>
              <w:keepLines w:val="0"/>
              <w:pageBreakBefore w:val="0"/>
              <w:kinsoku/>
              <w:wordWrap/>
              <w:overflowPunct/>
              <w:topLinePunct w:val="0"/>
              <w:bidi w:val="0"/>
              <w:spacing w:before="65" w:line="228" w:lineRule="auto"/>
              <w:ind w:left="195"/>
              <w:rPr>
                <w:highlight w:val="none"/>
              </w:rPr>
            </w:pPr>
            <w:r>
              <w:rPr>
                <w:spacing w:val="7"/>
                <w:highlight w:val="none"/>
              </w:rPr>
              <w:t>投标人确认收</w:t>
            </w:r>
          </w:p>
          <w:p w14:paraId="71C75C80">
            <w:pPr>
              <w:pStyle w:val="31"/>
              <w:keepNext w:val="0"/>
              <w:keepLines w:val="0"/>
              <w:pageBreakBefore w:val="0"/>
              <w:kinsoku/>
              <w:wordWrap/>
              <w:overflowPunct/>
              <w:topLinePunct w:val="0"/>
              <w:bidi w:val="0"/>
              <w:spacing w:before="228" w:line="228" w:lineRule="auto"/>
              <w:ind w:left="198"/>
              <w:rPr>
                <w:highlight w:val="none"/>
              </w:rPr>
            </w:pPr>
            <w:r>
              <w:rPr>
                <w:spacing w:val="7"/>
                <w:highlight w:val="none"/>
              </w:rPr>
              <w:t>到招标文件修</w:t>
            </w:r>
          </w:p>
          <w:p w14:paraId="73A7AD67">
            <w:pPr>
              <w:pStyle w:val="31"/>
              <w:keepNext w:val="0"/>
              <w:keepLines w:val="0"/>
              <w:pageBreakBefore w:val="0"/>
              <w:kinsoku/>
              <w:wordWrap/>
              <w:overflowPunct/>
              <w:topLinePunct w:val="0"/>
              <w:bidi w:val="0"/>
              <w:spacing w:before="228" w:line="228" w:lineRule="auto"/>
              <w:ind w:left="411"/>
              <w:rPr>
                <w:highlight w:val="none"/>
              </w:rPr>
            </w:pPr>
            <w:r>
              <w:rPr>
                <w:spacing w:val="5"/>
                <w:highlight w:val="none"/>
              </w:rPr>
              <w:t>改的时间</w:t>
            </w:r>
          </w:p>
        </w:tc>
        <w:tc>
          <w:tcPr>
            <w:tcW w:w="6466" w:type="dxa"/>
            <w:vAlign w:val="top"/>
          </w:tcPr>
          <w:p w14:paraId="6BDFD90E">
            <w:pPr>
              <w:pStyle w:val="31"/>
              <w:keepNext w:val="0"/>
              <w:keepLines w:val="0"/>
              <w:pageBreakBefore w:val="0"/>
              <w:kinsoku/>
              <w:wordWrap/>
              <w:overflowPunct/>
              <w:topLinePunct w:val="0"/>
              <w:bidi w:val="0"/>
              <w:spacing w:before="133" w:line="228" w:lineRule="auto"/>
              <w:ind w:left="111"/>
              <w:rPr>
                <w:highlight w:val="none"/>
              </w:rPr>
            </w:pPr>
            <w:r>
              <w:rPr>
                <w:spacing w:val="7"/>
                <w:highlight w:val="none"/>
              </w:rPr>
              <w:t>在收到相应修改文件后</w:t>
            </w:r>
            <w:r>
              <w:rPr>
                <w:spacing w:val="7"/>
                <w:highlight w:val="none"/>
                <w:u w:val="single" w:color="auto"/>
              </w:rPr>
              <w:t xml:space="preserve"> 24</w:t>
            </w:r>
            <w:r>
              <w:rPr>
                <w:spacing w:val="28"/>
                <w:highlight w:val="none"/>
                <w:u w:val="single" w:color="auto"/>
              </w:rPr>
              <w:t xml:space="preserve"> </w:t>
            </w:r>
            <w:r>
              <w:rPr>
                <w:spacing w:val="7"/>
                <w:highlight w:val="none"/>
              </w:rPr>
              <w:t>小时内</w:t>
            </w:r>
          </w:p>
          <w:p w14:paraId="0D020428">
            <w:pPr>
              <w:pStyle w:val="31"/>
              <w:keepNext w:val="0"/>
              <w:keepLines w:val="0"/>
              <w:pageBreakBefore w:val="0"/>
              <w:kinsoku/>
              <w:wordWrap/>
              <w:overflowPunct/>
              <w:topLinePunct w:val="0"/>
              <w:bidi w:val="0"/>
              <w:spacing w:before="226" w:line="407" w:lineRule="auto"/>
              <w:ind w:left="102" w:right="109" w:firstLine="10"/>
              <w:rPr>
                <w:highlight w:val="none"/>
              </w:rPr>
            </w:pPr>
            <w:r>
              <w:rPr>
                <w:spacing w:val="7"/>
                <w:highlight w:val="none"/>
              </w:rPr>
              <w:t>所有澄清均通过“河南省公共资源交易中心</w:t>
            </w:r>
            <w:r>
              <w:rPr>
                <w:spacing w:val="-70"/>
                <w:highlight w:val="none"/>
              </w:rPr>
              <w:t xml:space="preserve"> </w:t>
            </w:r>
            <w:r>
              <w:rPr>
                <w:spacing w:val="7"/>
                <w:highlight w:val="none"/>
              </w:rPr>
              <w:t>”电子交易平台发布</w:t>
            </w:r>
            <w:r>
              <w:rPr>
                <w:spacing w:val="6"/>
                <w:highlight w:val="none"/>
              </w:rPr>
              <w:t>，一</w:t>
            </w:r>
            <w:r>
              <w:rPr>
                <w:spacing w:val="8"/>
                <w:highlight w:val="none"/>
              </w:rPr>
              <w:t>经发布即视为投标人已收到并确认，请各投标人及时关注本项目通过</w:t>
            </w:r>
            <w:r>
              <w:rPr>
                <w:spacing w:val="7"/>
                <w:highlight w:val="none"/>
              </w:rPr>
              <w:t>“河南省公共资源交易中心</w:t>
            </w:r>
            <w:r>
              <w:rPr>
                <w:spacing w:val="-62"/>
                <w:highlight w:val="none"/>
              </w:rPr>
              <w:t xml:space="preserve"> </w:t>
            </w:r>
            <w:r>
              <w:rPr>
                <w:spacing w:val="7"/>
                <w:highlight w:val="none"/>
              </w:rPr>
              <w:t>”电子交易平台发出的通知，如有遗漏自行负责。</w:t>
            </w:r>
          </w:p>
        </w:tc>
      </w:tr>
      <w:tr w14:paraId="525B3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55" w:hRule="atLeast"/>
        </w:trPr>
        <w:tc>
          <w:tcPr>
            <w:tcW w:w="971" w:type="dxa"/>
            <w:vAlign w:val="top"/>
          </w:tcPr>
          <w:p w14:paraId="258BCE0F">
            <w:pPr>
              <w:spacing w:line="306" w:lineRule="auto"/>
              <w:rPr>
                <w:rFonts w:ascii="Arial"/>
                <w:sz w:val="21"/>
                <w:highlight w:val="none"/>
              </w:rPr>
            </w:pPr>
          </w:p>
          <w:p w14:paraId="03398370">
            <w:pPr>
              <w:pStyle w:val="31"/>
              <w:spacing w:before="65" w:line="268" w:lineRule="exact"/>
              <w:ind w:left="231" w:leftChars="0"/>
              <w:rPr>
                <w:highlight w:val="none"/>
              </w:rPr>
            </w:pPr>
            <w:r>
              <w:rPr>
                <w:spacing w:val="2"/>
                <w:position w:val="1"/>
                <w:highlight w:val="none"/>
              </w:rPr>
              <w:t>3.1.1</w:t>
            </w:r>
          </w:p>
        </w:tc>
        <w:tc>
          <w:tcPr>
            <w:tcW w:w="1638" w:type="dxa"/>
            <w:vAlign w:val="top"/>
          </w:tcPr>
          <w:p w14:paraId="165489BA">
            <w:pPr>
              <w:pStyle w:val="31"/>
              <w:keepNext w:val="0"/>
              <w:keepLines w:val="0"/>
              <w:pageBreakBefore w:val="0"/>
              <w:kinsoku/>
              <w:wordWrap/>
              <w:overflowPunct/>
              <w:topLinePunct w:val="0"/>
              <w:bidi w:val="0"/>
              <w:spacing w:before="136" w:line="373" w:lineRule="auto"/>
              <w:ind w:left="315" w:right="190" w:hanging="120"/>
              <w:rPr>
                <w:highlight w:val="none"/>
              </w:rPr>
            </w:pPr>
            <w:r>
              <w:rPr>
                <w:spacing w:val="7"/>
                <w:highlight w:val="none"/>
              </w:rPr>
              <w:t>构成投标文件</w:t>
            </w:r>
            <w:r>
              <w:rPr>
                <w:spacing w:val="4"/>
                <w:highlight w:val="none"/>
              </w:rPr>
              <w:t>的其他材料</w:t>
            </w:r>
          </w:p>
        </w:tc>
        <w:tc>
          <w:tcPr>
            <w:tcW w:w="6466" w:type="dxa"/>
            <w:vAlign w:val="top"/>
          </w:tcPr>
          <w:p w14:paraId="265498D8">
            <w:pPr>
              <w:pStyle w:val="31"/>
              <w:keepNext w:val="0"/>
              <w:keepLines w:val="0"/>
              <w:pageBreakBefore w:val="0"/>
              <w:kinsoku/>
              <w:wordWrap/>
              <w:overflowPunct/>
              <w:topLinePunct w:val="0"/>
              <w:bidi w:val="0"/>
              <w:spacing w:before="136" w:line="373" w:lineRule="auto"/>
              <w:ind w:left="112" w:right="268"/>
              <w:rPr>
                <w:highlight w:val="none"/>
              </w:rPr>
            </w:pPr>
            <w:r>
              <w:rPr>
                <w:spacing w:val="9"/>
                <w:highlight w:val="none"/>
              </w:rPr>
              <w:t>招标文件中要求提交的其他资料以及投标人认为有利于其投标的其</w:t>
            </w:r>
            <w:r>
              <w:rPr>
                <w:spacing w:val="5"/>
                <w:highlight w:val="none"/>
              </w:rPr>
              <w:t>他资料。</w:t>
            </w:r>
          </w:p>
        </w:tc>
      </w:tr>
      <w:tr w14:paraId="6C368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56" w:hRule="atLeast"/>
        </w:trPr>
        <w:tc>
          <w:tcPr>
            <w:tcW w:w="971" w:type="dxa"/>
            <w:vAlign w:val="top"/>
          </w:tcPr>
          <w:p w14:paraId="62D05AB3">
            <w:pPr>
              <w:spacing w:line="306" w:lineRule="auto"/>
              <w:rPr>
                <w:rFonts w:ascii="Arial"/>
                <w:sz w:val="21"/>
                <w:highlight w:val="none"/>
              </w:rPr>
            </w:pPr>
          </w:p>
          <w:p w14:paraId="6AE252F7">
            <w:pPr>
              <w:pStyle w:val="31"/>
              <w:spacing w:before="65" w:line="268" w:lineRule="exact"/>
              <w:ind w:left="231" w:leftChars="0"/>
              <w:rPr>
                <w:rFonts w:hint="eastAsia" w:eastAsia="宋体"/>
                <w:highlight w:val="none"/>
                <w:lang w:eastAsia="zh-CN"/>
              </w:rPr>
            </w:pPr>
            <w:r>
              <w:rPr>
                <w:spacing w:val="2"/>
                <w:position w:val="1"/>
                <w:highlight w:val="none"/>
              </w:rPr>
              <w:t>3.2.2</w:t>
            </w:r>
          </w:p>
        </w:tc>
        <w:tc>
          <w:tcPr>
            <w:tcW w:w="1638" w:type="dxa"/>
            <w:vAlign w:val="top"/>
          </w:tcPr>
          <w:p w14:paraId="472FB7EF">
            <w:pPr>
              <w:keepNext w:val="0"/>
              <w:keepLines w:val="0"/>
              <w:pageBreakBefore w:val="0"/>
              <w:kinsoku/>
              <w:wordWrap/>
              <w:overflowPunct/>
              <w:topLinePunct w:val="0"/>
              <w:bidi w:val="0"/>
              <w:spacing w:line="306" w:lineRule="auto"/>
              <w:rPr>
                <w:rFonts w:ascii="Arial"/>
                <w:sz w:val="21"/>
                <w:highlight w:val="none"/>
              </w:rPr>
            </w:pPr>
          </w:p>
          <w:p w14:paraId="02FB8768">
            <w:pPr>
              <w:pStyle w:val="31"/>
              <w:keepNext w:val="0"/>
              <w:keepLines w:val="0"/>
              <w:pageBreakBefore w:val="0"/>
              <w:kinsoku/>
              <w:wordWrap/>
              <w:overflowPunct/>
              <w:topLinePunct w:val="0"/>
              <w:bidi w:val="0"/>
              <w:spacing w:before="65" w:line="226" w:lineRule="auto"/>
              <w:ind w:left="406"/>
              <w:rPr>
                <w:highlight w:val="none"/>
              </w:rPr>
            </w:pPr>
            <w:r>
              <w:rPr>
                <w:spacing w:val="6"/>
                <w:highlight w:val="none"/>
              </w:rPr>
              <w:t>投标报价</w:t>
            </w:r>
          </w:p>
        </w:tc>
        <w:tc>
          <w:tcPr>
            <w:tcW w:w="6466" w:type="dxa"/>
            <w:vAlign w:val="top"/>
          </w:tcPr>
          <w:p w14:paraId="3F99FF7D">
            <w:pPr>
              <w:pStyle w:val="31"/>
              <w:keepNext w:val="0"/>
              <w:keepLines w:val="0"/>
              <w:pageBreakBefore w:val="0"/>
              <w:kinsoku/>
              <w:wordWrap/>
              <w:overflowPunct/>
              <w:topLinePunct w:val="0"/>
              <w:bidi w:val="0"/>
              <w:spacing w:before="137" w:line="373" w:lineRule="auto"/>
              <w:ind w:left="113" w:right="109" w:hanging="1"/>
              <w:rPr>
                <w:highlight w:val="none"/>
              </w:rPr>
            </w:pPr>
            <w:r>
              <w:rPr>
                <w:spacing w:val="8"/>
                <w:highlight w:val="none"/>
              </w:rPr>
              <w:t>包括完成该项目的人员工资、管理费、其他成本、利润、税金</w:t>
            </w:r>
            <w:r>
              <w:rPr>
                <w:spacing w:val="7"/>
                <w:highlight w:val="none"/>
              </w:rPr>
              <w:t>等所有伴随的其他费用。</w:t>
            </w:r>
          </w:p>
        </w:tc>
      </w:tr>
      <w:tr w14:paraId="722DE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5" w:hRule="atLeast"/>
        </w:trPr>
        <w:tc>
          <w:tcPr>
            <w:tcW w:w="971" w:type="dxa"/>
            <w:vAlign w:val="top"/>
          </w:tcPr>
          <w:p w14:paraId="0005A6FE">
            <w:pPr>
              <w:pStyle w:val="31"/>
              <w:spacing w:before="240" w:line="268" w:lineRule="exact"/>
              <w:ind w:left="231" w:leftChars="0"/>
              <w:rPr>
                <w:highlight w:val="none"/>
              </w:rPr>
            </w:pPr>
            <w:r>
              <w:rPr>
                <w:spacing w:val="2"/>
                <w:position w:val="1"/>
                <w:highlight w:val="none"/>
              </w:rPr>
              <w:t>3.3.1</w:t>
            </w:r>
          </w:p>
        </w:tc>
        <w:tc>
          <w:tcPr>
            <w:tcW w:w="1638" w:type="dxa"/>
            <w:vAlign w:val="top"/>
          </w:tcPr>
          <w:p w14:paraId="48B2F724">
            <w:pPr>
              <w:pStyle w:val="31"/>
              <w:keepNext w:val="0"/>
              <w:keepLines w:val="0"/>
              <w:pageBreakBefore w:val="0"/>
              <w:kinsoku/>
              <w:wordWrap/>
              <w:overflowPunct/>
              <w:topLinePunct w:val="0"/>
              <w:bidi w:val="0"/>
              <w:spacing w:before="240" w:line="228" w:lineRule="auto"/>
              <w:ind w:left="300"/>
              <w:rPr>
                <w:highlight w:val="none"/>
              </w:rPr>
            </w:pPr>
            <w:r>
              <w:rPr>
                <w:spacing w:val="7"/>
                <w:highlight w:val="none"/>
              </w:rPr>
              <w:t>投标有效期</w:t>
            </w:r>
          </w:p>
        </w:tc>
        <w:tc>
          <w:tcPr>
            <w:tcW w:w="6466" w:type="dxa"/>
            <w:vAlign w:val="top"/>
          </w:tcPr>
          <w:p w14:paraId="6852113B">
            <w:pPr>
              <w:pStyle w:val="31"/>
              <w:keepNext w:val="0"/>
              <w:keepLines w:val="0"/>
              <w:pageBreakBefore w:val="0"/>
              <w:kinsoku/>
              <w:wordWrap/>
              <w:overflowPunct/>
              <w:topLinePunct w:val="0"/>
              <w:bidi w:val="0"/>
              <w:spacing w:before="240" w:line="228" w:lineRule="auto"/>
              <w:ind w:left="114"/>
              <w:rPr>
                <w:highlight w:val="none"/>
              </w:rPr>
            </w:pPr>
            <w:r>
              <w:rPr>
                <w:spacing w:val="8"/>
                <w:highlight w:val="none"/>
              </w:rPr>
              <w:t>投标截止时间后</w:t>
            </w:r>
            <w:r>
              <w:rPr>
                <w:spacing w:val="8"/>
                <w:highlight w:val="none"/>
                <w:u w:val="single" w:color="auto"/>
              </w:rPr>
              <w:t>60</w:t>
            </w:r>
            <w:r>
              <w:rPr>
                <w:spacing w:val="-46"/>
                <w:highlight w:val="none"/>
                <w:u w:val="single" w:color="auto"/>
              </w:rPr>
              <w:t xml:space="preserve"> </w:t>
            </w:r>
            <w:r>
              <w:rPr>
                <w:spacing w:val="-56"/>
                <w:highlight w:val="none"/>
              </w:rPr>
              <w:t xml:space="preserve"> </w:t>
            </w:r>
            <w:r>
              <w:rPr>
                <w:spacing w:val="8"/>
                <w:highlight w:val="none"/>
              </w:rPr>
              <w:t>日历天。</w:t>
            </w:r>
          </w:p>
        </w:tc>
      </w:tr>
      <w:tr w14:paraId="69905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971" w:type="dxa"/>
            <w:vAlign w:val="top"/>
          </w:tcPr>
          <w:p w14:paraId="3A7D1F1F">
            <w:pPr>
              <w:spacing w:line="306" w:lineRule="auto"/>
              <w:rPr>
                <w:rFonts w:ascii="Arial"/>
                <w:sz w:val="21"/>
                <w:highlight w:val="none"/>
              </w:rPr>
            </w:pPr>
          </w:p>
          <w:p w14:paraId="30FEF19F">
            <w:pPr>
              <w:pStyle w:val="31"/>
              <w:spacing w:before="65" w:line="268" w:lineRule="exact"/>
              <w:ind w:left="231" w:leftChars="0"/>
              <w:rPr>
                <w:highlight w:val="none"/>
              </w:rPr>
            </w:pPr>
            <w:r>
              <w:rPr>
                <w:spacing w:val="2"/>
                <w:position w:val="1"/>
                <w:highlight w:val="none"/>
              </w:rPr>
              <w:t>3.4.1</w:t>
            </w:r>
          </w:p>
        </w:tc>
        <w:tc>
          <w:tcPr>
            <w:tcW w:w="1638" w:type="dxa"/>
            <w:vAlign w:val="top"/>
          </w:tcPr>
          <w:p w14:paraId="3E460227">
            <w:pPr>
              <w:keepNext w:val="0"/>
              <w:keepLines w:val="0"/>
              <w:pageBreakBefore w:val="0"/>
              <w:kinsoku/>
              <w:wordWrap/>
              <w:overflowPunct/>
              <w:topLinePunct w:val="0"/>
              <w:bidi w:val="0"/>
              <w:spacing w:line="307" w:lineRule="auto"/>
              <w:rPr>
                <w:rFonts w:ascii="Arial"/>
                <w:sz w:val="21"/>
                <w:highlight w:val="none"/>
              </w:rPr>
            </w:pPr>
          </w:p>
          <w:p w14:paraId="7C495388">
            <w:pPr>
              <w:pStyle w:val="31"/>
              <w:keepNext w:val="0"/>
              <w:keepLines w:val="0"/>
              <w:pageBreakBefore w:val="0"/>
              <w:kinsoku/>
              <w:wordWrap/>
              <w:overflowPunct/>
              <w:topLinePunct w:val="0"/>
              <w:bidi w:val="0"/>
              <w:spacing w:before="65" w:line="228" w:lineRule="auto"/>
              <w:ind w:left="300"/>
              <w:rPr>
                <w:highlight w:val="none"/>
              </w:rPr>
            </w:pPr>
            <w:r>
              <w:rPr>
                <w:spacing w:val="7"/>
                <w:highlight w:val="none"/>
              </w:rPr>
              <w:t>投标保证金</w:t>
            </w:r>
          </w:p>
        </w:tc>
        <w:tc>
          <w:tcPr>
            <w:tcW w:w="6466" w:type="dxa"/>
            <w:vAlign w:val="top"/>
          </w:tcPr>
          <w:p w14:paraId="54F629BD">
            <w:pPr>
              <w:pStyle w:val="31"/>
              <w:keepNext w:val="0"/>
              <w:keepLines w:val="0"/>
              <w:pageBreakBefore w:val="0"/>
              <w:kinsoku/>
              <w:wordWrap/>
              <w:overflowPunct/>
              <w:topLinePunct w:val="0"/>
              <w:bidi w:val="0"/>
              <w:spacing w:before="139" w:line="372" w:lineRule="auto"/>
              <w:ind w:left="114" w:right="109" w:hanging="2"/>
              <w:rPr>
                <w:highlight w:val="none"/>
              </w:rPr>
            </w:pPr>
            <w:r>
              <w:rPr>
                <w:spacing w:val="8"/>
                <w:highlight w:val="none"/>
              </w:rPr>
              <w:t>根据豫财购{2019}4</w:t>
            </w:r>
            <w:r>
              <w:rPr>
                <w:spacing w:val="-26"/>
                <w:highlight w:val="none"/>
              </w:rPr>
              <w:t xml:space="preserve"> </w:t>
            </w:r>
            <w:r>
              <w:rPr>
                <w:spacing w:val="8"/>
                <w:highlight w:val="none"/>
              </w:rPr>
              <w:t>号文规定，本项目不再收取投标保证金，需提供</w:t>
            </w:r>
            <w:r>
              <w:rPr>
                <w:spacing w:val="6"/>
                <w:highlight w:val="none"/>
              </w:rPr>
              <w:t>投标承诺函。</w:t>
            </w:r>
          </w:p>
        </w:tc>
      </w:tr>
      <w:tr w14:paraId="6FE9F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971" w:type="dxa"/>
            <w:vAlign w:val="top"/>
          </w:tcPr>
          <w:p w14:paraId="17BD702C">
            <w:pPr>
              <w:spacing w:line="309" w:lineRule="auto"/>
              <w:rPr>
                <w:rFonts w:ascii="Arial"/>
                <w:sz w:val="21"/>
                <w:highlight w:val="none"/>
              </w:rPr>
            </w:pPr>
          </w:p>
          <w:p w14:paraId="19D6E3E2">
            <w:pPr>
              <w:pStyle w:val="31"/>
              <w:spacing w:before="65" w:line="267" w:lineRule="exact"/>
              <w:ind w:left="337" w:leftChars="0"/>
              <w:rPr>
                <w:rFonts w:hint="default" w:eastAsia="宋体"/>
                <w:highlight w:val="none"/>
                <w:lang w:val="en-US" w:eastAsia="zh-CN"/>
              </w:rPr>
            </w:pPr>
            <w:r>
              <w:rPr>
                <w:spacing w:val="1"/>
                <w:position w:val="1"/>
                <w:highlight w:val="none"/>
              </w:rPr>
              <w:t>3.6</w:t>
            </w:r>
          </w:p>
        </w:tc>
        <w:tc>
          <w:tcPr>
            <w:tcW w:w="1638" w:type="dxa"/>
            <w:vAlign w:val="top"/>
          </w:tcPr>
          <w:p w14:paraId="786ED498">
            <w:pPr>
              <w:pStyle w:val="31"/>
              <w:keepNext w:val="0"/>
              <w:keepLines w:val="0"/>
              <w:pageBreakBefore w:val="0"/>
              <w:kinsoku/>
              <w:wordWrap/>
              <w:overflowPunct/>
              <w:topLinePunct w:val="0"/>
              <w:bidi w:val="0"/>
              <w:spacing w:before="137" w:line="374" w:lineRule="auto"/>
              <w:ind w:left="195" w:right="190"/>
              <w:rPr>
                <w:highlight w:val="none"/>
              </w:rPr>
            </w:pPr>
            <w:r>
              <w:rPr>
                <w:spacing w:val="7"/>
                <w:highlight w:val="none"/>
              </w:rPr>
              <w:t>是否允许递交备选投标方案</w:t>
            </w:r>
          </w:p>
        </w:tc>
        <w:tc>
          <w:tcPr>
            <w:tcW w:w="6466" w:type="dxa"/>
            <w:vAlign w:val="top"/>
          </w:tcPr>
          <w:p w14:paraId="679CBE7E">
            <w:pPr>
              <w:keepNext w:val="0"/>
              <w:keepLines w:val="0"/>
              <w:pageBreakBefore w:val="0"/>
              <w:kinsoku/>
              <w:wordWrap/>
              <w:overflowPunct/>
              <w:topLinePunct w:val="0"/>
              <w:bidi w:val="0"/>
              <w:spacing w:line="308" w:lineRule="auto"/>
              <w:rPr>
                <w:rFonts w:ascii="Arial"/>
                <w:sz w:val="21"/>
                <w:highlight w:val="none"/>
              </w:rPr>
            </w:pPr>
          </w:p>
          <w:p w14:paraId="6A38E086">
            <w:pPr>
              <w:pStyle w:val="31"/>
              <w:keepNext w:val="0"/>
              <w:keepLines w:val="0"/>
              <w:pageBreakBefore w:val="0"/>
              <w:kinsoku/>
              <w:wordWrap/>
              <w:overflowPunct/>
              <w:topLinePunct w:val="0"/>
              <w:bidi w:val="0"/>
              <w:spacing w:before="65" w:line="228" w:lineRule="auto"/>
              <w:ind w:left="115"/>
              <w:rPr>
                <w:highlight w:val="none"/>
              </w:rPr>
            </w:pPr>
            <w:r>
              <w:rPr>
                <w:spacing w:val="5"/>
                <w:highlight w:val="none"/>
              </w:rPr>
              <w:t>不允许</w:t>
            </w:r>
          </w:p>
        </w:tc>
      </w:tr>
    </w:tbl>
    <w:p w14:paraId="0D022D54">
      <w:pPr>
        <w:pStyle w:val="4"/>
        <w:keepNext w:val="0"/>
        <w:keepLines w:val="0"/>
        <w:pageBreakBefore w:val="0"/>
        <w:kinsoku/>
        <w:wordWrap/>
        <w:overflowPunct/>
        <w:topLinePunct w:val="0"/>
        <w:bidi w:val="0"/>
      </w:pPr>
    </w:p>
    <w:p w14:paraId="62608CAC">
      <w:pPr>
        <w:keepNext w:val="0"/>
        <w:keepLines w:val="0"/>
        <w:pageBreakBefore w:val="0"/>
        <w:kinsoku/>
        <w:wordWrap/>
        <w:overflowPunct/>
        <w:topLinePunct w:val="0"/>
        <w:bidi w:val="0"/>
        <w:spacing w:line="42" w:lineRule="exact"/>
        <w:rPr>
          <w:rFonts w:hint="eastAsia" w:eastAsia="宋体"/>
          <w:lang w:eastAsia="zh-CN"/>
        </w:rPr>
      </w:pPr>
      <w:r>
        <w:rPr>
          <w:rFonts w:hint="eastAsia" w:eastAsia="宋体"/>
          <w:lang w:eastAsia="zh-CN"/>
        </w:rPr>
        <w:br w:type="page"/>
      </w:r>
    </w:p>
    <w:tbl>
      <w:tblPr>
        <w:tblStyle w:val="30"/>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638"/>
        <w:gridCol w:w="6466"/>
      </w:tblGrid>
      <w:tr w14:paraId="430CD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2" w:hRule="atLeast"/>
        </w:trPr>
        <w:tc>
          <w:tcPr>
            <w:tcW w:w="971" w:type="dxa"/>
            <w:vAlign w:val="top"/>
          </w:tcPr>
          <w:p w14:paraId="368F15F8">
            <w:pPr>
              <w:spacing w:line="250" w:lineRule="auto"/>
              <w:rPr>
                <w:rFonts w:ascii="Arial"/>
                <w:sz w:val="21"/>
                <w:highlight w:val="none"/>
              </w:rPr>
            </w:pPr>
          </w:p>
          <w:p w14:paraId="5EF9A195">
            <w:pPr>
              <w:spacing w:line="250" w:lineRule="auto"/>
              <w:rPr>
                <w:rFonts w:ascii="Arial"/>
                <w:sz w:val="21"/>
                <w:highlight w:val="none"/>
              </w:rPr>
            </w:pPr>
          </w:p>
          <w:p w14:paraId="419D3954">
            <w:pPr>
              <w:spacing w:line="250" w:lineRule="auto"/>
              <w:rPr>
                <w:rFonts w:ascii="Arial"/>
                <w:sz w:val="21"/>
                <w:highlight w:val="none"/>
              </w:rPr>
            </w:pPr>
          </w:p>
          <w:p w14:paraId="232E354D">
            <w:pPr>
              <w:spacing w:line="251" w:lineRule="auto"/>
              <w:rPr>
                <w:rFonts w:ascii="Arial"/>
                <w:sz w:val="21"/>
                <w:highlight w:val="none"/>
              </w:rPr>
            </w:pPr>
          </w:p>
          <w:p w14:paraId="6C87B93D">
            <w:pPr>
              <w:spacing w:line="251" w:lineRule="auto"/>
              <w:rPr>
                <w:rFonts w:ascii="Arial"/>
                <w:sz w:val="21"/>
                <w:highlight w:val="none"/>
              </w:rPr>
            </w:pPr>
          </w:p>
          <w:p w14:paraId="4023CE30">
            <w:pPr>
              <w:pStyle w:val="31"/>
              <w:spacing w:before="65" w:line="268" w:lineRule="exact"/>
              <w:ind w:left="231" w:leftChars="0"/>
              <w:rPr>
                <w:rFonts w:hint="default"/>
                <w:highlight w:val="none"/>
                <w:lang w:val="en-US"/>
              </w:rPr>
            </w:pPr>
            <w:r>
              <w:rPr>
                <w:spacing w:val="2"/>
                <w:position w:val="1"/>
                <w:highlight w:val="none"/>
              </w:rPr>
              <w:t>3.7.3</w:t>
            </w:r>
          </w:p>
        </w:tc>
        <w:tc>
          <w:tcPr>
            <w:tcW w:w="1638" w:type="dxa"/>
            <w:vAlign w:val="top"/>
          </w:tcPr>
          <w:p w14:paraId="058DB8FB">
            <w:pPr>
              <w:keepNext w:val="0"/>
              <w:keepLines w:val="0"/>
              <w:pageBreakBefore w:val="0"/>
              <w:kinsoku/>
              <w:wordWrap/>
              <w:overflowPunct/>
              <w:topLinePunct w:val="0"/>
              <w:bidi w:val="0"/>
              <w:spacing w:line="255" w:lineRule="auto"/>
              <w:rPr>
                <w:rFonts w:ascii="Arial"/>
                <w:sz w:val="21"/>
                <w:highlight w:val="none"/>
              </w:rPr>
            </w:pPr>
          </w:p>
          <w:p w14:paraId="609F7D75">
            <w:pPr>
              <w:keepNext w:val="0"/>
              <w:keepLines w:val="0"/>
              <w:pageBreakBefore w:val="0"/>
              <w:kinsoku/>
              <w:wordWrap/>
              <w:overflowPunct/>
              <w:topLinePunct w:val="0"/>
              <w:bidi w:val="0"/>
              <w:spacing w:line="255" w:lineRule="auto"/>
              <w:rPr>
                <w:rFonts w:ascii="Arial"/>
                <w:sz w:val="21"/>
                <w:highlight w:val="none"/>
              </w:rPr>
            </w:pPr>
          </w:p>
          <w:p w14:paraId="3B14784E">
            <w:pPr>
              <w:keepNext w:val="0"/>
              <w:keepLines w:val="0"/>
              <w:pageBreakBefore w:val="0"/>
              <w:kinsoku/>
              <w:wordWrap/>
              <w:overflowPunct/>
              <w:topLinePunct w:val="0"/>
              <w:bidi w:val="0"/>
              <w:spacing w:line="255" w:lineRule="auto"/>
              <w:rPr>
                <w:rFonts w:ascii="Arial"/>
                <w:sz w:val="21"/>
                <w:highlight w:val="none"/>
              </w:rPr>
            </w:pPr>
          </w:p>
          <w:p w14:paraId="1BFF3604">
            <w:pPr>
              <w:keepNext w:val="0"/>
              <w:keepLines w:val="0"/>
              <w:pageBreakBefore w:val="0"/>
              <w:kinsoku/>
              <w:wordWrap/>
              <w:overflowPunct/>
              <w:topLinePunct w:val="0"/>
              <w:bidi w:val="0"/>
              <w:spacing w:line="255" w:lineRule="auto"/>
              <w:rPr>
                <w:rFonts w:ascii="Arial"/>
                <w:sz w:val="21"/>
                <w:highlight w:val="none"/>
              </w:rPr>
            </w:pPr>
          </w:p>
          <w:p w14:paraId="3B11F002">
            <w:pPr>
              <w:pStyle w:val="31"/>
              <w:keepNext w:val="0"/>
              <w:keepLines w:val="0"/>
              <w:pageBreakBefore w:val="0"/>
              <w:kinsoku/>
              <w:wordWrap/>
              <w:overflowPunct/>
              <w:topLinePunct w:val="0"/>
              <w:bidi w:val="0"/>
              <w:spacing w:before="65" w:line="437" w:lineRule="auto"/>
              <w:ind w:left="514" w:right="106" w:hanging="403"/>
              <w:rPr>
                <w:highlight w:val="none"/>
              </w:rPr>
            </w:pPr>
            <w:r>
              <w:rPr>
                <w:spacing w:val="2"/>
                <w:highlight w:val="none"/>
              </w:rPr>
              <w:t>签字和（或）盖</w:t>
            </w:r>
            <w:r>
              <w:rPr>
                <w:spacing w:val="4"/>
                <w:highlight w:val="none"/>
              </w:rPr>
              <w:t>章要求</w:t>
            </w:r>
          </w:p>
        </w:tc>
        <w:tc>
          <w:tcPr>
            <w:tcW w:w="6466" w:type="dxa"/>
            <w:vAlign w:val="top"/>
          </w:tcPr>
          <w:p w14:paraId="6B7D6555">
            <w:pPr>
              <w:pStyle w:val="31"/>
              <w:keepNext w:val="0"/>
              <w:keepLines w:val="0"/>
              <w:pageBreakBefore w:val="0"/>
              <w:kinsoku/>
              <w:wordWrap/>
              <w:overflowPunct/>
              <w:topLinePunct w:val="0"/>
              <w:bidi w:val="0"/>
              <w:spacing w:before="137" w:line="227" w:lineRule="auto"/>
              <w:ind w:left="136"/>
            </w:pPr>
            <w:r>
              <w:rPr>
                <w:spacing w:val="5"/>
              </w:rPr>
              <w:t>电子投标文件签章要求：</w:t>
            </w:r>
          </w:p>
          <w:p w14:paraId="69643FE6">
            <w:pPr>
              <w:pStyle w:val="31"/>
              <w:keepNext w:val="0"/>
              <w:keepLines w:val="0"/>
              <w:pageBreakBefore w:val="0"/>
              <w:kinsoku/>
              <w:wordWrap/>
              <w:overflowPunct/>
              <w:topLinePunct w:val="0"/>
              <w:bidi w:val="0"/>
              <w:spacing w:before="228" w:line="439" w:lineRule="auto"/>
              <w:ind w:left="114" w:right="109" w:firstLine="8"/>
            </w:pPr>
            <w:r>
              <w:rPr>
                <w:spacing w:val="5"/>
              </w:rPr>
              <w:t>（1）所有要求投标人加盖公章的地方都应用投标人单</w:t>
            </w:r>
            <w:r>
              <w:rPr>
                <w:spacing w:val="4"/>
              </w:rPr>
              <w:t>位的</w:t>
            </w:r>
            <w:r>
              <w:rPr>
                <w:spacing w:val="-41"/>
              </w:rPr>
              <w:t xml:space="preserve"> </w:t>
            </w:r>
            <w:r>
              <w:t>CA</w:t>
            </w:r>
            <w:r>
              <w:rPr>
                <w:spacing w:val="29"/>
              </w:rPr>
              <w:t xml:space="preserve"> </w:t>
            </w:r>
            <w:r>
              <w:rPr>
                <w:spacing w:val="4"/>
              </w:rPr>
              <w:t>印章或</w:t>
            </w:r>
            <w:r>
              <w:rPr>
                <w:spacing w:val="8"/>
              </w:rPr>
              <w:t>上传有加盖单位公章的扫描件。</w:t>
            </w:r>
          </w:p>
          <w:p w14:paraId="10C7696D">
            <w:pPr>
              <w:pStyle w:val="31"/>
              <w:keepNext w:val="0"/>
              <w:keepLines w:val="0"/>
              <w:pageBreakBefore w:val="0"/>
              <w:kinsoku/>
              <w:wordWrap/>
              <w:overflowPunct/>
              <w:topLinePunct w:val="0"/>
              <w:bidi w:val="0"/>
              <w:spacing w:before="1" w:line="396" w:lineRule="auto"/>
              <w:ind w:left="112" w:right="109" w:firstLine="10"/>
            </w:pPr>
            <w:r>
              <w:rPr>
                <w:spacing w:val="5"/>
              </w:rPr>
              <w:t>（2）所有要求法定代表人签字的地方都应用法定代表</w:t>
            </w:r>
            <w:r>
              <w:rPr>
                <w:spacing w:val="4"/>
              </w:rPr>
              <w:t>人的</w:t>
            </w:r>
            <w:r>
              <w:rPr>
                <w:spacing w:val="-41"/>
              </w:rPr>
              <w:t xml:space="preserve"> </w:t>
            </w:r>
            <w:r>
              <w:t>CA</w:t>
            </w:r>
            <w:r>
              <w:rPr>
                <w:spacing w:val="29"/>
              </w:rPr>
              <w:t xml:space="preserve"> </w:t>
            </w:r>
            <w:r>
              <w:rPr>
                <w:spacing w:val="4"/>
              </w:rPr>
              <w:t>印章或</w:t>
            </w:r>
            <w:r>
              <w:rPr>
                <w:spacing w:val="10"/>
              </w:rPr>
              <w:t>上传有手写签名的扫描件。若有委托代理人，且委</w:t>
            </w:r>
            <w:r>
              <w:rPr>
                <w:spacing w:val="9"/>
              </w:rPr>
              <w:t>托代理人没有</w:t>
            </w:r>
            <w:r>
              <w:rPr>
                <w:spacing w:val="-41"/>
              </w:rPr>
              <w:t xml:space="preserve"> </w:t>
            </w:r>
            <w:r>
              <w:t>CA</w:t>
            </w:r>
            <w:r>
              <w:rPr>
                <w:spacing w:val="9"/>
              </w:rPr>
              <w:t>锁，则投标文件需上传有手写签名的扫描件。</w:t>
            </w:r>
          </w:p>
        </w:tc>
      </w:tr>
      <w:tr w14:paraId="0CD04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7" w:hRule="atLeast"/>
        </w:trPr>
        <w:tc>
          <w:tcPr>
            <w:tcW w:w="971" w:type="dxa"/>
            <w:vAlign w:val="top"/>
          </w:tcPr>
          <w:p w14:paraId="18FDEEE8">
            <w:pPr>
              <w:spacing w:line="249" w:lineRule="auto"/>
              <w:rPr>
                <w:rFonts w:ascii="Arial"/>
                <w:sz w:val="21"/>
                <w:highlight w:val="none"/>
              </w:rPr>
            </w:pPr>
          </w:p>
          <w:p w14:paraId="4C0C64F5">
            <w:pPr>
              <w:spacing w:line="250" w:lineRule="auto"/>
              <w:rPr>
                <w:rFonts w:ascii="Arial"/>
                <w:sz w:val="21"/>
                <w:highlight w:val="none"/>
              </w:rPr>
            </w:pPr>
          </w:p>
          <w:p w14:paraId="45737639">
            <w:pPr>
              <w:spacing w:line="250" w:lineRule="auto"/>
              <w:rPr>
                <w:rFonts w:ascii="Arial"/>
                <w:sz w:val="21"/>
                <w:highlight w:val="none"/>
              </w:rPr>
            </w:pPr>
          </w:p>
          <w:p w14:paraId="13CDF1A0">
            <w:pPr>
              <w:spacing w:line="250" w:lineRule="auto"/>
              <w:rPr>
                <w:rFonts w:ascii="Arial"/>
                <w:sz w:val="21"/>
                <w:highlight w:val="none"/>
              </w:rPr>
            </w:pPr>
          </w:p>
          <w:p w14:paraId="0BCCF845">
            <w:pPr>
              <w:spacing w:line="250" w:lineRule="auto"/>
              <w:rPr>
                <w:rFonts w:ascii="Arial"/>
                <w:sz w:val="21"/>
                <w:highlight w:val="none"/>
              </w:rPr>
            </w:pPr>
          </w:p>
          <w:p w14:paraId="7E3EF2C7">
            <w:pPr>
              <w:pStyle w:val="31"/>
              <w:spacing w:before="65" w:line="267" w:lineRule="exact"/>
              <w:ind w:left="226" w:leftChars="0"/>
              <w:rPr>
                <w:rFonts w:hint="default"/>
                <w:highlight w:val="none"/>
                <w:lang w:val="en-US"/>
              </w:rPr>
            </w:pPr>
            <w:r>
              <w:rPr>
                <w:spacing w:val="3"/>
                <w:position w:val="1"/>
                <w:highlight w:val="none"/>
              </w:rPr>
              <w:t>4.2.1</w:t>
            </w:r>
          </w:p>
        </w:tc>
        <w:tc>
          <w:tcPr>
            <w:tcW w:w="1638" w:type="dxa"/>
            <w:vAlign w:val="top"/>
          </w:tcPr>
          <w:p w14:paraId="20237F3E">
            <w:pPr>
              <w:keepNext w:val="0"/>
              <w:keepLines w:val="0"/>
              <w:pageBreakBefore w:val="0"/>
              <w:kinsoku/>
              <w:wordWrap/>
              <w:overflowPunct/>
              <w:topLinePunct w:val="0"/>
              <w:bidi w:val="0"/>
              <w:spacing w:line="253" w:lineRule="auto"/>
              <w:rPr>
                <w:rFonts w:ascii="Arial"/>
                <w:sz w:val="21"/>
                <w:highlight w:val="none"/>
              </w:rPr>
            </w:pPr>
          </w:p>
          <w:p w14:paraId="5ADF2871">
            <w:pPr>
              <w:keepNext w:val="0"/>
              <w:keepLines w:val="0"/>
              <w:pageBreakBefore w:val="0"/>
              <w:kinsoku/>
              <w:wordWrap/>
              <w:overflowPunct/>
              <w:topLinePunct w:val="0"/>
              <w:bidi w:val="0"/>
              <w:spacing w:line="253" w:lineRule="auto"/>
              <w:rPr>
                <w:rFonts w:ascii="Arial"/>
                <w:sz w:val="21"/>
                <w:highlight w:val="none"/>
              </w:rPr>
            </w:pPr>
          </w:p>
          <w:p w14:paraId="3E6FA05D">
            <w:pPr>
              <w:keepNext w:val="0"/>
              <w:keepLines w:val="0"/>
              <w:pageBreakBefore w:val="0"/>
              <w:kinsoku/>
              <w:wordWrap/>
              <w:overflowPunct/>
              <w:topLinePunct w:val="0"/>
              <w:bidi w:val="0"/>
              <w:spacing w:line="253" w:lineRule="auto"/>
              <w:rPr>
                <w:rFonts w:ascii="Arial"/>
                <w:sz w:val="21"/>
                <w:highlight w:val="none"/>
              </w:rPr>
            </w:pPr>
          </w:p>
          <w:p w14:paraId="606CB7B9">
            <w:pPr>
              <w:keepNext w:val="0"/>
              <w:keepLines w:val="0"/>
              <w:pageBreakBefore w:val="0"/>
              <w:kinsoku/>
              <w:wordWrap/>
              <w:overflowPunct/>
              <w:topLinePunct w:val="0"/>
              <w:bidi w:val="0"/>
              <w:spacing w:line="253" w:lineRule="auto"/>
              <w:rPr>
                <w:rFonts w:ascii="Arial"/>
                <w:sz w:val="21"/>
                <w:highlight w:val="none"/>
              </w:rPr>
            </w:pPr>
          </w:p>
          <w:p w14:paraId="7333E746">
            <w:pPr>
              <w:pStyle w:val="31"/>
              <w:keepNext w:val="0"/>
              <w:keepLines w:val="0"/>
              <w:pageBreakBefore w:val="0"/>
              <w:kinsoku/>
              <w:wordWrap/>
              <w:overflowPunct/>
              <w:topLinePunct w:val="0"/>
              <w:bidi w:val="0"/>
              <w:spacing w:before="65" w:line="441" w:lineRule="auto"/>
              <w:ind w:left="722" w:right="190" w:hanging="527"/>
              <w:rPr>
                <w:highlight w:val="none"/>
              </w:rPr>
            </w:pPr>
            <w:r>
              <w:rPr>
                <w:spacing w:val="7"/>
                <w:highlight w:val="none"/>
              </w:rPr>
              <w:t>投标文件的递</w:t>
            </w:r>
            <w:r>
              <w:rPr>
                <w:highlight w:val="none"/>
              </w:rPr>
              <w:t>交</w:t>
            </w:r>
          </w:p>
        </w:tc>
        <w:tc>
          <w:tcPr>
            <w:tcW w:w="6466" w:type="dxa"/>
            <w:vAlign w:val="top"/>
          </w:tcPr>
          <w:p w14:paraId="35306EA2">
            <w:pPr>
              <w:pStyle w:val="31"/>
              <w:keepNext w:val="0"/>
              <w:keepLines w:val="0"/>
              <w:pageBreakBefore w:val="0"/>
              <w:kinsoku/>
              <w:wordWrap/>
              <w:overflowPunct/>
              <w:topLinePunct w:val="0"/>
              <w:bidi w:val="0"/>
              <w:spacing w:before="132" w:line="439" w:lineRule="auto"/>
              <w:ind w:left="117" w:right="22" w:hanging="4"/>
            </w:pPr>
            <w:r>
              <w:rPr>
                <w:spacing w:val="7"/>
              </w:rPr>
              <w:t>a、各投标人应在投标截止时间前上传加密的电子投标文件（*.</w:t>
            </w:r>
            <w:r>
              <w:t>hntf</w:t>
            </w:r>
            <w:r>
              <w:rPr>
                <w:spacing w:val="7"/>
              </w:rPr>
              <w:t>）到会员系统的指定位置。上传时必须得到电脑“上</w:t>
            </w:r>
            <w:r>
              <w:rPr>
                <w:spacing w:val="6"/>
              </w:rPr>
              <w:t>传成功</w:t>
            </w:r>
            <w:r>
              <w:rPr>
                <w:spacing w:val="-70"/>
              </w:rPr>
              <w:t xml:space="preserve"> </w:t>
            </w:r>
            <w:r>
              <w:rPr>
                <w:spacing w:val="6"/>
              </w:rPr>
              <w:t>”的确认回</w:t>
            </w:r>
            <w:r>
              <w:rPr>
                <w:spacing w:val="9"/>
              </w:rPr>
              <w:t>复。请投标人在上传时认真检查上传投标文件是否完整、正确。</w:t>
            </w:r>
          </w:p>
          <w:p w14:paraId="5A6ECA58">
            <w:pPr>
              <w:pStyle w:val="31"/>
              <w:keepNext w:val="0"/>
              <w:keepLines w:val="0"/>
              <w:pageBreakBefore w:val="0"/>
              <w:kinsoku/>
              <w:wordWrap/>
              <w:overflowPunct/>
              <w:topLinePunct w:val="0"/>
              <w:bidi w:val="0"/>
              <w:spacing w:before="1" w:line="439" w:lineRule="auto"/>
              <w:ind w:left="114" w:right="162" w:hanging="5"/>
            </w:pPr>
            <w:r>
              <w:rPr>
                <w:spacing w:val="9"/>
              </w:rPr>
              <w:t>b、投标人因交易中心投标系统问题无法上传电子投标文件时，请在工作时间与河南省公共资源交易中心联系，联系电话：</w:t>
            </w:r>
          </w:p>
          <w:p w14:paraId="1CB9B7F6">
            <w:pPr>
              <w:pStyle w:val="31"/>
              <w:keepNext w:val="0"/>
              <w:keepLines w:val="0"/>
              <w:pageBreakBefore w:val="0"/>
              <w:kinsoku/>
              <w:wordWrap/>
              <w:overflowPunct/>
              <w:topLinePunct w:val="0"/>
              <w:bidi w:val="0"/>
              <w:spacing w:line="266" w:lineRule="exact"/>
              <w:ind w:left="114"/>
            </w:pPr>
            <w:r>
              <w:rPr>
                <w:spacing w:val="3"/>
                <w:position w:val="1"/>
              </w:rPr>
              <w:t>0371-61335566。</w:t>
            </w:r>
          </w:p>
        </w:tc>
      </w:tr>
      <w:tr w14:paraId="6FA5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971" w:type="dxa"/>
            <w:vAlign w:val="top"/>
          </w:tcPr>
          <w:p w14:paraId="31AD72AB">
            <w:pPr>
              <w:spacing w:line="305" w:lineRule="auto"/>
              <w:rPr>
                <w:rFonts w:ascii="Arial"/>
                <w:sz w:val="21"/>
                <w:highlight w:val="none"/>
              </w:rPr>
            </w:pPr>
          </w:p>
          <w:p w14:paraId="7D58C99D">
            <w:pPr>
              <w:pStyle w:val="31"/>
              <w:spacing w:before="65" w:line="268" w:lineRule="exact"/>
              <w:ind w:left="226" w:leftChars="0"/>
              <w:rPr>
                <w:rFonts w:hint="default" w:eastAsia="宋体"/>
                <w:highlight w:val="none"/>
                <w:lang w:val="en-US" w:eastAsia="zh-CN"/>
              </w:rPr>
            </w:pPr>
            <w:r>
              <w:rPr>
                <w:spacing w:val="3"/>
                <w:position w:val="1"/>
                <w:highlight w:val="none"/>
              </w:rPr>
              <w:t>4.2.2</w:t>
            </w:r>
          </w:p>
        </w:tc>
        <w:tc>
          <w:tcPr>
            <w:tcW w:w="1638" w:type="dxa"/>
            <w:vAlign w:val="top"/>
          </w:tcPr>
          <w:p w14:paraId="105F852E">
            <w:pPr>
              <w:pStyle w:val="31"/>
              <w:keepNext w:val="0"/>
              <w:keepLines w:val="0"/>
              <w:pageBreakBefore w:val="0"/>
              <w:kinsoku/>
              <w:wordWrap/>
              <w:overflowPunct/>
              <w:topLinePunct w:val="0"/>
              <w:bidi w:val="0"/>
              <w:spacing w:before="135" w:line="374" w:lineRule="auto"/>
              <w:ind w:left="612" w:right="190" w:hanging="420"/>
              <w:rPr>
                <w:highlight w:val="none"/>
              </w:rPr>
            </w:pPr>
            <w:r>
              <w:rPr>
                <w:spacing w:val="8"/>
                <w:highlight w:val="none"/>
              </w:rPr>
              <w:t>远程开标机位</w:t>
            </w:r>
            <w:r>
              <w:rPr>
                <w:spacing w:val="4"/>
                <w:highlight w:val="none"/>
              </w:rPr>
              <w:t>地点</w:t>
            </w:r>
          </w:p>
        </w:tc>
        <w:tc>
          <w:tcPr>
            <w:tcW w:w="6466" w:type="dxa"/>
            <w:vAlign w:val="top"/>
          </w:tcPr>
          <w:p w14:paraId="3FFBEC2C">
            <w:pPr>
              <w:pStyle w:val="31"/>
              <w:keepNext w:val="0"/>
              <w:keepLines w:val="0"/>
              <w:pageBreakBefore w:val="0"/>
              <w:kinsoku/>
              <w:wordWrap/>
              <w:overflowPunct/>
              <w:topLinePunct w:val="0"/>
              <w:bidi w:val="0"/>
              <w:spacing w:before="135" w:line="374" w:lineRule="auto"/>
              <w:ind w:left="115" w:right="109" w:hanging="4"/>
            </w:pPr>
            <w:r>
              <w:rPr>
                <w:spacing w:val="3"/>
              </w:rPr>
              <w:t>河南省公共资源交易中心远程</w:t>
            </w:r>
            <w:r>
              <w:rPr>
                <w:rFonts w:hint="eastAsia"/>
                <w:spacing w:val="3"/>
              </w:rPr>
              <w:t>远程开标室(一)-</w:t>
            </w:r>
            <w:r>
              <w:rPr>
                <w:rFonts w:hint="eastAsia"/>
                <w:color w:val="auto"/>
                <w:spacing w:val="3"/>
                <w:highlight w:val="none"/>
                <w:shd w:val="clear"/>
              </w:rPr>
              <w:t>5</w:t>
            </w:r>
            <w:r>
              <w:rPr>
                <w:color w:val="auto"/>
                <w:spacing w:val="3"/>
                <w:highlight w:val="none"/>
                <w:shd w:val="clear"/>
              </w:rPr>
              <w:t>（郑州</w:t>
            </w:r>
            <w:r>
              <w:rPr>
                <w:spacing w:val="3"/>
              </w:rPr>
              <w:t>市经二路</w:t>
            </w:r>
            <w:r>
              <w:rPr>
                <w:spacing w:val="-23"/>
              </w:rPr>
              <w:t xml:space="preserve"> </w:t>
            </w:r>
            <w:r>
              <w:rPr>
                <w:spacing w:val="3"/>
              </w:rPr>
              <w:t>1</w:t>
            </w:r>
            <w:r>
              <w:rPr>
                <w:spacing w:val="2"/>
              </w:rPr>
              <w:t>2</w:t>
            </w:r>
            <w:r>
              <w:rPr>
                <w:spacing w:val="-33"/>
              </w:rPr>
              <w:t xml:space="preserve"> </w:t>
            </w:r>
            <w:r>
              <w:rPr>
                <w:spacing w:val="2"/>
              </w:rPr>
              <w:t>号（经</w:t>
            </w:r>
            <w:r>
              <w:rPr>
                <w:spacing w:val="6"/>
              </w:rPr>
              <w:t>二路与纬四路向南</w:t>
            </w:r>
            <w:r>
              <w:rPr>
                <w:spacing w:val="-33"/>
              </w:rPr>
              <w:t xml:space="preserve"> </w:t>
            </w:r>
            <w:r>
              <w:rPr>
                <w:spacing w:val="6"/>
              </w:rPr>
              <w:t>50</w:t>
            </w:r>
            <w:r>
              <w:rPr>
                <w:spacing w:val="-41"/>
              </w:rPr>
              <w:t xml:space="preserve"> </w:t>
            </w:r>
            <w:r>
              <w:rPr>
                <w:spacing w:val="6"/>
              </w:rPr>
              <w:t>米路西）</w:t>
            </w:r>
          </w:p>
        </w:tc>
      </w:tr>
      <w:tr w14:paraId="0E80E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971" w:type="dxa"/>
            <w:vAlign w:val="top"/>
          </w:tcPr>
          <w:p w14:paraId="776B8819">
            <w:pPr>
              <w:spacing w:line="304" w:lineRule="auto"/>
              <w:rPr>
                <w:rFonts w:ascii="Arial"/>
                <w:sz w:val="21"/>
                <w:highlight w:val="none"/>
              </w:rPr>
            </w:pPr>
          </w:p>
          <w:p w14:paraId="3A46BD46">
            <w:pPr>
              <w:pStyle w:val="31"/>
              <w:spacing w:before="65" w:line="268" w:lineRule="exact"/>
              <w:ind w:left="226" w:leftChars="0"/>
              <w:rPr>
                <w:rFonts w:hint="default"/>
                <w:highlight w:val="none"/>
                <w:lang w:val="en-US"/>
              </w:rPr>
            </w:pPr>
            <w:r>
              <w:rPr>
                <w:spacing w:val="3"/>
                <w:position w:val="1"/>
                <w:highlight w:val="none"/>
              </w:rPr>
              <w:t>4.2.3</w:t>
            </w:r>
          </w:p>
        </w:tc>
        <w:tc>
          <w:tcPr>
            <w:tcW w:w="1638" w:type="dxa"/>
            <w:vAlign w:val="top"/>
          </w:tcPr>
          <w:p w14:paraId="054AA509">
            <w:pPr>
              <w:pStyle w:val="31"/>
              <w:keepNext w:val="0"/>
              <w:keepLines w:val="0"/>
              <w:pageBreakBefore w:val="0"/>
              <w:kinsoku/>
              <w:wordWrap/>
              <w:overflowPunct/>
              <w:topLinePunct w:val="0"/>
              <w:bidi w:val="0"/>
              <w:spacing w:before="135" w:line="374" w:lineRule="auto"/>
              <w:ind w:left="614" w:right="190" w:hanging="418"/>
              <w:rPr>
                <w:highlight w:val="none"/>
              </w:rPr>
            </w:pPr>
            <w:r>
              <w:rPr>
                <w:spacing w:val="7"/>
                <w:highlight w:val="none"/>
              </w:rPr>
              <w:t>是否退还投标</w:t>
            </w:r>
            <w:r>
              <w:rPr>
                <w:spacing w:val="3"/>
                <w:highlight w:val="none"/>
              </w:rPr>
              <w:t>文件</w:t>
            </w:r>
          </w:p>
        </w:tc>
        <w:tc>
          <w:tcPr>
            <w:tcW w:w="6466" w:type="dxa"/>
            <w:vAlign w:val="top"/>
          </w:tcPr>
          <w:p w14:paraId="3CA460EE">
            <w:pPr>
              <w:keepNext w:val="0"/>
              <w:keepLines w:val="0"/>
              <w:pageBreakBefore w:val="0"/>
              <w:kinsoku/>
              <w:wordWrap/>
              <w:overflowPunct/>
              <w:topLinePunct w:val="0"/>
              <w:bidi w:val="0"/>
              <w:spacing w:line="305" w:lineRule="auto"/>
              <w:rPr>
                <w:rFonts w:ascii="Arial"/>
                <w:sz w:val="21"/>
                <w:highlight w:val="none"/>
              </w:rPr>
            </w:pPr>
          </w:p>
          <w:p w14:paraId="0435A7F8">
            <w:pPr>
              <w:pStyle w:val="31"/>
              <w:keepNext w:val="0"/>
              <w:keepLines w:val="0"/>
              <w:pageBreakBefore w:val="0"/>
              <w:kinsoku/>
              <w:wordWrap/>
              <w:overflowPunct/>
              <w:topLinePunct w:val="0"/>
              <w:bidi w:val="0"/>
              <w:spacing w:before="65" w:line="228" w:lineRule="auto"/>
              <w:ind w:left="118"/>
              <w:rPr>
                <w:highlight w:val="none"/>
              </w:rPr>
            </w:pPr>
            <w:r>
              <w:rPr>
                <w:highlight w:val="none"/>
              </w:rPr>
              <w:t>否</w:t>
            </w:r>
          </w:p>
        </w:tc>
      </w:tr>
      <w:tr w14:paraId="14BA8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7" w:hRule="atLeast"/>
        </w:trPr>
        <w:tc>
          <w:tcPr>
            <w:tcW w:w="971" w:type="dxa"/>
            <w:vAlign w:val="top"/>
          </w:tcPr>
          <w:p w14:paraId="73A94981">
            <w:pPr>
              <w:spacing w:line="250" w:lineRule="auto"/>
              <w:rPr>
                <w:rFonts w:ascii="Arial"/>
                <w:sz w:val="21"/>
                <w:highlight w:val="none"/>
              </w:rPr>
            </w:pPr>
          </w:p>
          <w:p w14:paraId="1A1A85AB">
            <w:pPr>
              <w:spacing w:line="250" w:lineRule="auto"/>
              <w:rPr>
                <w:rFonts w:ascii="Arial"/>
                <w:sz w:val="21"/>
                <w:highlight w:val="none"/>
              </w:rPr>
            </w:pPr>
          </w:p>
          <w:p w14:paraId="1CCAE7B3">
            <w:pPr>
              <w:spacing w:line="250" w:lineRule="auto"/>
              <w:rPr>
                <w:rFonts w:ascii="Arial"/>
                <w:sz w:val="21"/>
                <w:highlight w:val="none"/>
              </w:rPr>
            </w:pPr>
          </w:p>
          <w:p w14:paraId="0B773D2B">
            <w:pPr>
              <w:spacing w:line="250" w:lineRule="auto"/>
              <w:rPr>
                <w:rFonts w:ascii="Arial"/>
                <w:sz w:val="21"/>
                <w:highlight w:val="none"/>
              </w:rPr>
            </w:pPr>
          </w:p>
          <w:p w14:paraId="03284104">
            <w:pPr>
              <w:spacing w:line="250" w:lineRule="auto"/>
              <w:rPr>
                <w:rFonts w:ascii="Arial"/>
                <w:sz w:val="21"/>
                <w:highlight w:val="none"/>
              </w:rPr>
            </w:pPr>
          </w:p>
          <w:p w14:paraId="3A126BE2">
            <w:pPr>
              <w:pStyle w:val="31"/>
              <w:spacing w:before="65" w:line="268" w:lineRule="exact"/>
              <w:ind w:left="337" w:leftChars="0"/>
              <w:rPr>
                <w:rFonts w:hint="default" w:eastAsia="宋体"/>
                <w:highlight w:val="none"/>
                <w:lang w:val="en-US" w:eastAsia="zh-CN"/>
              </w:rPr>
            </w:pPr>
            <w:r>
              <w:rPr>
                <w:spacing w:val="1"/>
                <w:position w:val="1"/>
                <w:highlight w:val="none"/>
              </w:rPr>
              <w:t>5.1</w:t>
            </w:r>
          </w:p>
        </w:tc>
        <w:tc>
          <w:tcPr>
            <w:tcW w:w="1638" w:type="dxa"/>
            <w:vAlign w:val="top"/>
          </w:tcPr>
          <w:p w14:paraId="675ECD30">
            <w:pPr>
              <w:keepNext w:val="0"/>
              <w:keepLines w:val="0"/>
              <w:pageBreakBefore w:val="0"/>
              <w:kinsoku/>
              <w:wordWrap/>
              <w:overflowPunct/>
              <w:topLinePunct w:val="0"/>
              <w:bidi w:val="0"/>
              <w:spacing w:line="253" w:lineRule="auto"/>
              <w:rPr>
                <w:rFonts w:ascii="Arial"/>
                <w:sz w:val="21"/>
                <w:highlight w:val="none"/>
              </w:rPr>
            </w:pPr>
          </w:p>
          <w:p w14:paraId="0CFCAA3E">
            <w:pPr>
              <w:keepNext w:val="0"/>
              <w:keepLines w:val="0"/>
              <w:pageBreakBefore w:val="0"/>
              <w:kinsoku/>
              <w:wordWrap/>
              <w:overflowPunct/>
              <w:topLinePunct w:val="0"/>
              <w:bidi w:val="0"/>
              <w:spacing w:line="254" w:lineRule="auto"/>
              <w:rPr>
                <w:rFonts w:ascii="Arial"/>
                <w:sz w:val="21"/>
                <w:highlight w:val="none"/>
              </w:rPr>
            </w:pPr>
          </w:p>
          <w:p w14:paraId="16089DD0">
            <w:pPr>
              <w:keepNext w:val="0"/>
              <w:keepLines w:val="0"/>
              <w:pageBreakBefore w:val="0"/>
              <w:kinsoku/>
              <w:wordWrap/>
              <w:overflowPunct/>
              <w:topLinePunct w:val="0"/>
              <w:bidi w:val="0"/>
              <w:spacing w:line="254" w:lineRule="auto"/>
              <w:rPr>
                <w:rFonts w:ascii="Arial"/>
                <w:sz w:val="21"/>
                <w:highlight w:val="none"/>
              </w:rPr>
            </w:pPr>
          </w:p>
          <w:p w14:paraId="3265A7F2">
            <w:pPr>
              <w:keepNext w:val="0"/>
              <w:keepLines w:val="0"/>
              <w:pageBreakBefore w:val="0"/>
              <w:kinsoku/>
              <w:wordWrap/>
              <w:overflowPunct/>
              <w:topLinePunct w:val="0"/>
              <w:bidi w:val="0"/>
              <w:spacing w:line="254" w:lineRule="auto"/>
              <w:rPr>
                <w:rFonts w:ascii="Arial"/>
                <w:sz w:val="21"/>
                <w:highlight w:val="none"/>
              </w:rPr>
            </w:pPr>
          </w:p>
          <w:p w14:paraId="10D1CD34">
            <w:pPr>
              <w:pStyle w:val="31"/>
              <w:keepNext w:val="0"/>
              <w:keepLines w:val="0"/>
              <w:pageBreakBefore w:val="0"/>
              <w:kinsoku/>
              <w:wordWrap/>
              <w:overflowPunct/>
              <w:topLinePunct w:val="0"/>
              <w:bidi w:val="0"/>
              <w:spacing w:before="65" w:line="442" w:lineRule="auto"/>
              <w:ind w:left="728" w:right="190" w:hanging="535"/>
              <w:rPr>
                <w:highlight w:val="none"/>
              </w:rPr>
            </w:pPr>
            <w:r>
              <w:rPr>
                <w:spacing w:val="8"/>
                <w:highlight w:val="none"/>
              </w:rPr>
              <w:t>开标时间和地</w:t>
            </w:r>
            <w:r>
              <w:rPr>
                <w:highlight w:val="none"/>
              </w:rPr>
              <w:t>点</w:t>
            </w:r>
          </w:p>
        </w:tc>
        <w:tc>
          <w:tcPr>
            <w:tcW w:w="6466" w:type="dxa"/>
            <w:vAlign w:val="top"/>
          </w:tcPr>
          <w:p w14:paraId="39EA7430">
            <w:pPr>
              <w:pStyle w:val="31"/>
              <w:keepNext w:val="0"/>
              <w:keepLines w:val="0"/>
              <w:pageBreakBefore w:val="0"/>
              <w:kinsoku/>
              <w:wordWrap/>
              <w:overflowPunct/>
              <w:topLinePunct w:val="0"/>
              <w:bidi w:val="0"/>
              <w:spacing w:before="136" w:line="417" w:lineRule="auto"/>
              <w:ind w:left="111" w:right="108" w:firstLine="1"/>
              <w:jc w:val="both"/>
              <w:rPr>
                <w:highlight w:val="none"/>
              </w:rPr>
            </w:pPr>
            <w:r>
              <w:rPr>
                <w:spacing w:val="8"/>
                <w:highlight w:val="none"/>
              </w:rPr>
              <w:t>本项目采用“远程不见面”开标方式，远程开标大厅网址为（</w:t>
            </w:r>
            <w:r>
              <w:rPr>
                <w:highlight w:val="none"/>
              </w:rPr>
              <w:fldChar w:fldCharType="begin"/>
            </w:r>
            <w:r>
              <w:rPr>
                <w:highlight w:val="none"/>
              </w:rPr>
              <w:instrText xml:space="preserve"> HYPERLINK "http:/" </w:instrText>
            </w:r>
            <w:r>
              <w:rPr>
                <w:highlight w:val="none"/>
              </w:rPr>
              <w:fldChar w:fldCharType="separate"/>
            </w:r>
            <w:r>
              <w:rPr>
                <w:highlight w:val="none"/>
              </w:rPr>
              <w:t>http</w:t>
            </w:r>
            <w:r>
              <w:rPr>
                <w:spacing w:val="8"/>
                <w:highlight w:val="none"/>
              </w:rPr>
              <w:t>:/</w:t>
            </w:r>
            <w:r>
              <w:rPr>
                <w:spacing w:val="8"/>
                <w:highlight w:val="none"/>
              </w:rPr>
              <w:fldChar w:fldCharType="end"/>
            </w:r>
            <w:r>
              <w:rPr>
                <w:spacing w:val="6"/>
                <w:highlight w:val="none"/>
              </w:rPr>
              <w:t xml:space="preserve"> </w:t>
            </w:r>
            <w:r>
              <w:rPr>
                <w:spacing w:val="5"/>
                <w:highlight w:val="none"/>
              </w:rPr>
              <w:t>/</w:t>
            </w:r>
            <w:r>
              <w:rPr>
                <w:highlight w:val="none"/>
              </w:rPr>
              <w:fldChar w:fldCharType="begin"/>
            </w:r>
            <w:r>
              <w:rPr>
                <w:highlight w:val="none"/>
              </w:rPr>
              <w:instrText xml:space="preserve"> HYPERLINK "hnsggzyjy.henan.gov.cn/BidOpening/bidopeninghallaction/hall/login" </w:instrText>
            </w:r>
            <w:r>
              <w:rPr>
                <w:highlight w:val="none"/>
              </w:rPr>
              <w:fldChar w:fldCharType="separate"/>
            </w:r>
            <w:r>
              <w:rPr>
                <w:spacing w:val="5"/>
                <w:highlight w:val="none"/>
              </w:rPr>
              <w:t>hnsggzyjy.henan.gov.cn/BidOpening/bidopeninghalla</w:t>
            </w:r>
            <w:r>
              <w:rPr>
                <w:spacing w:val="4"/>
                <w:highlight w:val="none"/>
              </w:rPr>
              <w:t>ction/hal</w:t>
            </w:r>
            <w:r>
              <w:rPr>
                <w:spacing w:val="4"/>
                <w:highlight w:val="none"/>
              </w:rPr>
              <w:fldChar w:fldCharType="end"/>
            </w:r>
            <w:r>
              <w:rPr>
                <w:highlight w:val="none"/>
              </w:rPr>
              <w:t xml:space="preserve"> </w:t>
            </w:r>
            <w:r>
              <w:rPr>
                <w:highlight w:val="none"/>
              </w:rPr>
              <w:fldChar w:fldCharType="begin"/>
            </w:r>
            <w:r>
              <w:rPr>
                <w:highlight w:val="none"/>
              </w:rPr>
              <w:instrText xml:space="preserve"> HYPERLINK "hnsggzyjy.henan.gov.cn/BidOpening/bidopeninghallaction/hall/login" </w:instrText>
            </w:r>
            <w:r>
              <w:rPr>
                <w:highlight w:val="none"/>
              </w:rPr>
              <w:fldChar w:fldCharType="separate"/>
            </w:r>
            <w:r>
              <w:rPr>
                <w:spacing w:val="10"/>
                <w:highlight w:val="none"/>
              </w:rPr>
              <w:t>l/</w:t>
            </w:r>
            <w:r>
              <w:rPr>
                <w:highlight w:val="none"/>
              </w:rPr>
              <w:t>login</w:t>
            </w:r>
            <w:r>
              <w:rPr>
                <w:highlight w:val="none"/>
              </w:rPr>
              <w:fldChar w:fldCharType="end"/>
            </w:r>
            <w:r>
              <w:rPr>
                <w:spacing w:val="14"/>
                <w:highlight w:val="none"/>
              </w:rPr>
              <w:t>），</w:t>
            </w:r>
            <w:r>
              <w:rPr>
                <w:spacing w:val="10"/>
                <w:highlight w:val="none"/>
              </w:rPr>
              <w:t>投标人无需到河南省公共资源交易中心现</w:t>
            </w:r>
            <w:r>
              <w:rPr>
                <w:spacing w:val="9"/>
                <w:highlight w:val="none"/>
              </w:rPr>
              <w:t>场参加开标会</w:t>
            </w:r>
            <w:r>
              <w:rPr>
                <w:spacing w:val="8"/>
                <w:highlight w:val="none"/>
              </w:rPr>
              <w:t>议，无需到达现场提交原件资料。投标人应当在投标截止时间前，登录远程开标大厅，在线准时参加开标活动并进行文件解密、答疑澄清</w:t>
            </w:r>
            <w:r>
              <w:rPr>
                <w:highlight w:val="none"/>
              </w:rPr>
              <w:t>等。</w:t>
            </w:r>
          </w:p>
        </w:tc>
      </w:tr>
      <w:tr w14:paraId="07F5D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971" w:type="dxa"/>
            <w:vAlign w:val="top"/>
          </w:tcPr>
          <w:p w14:paraId="62B92B03">
            <w:pPr>
              <w:spacing w:line="307" w:lineRule="auto"/>
              <w:rPr>
                <w:rFonts w:ascii="Arial"/>
                <w:sz w:val="21"/>
                <w:highlight w:val="none"/>
              </w:rPr>
            </w:pPr>
          </w:p>
          <w:p w14:paraId="57F277B2">
            <w:pPr>
              <w:pStyle w:val="31"/>
              <w:spacing w:before="65" w:line="268" w:lineRule="exact"/>
              <w:ind w:left="337" w:leftChars="0"/>
              <w:rPr>
                <w:rFonts w:hint="default" w:eastAsia="宋体"/>
                <w:highlight w:val="none"/>
                <w:lang w:val="en-US" w:eastAsia="zh-CN"/>
              </w:rPr>
            </w:pPr>
            <w:r>
              <w:rPr>
                <w:spacing w:val="1"/>
                <w:position w:val="1"/>
                <w:highlight w:val="none"/>
              </w:rPr>
              <w:t>5.2</w:t>
            </w:r>
          </w:p>
        </w:tc>
        <w:tc>
          <w:tcPr>
            <w:tcW w:w="1638" w:type="dxa"/>
            <w:vAlign w:val="top"/>
          </w:tcPr>
          <w:p w14:paraId="291D1FAD">
            <w:pPr>
              <w:keepNext w:val="0"/>
              <w:keepLines w:val="0"/>
              <w:pageBreakBefore w:val="0"/>
              <w:kinsoku/>
              <w:wordWrap/>
              <w:overflowPunct/>
              <w:topLinePunct w:val="0"/>
              <w:bidi w:val="0"/>
              <w:spacing w:line="307" w:lineRule="auto"/>
              <w:rPr>
                <w:rFonts w:ascii="Arial"/>
                <w:sz w:val="21"/>
                <w:highlight w:val="none"/>
              </w:rPr>
            </w:pPr>
          </w:p>
          <w:p w14:paraId="121A5934">
            <w:pPr>
              <w:pStyle w:val="31"/>
              <w:keepNext w:val="0"/>
              <w:keepLines w:val="0"/>
              <w:pageBreakBefore w:val="0"/>
              <w:kinsoku/>
              <w:wordWrap/>
              <w:overflowPunct/>
              <w:topLinePunct w:val="0"/>
              <w:bidi w:val="0"/>
              <w:spacing w:before="65" w:line="228" w:lineRule="auto"/>
              <w:ind w:left="404"/>
              <w:rPr>
                <w:highlight w:val="none"/>
              </w:rPr>
            </w:pPr>
            <w:r>
              <w:rPr>
                <w:spacing w:val="7"/>
                <w:highlight w:val="none"/>
              </w:rPr>
              <w:t>开标程序</w:t>
            </w:r>
          </w:p>
        </w:tc>
        <w:tc>
          <w:tcPr>
            <w:tcW w:w="6466" w:type="dxa"/>
            <w:vAlign w:val="top"/>
          </w:tcPr>
          <w:p w14:paraId="27F24586">
            <w:pPr>
              <w:pStyle w:val="31"/>
              <w:keepNext w:val="0"/>
              <w:keepLines w:val="0"/>
              <w:pageBreakBefore w:val="0"/>
              <w:kinsoku/>
              <w:wordWrap/>
              <w:overflowPunct/>
              <w:topLinePunct w:val="0"/>
              <w:bidi w:val="0"/>
              <w:spacing w:before="136" w:line="373" w:lineRule="auto"/>
              <w:ind w:left="114" w:right="109" w:hanging="1"/>
              <w:rPr>
                <w:highlight w:val="none"/>
              </w:rPr>
            </w:pPr>
            <w:r>
              <w:rPr>
                <w:spacing w:val="8"/>
                <w:highlight w:val="none"/>
              </w:rPr>
              <w:t>本项目采用远程电子开标，投标人须在投标截止时间前登录远</w:t>
            </w:r>
            <w:r>
              <w:rPr>
                <w:spacing w:val="7"/>
                <w:highlight w:val="none"/>
              </w:rPr>
              <w:t>程开标</w:t>
            </w:r>
            <w:r>
              <w:rPr>
                <w:spacing w:val="9"/>
                <w:highlight w:val="none"/>
              </w:rPr>
              <w:t>大厅，在线准时参加开标活动并进行文件解密等。</w:t>
            </w:r>
          </w:p>
        </w:tc>
      </w:tr>
      <w:tr w14:paraId="58AA8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1" w:hRule="atLeast"/>
        </w:trPr>
        <w:tc>
          <w:tcPr>
            <w:tcW w:w="971" w:type="dxa"/>
            <w:vAlign w:val="top"/>
          </w:tcPr>
          <w:p w14:paraId="11FD0AB2">
            <w:pPr>
              <w:spacing w:line="271" w:lineRule="auto"/>
              <w:rPr>
                <w:rFonts w:ascii="Arial"/>
                <w:sz w:val="21"/>
                <w:highlight w:val="none"/>
              </w:rPr>
            </w:pPr>
          </w:p>
          <w:p w14:paraId="1A3BEA38">
            <w:pPr>
              <w:spacing w:line="272" w:lineRule="auto"/>
              <w:rPr>
                <w:rFonts w:ascii="Arial"/>
                <w:sz w:val="21"/>
                <w:highlight w:val="none"/>
              </w:rPr>
            </w:pPr>
          </w:p>
          <w:p w14:paraId="3A36FB8B">
            <w:pPr>
              <w:pStyle w:val="31"/>
              <w:spacing w:before="65" w:line="268" w:lineRule="exact"/>
              <w:ind w:left="229" w:leftChars="0"/>
              <w:rPr>
                <w:rFonts w:hint="default"/>
                <w:highlight w:val="none"/>
                <w:lang w:val="en-US"/>
              </w:rPr>
            </w:pPr>
            <w:r>
              <w:rPr>
                <w:spacing w:val="2"/>
                <w:position w:val="1"/>
                <w:highlight w:val="none"/>
              </w:rPr>
              <w:t>6.2.1</w:t>
            </w:r>
          </w:p>
        </w:tc>
        <w:tc>
          <w:tcPr>
            <w:tcW w:w="1638" w:type="dxa"/>
            <w:vAlign w:val="top"/>
          </w:tcPr>
          <w:p w14:paraId="54B280E3">
            <w:pPr>
              <w:keepNext w:val="0"/>
              <w:keepLines w:val="0"/>
              <w:pageBreakBefore w:val="0"/>
              <w:kinsoku/>
              <w:wordWrap/>
              <w:overflowPunct/>
              <w:topLinePunct w:val="0"/>
              <w:bidi w:val="0"/>
              <w:spacing w:line="306" w:lineRule="auto"/>
              <w:rPr>
                <w:rFonts w:ascii="Arial"/>
                <w:sz w:val="21"/>
                <w:highlight w:val="none"/>
              </w:rPr>
            </w:pPr>
          </w:p>
          <w:p w14:paraId="65321101">
            <w:pPr>
              <w:pStyle w:val="31"/>
              <w:keepNext w:val="0"/>
              <w:keepLines w:val="0"/>
              <w:pageBreakBefore w:val="0"/>
              <w:kinsoku/>
              <w:wordWrap/>
              <w:overflowPunct/>
              <w:topLinePunct w:val="0"/>
              <w:bidi w:val="0"/>
              <w:spacing w:before="65" w:line="441" w:lineRule="auto"/>
              <w:ind w:left="614" w:right="190" w:hanging="423"/>
              <w:rPr>
                <w:highlight w:val="none"/>
              </w:rPr>
            </w:pPr>
            <w:r>
              <w:rPr>
                <w:spacing w:val="8"/>
                <w:highlight w:val="none"/>
              </w:rPr>
              <w:t>评标委员会的</w:t>
            </w:r>
            <w:r>
              <w:rPr>
                <w:spacing w:val="3"/>
                <w:highlight w:val="none"/>
              </w:rPr>
              <w:t>组建</w:t>
            </w:r>
          </w:p>
        </w:tc>
        <w:tc>
          <w:tcPr>
            <w:tcW w:w="6466" w:type="dxa"/>
            <w:vAlign w:val="top"/>
          </w:tcPr>
          <w:p w14:paraId="6AFF5139">
            <w:pPr>
              <w:pStyle w:val="31"/>
              <w:keepNext w:val="0"/>
              <w:keepLines w:val="0"/>
              <w:pageBreakBefore w:val="0"/>
              <w:kinsoku/>
              <w:wordWrap/>
              <w:overflowPunct/>
              <w:topLinePunct w:val="0"/>
              <w:bidi w:val="0"/>
              <w:spacing w:before="136" w:line="440" w:lineRule="auto"/>
              <w:ind w:left="113" w:right="109" w:hanging="2"/>
              <w:rPr>
                <w:highlight w:val="none"/>
              </w:rPr>
            </w:pPr>
            <w:r>
              <w:rPr>
                <w:spacing w:val="8"/>
                <w:highlight w:val="none"/>
              </w:rPr>
              <w:t>评标委员会构成：5</w:t>
            </w:r>
            <w:r>
              <w:rPr>
                <w:spacing w:val="-36"/>
                <w:highlight w:val="none"/>
              </w:rPr>
              <w:t xml:space="preserve"> </w:t>
            </w:r>
            <w:r>
              <w:rPr>
                <w:spacing w:val="8"/>
                <w:highlight w:val="none"/>
              </w:rPr>
              <w:t>人，其中采购人代表</w:t>
            </w:r>
            <w:r>
              <w:rPr>
                <w:spacing w:val="-24"/>
                <w:highlight w:val="none"/>
              </w:rPr>
              <w:t xml:space="preserve"> </w:t>
            </w:r>
            <w:r>
              <w:rPr>
                <w:spacing w:val="8"/>
                <w:highlight w:val="none"/>
              </w:rPr>
              <w:t>1</w:t>
            </w:r>
            <w:r>
              <w:rPr>
                <w:spacing w:val="-36"/>
                <w:highlight w:val="none"/>
              </w:rPr>
              <w:t xml:space="preserve"> </w:t>
            </w:r>
            <w:r>
              <w:rPr>
                <w:spacing w:val="8"/>
                <w:highlight w:val="none"/>
              </w:rPr>
              <w:t>人，有关经济</w:t>
            </w:r>
            <w:r>
              <w:rPr>
                <w:spacing w:val="7"/>
                <w:highlight w:val="none"/>
              </w:rPr>
              <w:t>、技术专家</w:t>
            </w:r>
            <w:r>
              <w:rPr>
                <w:highlight w:val="none"/>
              </w:rPr>
              <w:t>人数</w:t>
            </w:r>
            <w:r>
              <w:rPr>
                <w:spacing w:val="-35"/>
                <w:highlight w:val="none"/>
              </w:rPr>
              <w:t xml:space="preserve"> </w:t>
            </w:r>
            <w:r>
              <w:rPr>
                <w:highlight w:val="none"/>
              </w:rPr>
              <w:t>4</w:t>
            </w:r>
            <w:r>
              <w:rPr>
                <w:spacing w:val="-36"/>
                <w:highlight w:val="none"/>
              </w:rPr>
              <w:t xml:space="preserve"> </w:t>
            </w:r>
            <w:r>
              <w:rPr>
                <w:highlight w:val="none"/>
              </w:rPr>
              <w:t>人。</w:t>
            </w:r>
          </w:p>
          <w:p w14:paraId="49C04E2B">
            <w:pPr>
              <w:pStyle w:val="31"/>
              <w:keepNext w:val="0"/>
              <w:keepLines w:val="0"/>
              <w:pageBreakBefore w:val="0"/>
              <w:kinsoku/>
              <w:wordWrap/>
              <w:overflowPunct/>
              <w:topLinePunct w:val="0"/>
              <w:bidi w:val="0"/>
              <w:spacing w:line="226" w:lineRule="auto"/>
              <w:ind w:right="15"/>
              <w:jc w:val="right"/>
              <w:rPr>
                <w:highlight w:val="none"/>
              </w:rPr>
            </w:pPr>
            <w:r>
              <w:rPr>
                <w:spacing w:val="4"/>
                <w:highlight w:val="none"/>
              </w:rPr>
              <w:t>有关经济、技术专家确定方式：从河南省政府采购专家库中随机抽取。</w:t>
            </w:r>
          </w:p>
        </w:tc>
      </w:tr>
      <w:tr w14:paraId="57837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971" w:type="dxa"/>
            <w:vAlign w:val="top"/>
          </w:tcPr>
          <w:p w14:paraId="509FFAAE">
            <w:pPr>
              <w:spacing w:line="306" w:lineRule="auto"/>
              <w:rPr>
                <w:rFonts w:ascii="Arial"/>
                <w:sz w:val="21"/>
                <w:highlight w:val="none"/>
              </w:rPr>
            </w:pPr>
          </w:p>
          <w:p w14:paraId="61045611">
            <w:pPr>
              <w:pStyle w:val="31"/>
              <w:spacing w:before="65" w:line="268" w:lineRule="exact"/>
              <w:ind w:left="229" w:leftChars="0"/>
              <w:rPr>
                <w:rFonts w:hint="default"/>
                <w:highlight w:val="none"/>
                <w:lang w:val="en-US"/>
              </w:rPr>
            </w:pPr>
            <w:r>
              <w:rPr>
                <w:spacing w:val="2"/>
                <w:position w:val="1"/>
                <w:highlight w:val="none"/>
              </w:rPr>
              <w:t>6.3.3</w:t>
            </w:r>
          </w:p>
        </w:tc>
        <w:tc>
          <w:tcPr>
            <w:tcW w:w="1638" w:type="dxa"/>
            <w:vAlign w:val="top"/>
          </w:tcPr>
          <w:p w14:paraId="6DCC2A98">
            <w:pPr>
              <w:pStyle w:val="31"/>
              <w:keepNext w:val="0"/>
              <w:keepLines w:val="0"/>
              <w:pageBreakBefore w:val="0"/>
              <w:kinsoku/>
              <w:wordWrap/>
              <w:overflowPunct/>
              <w:topLinePunct w:val="0"/>
              <w:bidi w:val="0"/>
              <w:spacing w:before="137" w:line="374" w:lineRule="auto"/>
              <w:ind w:left="314" w:right="190" w:hanging="121"/>
              <w:rPr>
                <w:highlight w:val="none"/>
              </w:rPr>
            </w:pPr>
            <w:r>
              <w:rPr>
                <w:spacing w:val="8"/>
                <w:highlight w:val="none"/>
              </w:rPr>
              <w:t>本次评标采用</w:t>
            </w:r>
            <w:r>
              <w:rPr>
                <w:spacing w:val="4"/>
                <w:highlight w:val="none"/>
              </w:rPr>
              <w:t>的评标方法</w:t>
            </w:r>
          </w:p>
        </w:tc>
        <w:tc>
          <w:tcPr>
            <w:tcW w:w="6466" w:type="dxa"/>
            <w:vAlign w:val="top"/>
          </w:tcPr>
          <w:p w14:paraId="6F3B9FE3">
            <w:pPr>
              <w:keepNext w:val="0"/>
              <w:keepLines w:val="0"/>
              <w:pageBreakBefore w:val="0"/>
              <w:kinsoku/>
              <w:wordWrap/>
              <w:overflowPunct/>
              <w:topLinePunct w:val="0"/>
              <w:bidi w:val="0"/>
              <w:spacing w:line="306" w:lineRule="auto"/>
              <w:rPr>
                <w:rFonts w:ascii="Arial"/>
                <w:sz w:val="21"/>
                <w:highlight w:val="none"/>
              </w:rPr>
            </w:pPr>
          </w:p>
          <w:p w14:paraId="4C2D06FA">
            <w:pPr>
              <w:pStyle w:val="31"/>
              <w:keepNext w:val="0"/>
              <w:keepLines w:val="0"/>
              <w:pageBreakBefore w:val="0"/>
              <w:kinsoku/>
              <w:wordWrap/>
              <w:overflowPunct/>
              <w:topLinePunct w:val="0"/>
              <w:bidi w:val="0"/>
              <w:spacing w:before="65" w:line="227" w:lineRule="auto"/>
              <w:ind w:left="113"/>
              <w:rPr>
                <w:highlight w:val="none"/>
              </w:rPr>
            </w:pPr>
            <w:r>
              <w:rPr>
                <w:spacing w:val="9"/>
                <w:highlight w:val="none"/>
              </w:rPr>
              <w:t>本项目采用综合评分法</w:t>
            </w:r>
          </w:p>
        </w:tc>
      </w:tr>
    </w:tbl>
    <w:p w14:paraId="3E48832A">
      <w:pPr>
        <w:pStyle w:val="4"/>
        <w:keepNext w:val="0"/>
        <w:keepLines w:val="0"/>
        <w:pageBreakBefore w:val="0"/>
        <w:kinsoku/>
        <w:wordWrap/>
        <w:overflowPunct/>
        <w:topLinePunct w:val="0"/>
        <w:bidi w:val="0"/>
      </w:pPr>
    </w:p>
    <w:p w14:paraId="55FCDC0F">
      <w:pPr>
        <w:keepNext w:val="0"/>
        <w:keepLines w:val="0"/>
        <w:pageBreakBefore w:val="0"/>
        <w:kinsoku/>
        <w:wordWrap/>
        <w:overflowPunct/>
        <w:topLinePunct w:val="0"/>
        <w:bidi w:val="0"/>
        <w:spacing w:line="42" w:lineRule="exact"/>
        <w:rPr>
          <w:rFonts w:hint="eastAsia" w:eastAsia="宋体"/>
          <w:lang w:eastAsia="zh-CN"/>
        </w:rPr>
      </w:pPr>
      <w:r>
        <w:rPr>
          <w:rFonts w:hint="eastAsia" w:eastAsia="宋体"/>
          <w:lang w:eastAsia="zh-CN"/>
        </w:rPr>
        <w:br w:type="page"/>
      </w:r>
    </w:p>
    <w:tbl>
      <w:tblPr>
        <w:tblStyle w:val="30"/>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638"/>
        <w:gridCol w:w="6466"/>
      </w:tblGrid>
      <w:tr w14:paraId="3D49E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6" w:hRule="atLeast"/>
        </w:trPr>
        <w:tc>
          <w:tcPr>
            <w:tcW w:w="971" w:type="dxa"/>
            <w:vAlign w:val="top"/>
          </w:tcPr>
          <w:p w14:paraId="1A2E592F">
            <w:pPr>
              <w:keepNext w:val="0"/>
              <w:keepLines w:val="0"/>
              <w:pageBreakBefore w:val="0"/>
              <w:kinsoku/>
              <w:wordWrap/>
              <w:overflowPunct/>
              <w:topLinePunct w:val="0"/>
              <w:bidi w:val="0"/>
              <w:spacing w:line="272" w:lineRule="auto"/>
              <w:rPr>
                <w:rFonts w:ascii="Arial"/>
                <w:color w:val="FF0000"/>
                <w:sz w:val="21"/>
                <w:highlight w:val="none"/>
              </w:rPr>
            </w:pPr>
          </w:p>
          <w:p w14:paraId="458417D8">
            <w:pPr>
              <w:keepNext w:val="0"/>
              <w:keepLines w:val="0"/>
              <w:pageBreakBefore w:val="0"/>
              <w:kinsoku/>
              <w:wordWrap/>
              <w:overflowPunct/>
              <w:topLinePunct w:val="0"/>
              <w:bidi w:val="0"/>
              <w:spacing w:line="272" w:lineRule="auto"/>
              <w:rPr>
                <w:rFonts w:ascii="Arial"/>
                <w:color w:val="FF0000"/>
                <w:sz w:val="21"/>
                <w:highlight w:val="none"/>
              </w:rPr>
            </w:pPr>
          </w:p>
          <w:p w14:paraId="3AD5B4BF">
            <w:pPr>
              <w:pStyle w:val="31"/>
              <w:keepNext w:val="0"/>
              <w:keepLines w:val="0"/>
              <w:pageBreakBefore w:val="0"/>
              <w:kinsoku/>
              <w:wordWrap/>
              <w:overflowPunct/>
              <w:topLinePunct w:val="0"/>
              <w:bidi w:val="0"/>
              <w:spacing w:before="65" w:line="268" w:lineRule="exact"/>
              <w:ind w:left="338"/>
              <w:rPr>
                <w:rFonts w:hint="default" w:eastAsia="宋体"/>
                <w:color w:val="FF0000"/>
                <w:highlight w:val="none"/>
                <w:lang w:val="en-US" w:eastAsia="zh-CN"/>
              </w:rPr>
            </w:pPr>
            <w:r>
              <w:rPr>
                <w:position w:val="1"/>
                <w:highlight w:val="none"/>
              </w:rPr>
              <w:t>7.1</w:t>
            </w:r>
          </w:p>
        </w:tc>
        <w:tc>
          <w:tcPr>
            <w:tcW w:w="1638" w:type="dxa"/>
            <w:vAlign w:val="top"/>
          </w:tcPr>
          <w:p w14:paraId="17164042">
            <w:pPr>
              <w:pStyle w:val="31"/>
              <w:keepNext w:val="0"/>
              <w:keepLines w:val="0"/>
              <w:pageBreakBefore w:val="0"/>
              <w:kinsoku/>
              <w:wordWrap/>
              <w:overflowPunct/>
              <w:topLinePunct w:val="0"/>
              <w:bidi w:val="0"/>
              <w:spacing w:before="137" w:line="228" w:lineRule="auto"/>
              <w:ind w:left="196"/>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是否授权评标</w:t>
            </w:r>
          </w:p>
          <w:p w14:paraId="1B5A9AF1">
            <w:pPr>
              <w:pStyle w:val="31"/>
              <w:keepNext w:val="0"/>
              <w:keepLines w:val="0"/>
              <w:pageBreakBefore w:val="0"/>
              <w:kinsoku/>
              <w:wordWrap/>
              <w:overflowPunct/>
              <w:topLinePunct w:val="0"/>
              <w:bidi w:val="0"/>
              <w:spacing w:before="228" w:line="227" w:lineRule="auto"/>
              <w:ind w:left="191"/>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委员会确定中</w:t>
            </w:r>
          </w:p>
          <w:p w14:paraId="42E574C5">
            <w:pPr>
              <w:pStyle w:val="31"/>
              <w:keepNext w:val="0"/>
              <w:keepLines w:val="0"/>
              <w:pageBreakBefore w:val="0"/>
              <w:kinsoku/>
              <w:wordWrap/>
              <w:overflowPunct/>
              <w:topLinePunct w:val="0"/>
              <w:bidi w:val="0"/>
              <w:spacing w:before="232" w:line="228" w:lineRule="auto"/>
              <w:ind w:left="613"/>
              <w:rPr>
                <w:color w:val="FF0000"/>
                <w:highlight w:val="none"/>
              </w:rPr>
            </w:pPr>
            <w:r>
              <w:rPr>
                <w:color w:val="000000" w:themeColor="text1"/>
                <w:spacing w:val="4"/>
                <w:highlight w:val="none"/>
                <w14:textFill>
                  <w14:solidFill>
                    <w14:schemeClr w14:val="tx1"/>
                  </w14:solidFill>
                </w14:textFill>
              </w:rPr>
              <w:t>标人</w:t>
            </w:r>
          </w:p>
        </w:tc>
        <w:tc>
          <w:tcPr>
            <w:tcW w:w="6466" w:type="dxa"/>
            <w:vAlign w:val="top"/>
          </w:tcPr>
          <w:p w14:paraId="62162F00">
            <w:pPr>
              <w:keepNext w:val="0"/>
              <w:keepLines w:val="0"/>
              <w:pageBreakBefore w:val="0"/>
              <w:kinsoku/>
              <w:wordWrap/>
              <w:overflowPunct/>
              <w:topLinePunct w:val="0"/>
              <w:bidi w:val="0"/>
              <w:spacing w:line="272" w:lineRule="auto"/>
              <w:rPr>
                <w:rFonts w:ascii="Arial"/>
                <w:color w:val="FF0000"/>
                <w:sz w:val="21"/>
                <w:highlight w:val="none"/>
              </w:rPr>
            </w:pPr>
          </w:p>
          <w:p w14:paraId="16CF57B3">
            <w:pPr>
              <w:keepNext w:val="0"/>
              <w:keepLines w:val="0"/>
              <w:pageBreakBefore w:val="0"/>
              <w:kinsoku/>
              <w:wordWrap/>
              <w:overflowPunct/>
              <w:topLinePunct w:val="0"/>
              <w:bidi w:val="0"/>
              <w:spacing w:line="272" w:lineRule="auto"/>
              <w:rPr>
                <w:rFonts w:ascii="Arial"/>
                <w:color w:val="FF0000"/>
                <w:sz w:val="21"/>
                <w:highlight w:val="none"/>
              </w:rPr>
            </w:pPr>
          </w:p>
          <w:p w14:paraId="6BF2785C">
            <w:pPr>
              <w:pStyle w:val="31"/>
              <w:keepNext w:val="0"/>
              <w:keepLines w:val="0"/>
              <w:pageBreakBefore w:val="0"/>
              <w:kinsoku/>
              <w:wordWrap/>
              <w:overflowPunct/>
              <w:topLinePunct w:val="0"/>
              <w:bidi w:val="0"/>
              <w:spacing w:before="65" w:line="227" w:lineRule="auto"/>
              <w:ind w:left="118"/>
              <w:rPr>
                <w:color w:val="FF0000"/>
                <w:highlight w:val="none"/>
              </w:rPr>
            </w:pPr>
            <w:r>
              <w:rPr>
                <w:spacing w:val="7"/>
                <w:highlight w:val="none"/>
              </w:rPr>
              <w:t>否，推荐的中标候选人数：3</w:t>
            </w:r>
            <w:r>
              <w:rPr>
                <w:spacing w:val="-25"/>
                <w:highlight w:val="none"/>
              </w:rPr>
              <w:t xml:space="preserve"> </w:t>
            </w:r>
            <w:r>
              <w:rPr>
                <w:spacing w:val="7"/>
                <w:highlight w:val="none"/>
              </w:rPr>
              <w:t>名</w:t>
            </w:r>
          </w:p>
        </w:tc>
      </w:tr>
      <w:tr w14:paraId="183FC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9075" w:type="dxa"/>
            <w:gridSpan w:val="3"/>
            <w:vAlign w:val="top"/>
          </w:tcPr>
          <w:p w14:paraId="6013DFB8">
            <w:pPr>
              <w:pStyle w:val="31"/>
              <w:keepNext w:val="0"/>
              <w:keepLines w:val="0"/>
              <w:pageBreakBefore w:val="0"/>
              <w:kinsoku/>
              <w:wordWrap/>
              <w:overflowPunct/>
              <w:topLinePunct w:val="0"/>
              <w:bidi w:val="0"/>
              <w:spacing w:before="234" w:line="228" w:lineRule="auto"/>
              <w:ind w:left="130"/>
            </w:pPr>
            <w:r>
              <w:rPr>
                <w:rFonts w:hint="eastAsia"/>
                <w:spacing w:val="5"/>
                <w:lang w:val="en-US" w:eastAsia="zh-CN"/>
              </w:rPr>
              <w:t>10</w:t>
            </w:r>
            <w:r>
              <w:rPr>
                <w:spacing w:val="5"/>
              </w:rPr>
              <w:t>.</w:t>
            </w:r>
            <w:r>
              <w:rPr>
                <w:spacing w:val="14"/>
              </w:rPr>
              <w:t xml:space="preserve">  </w:t>
            </w:r>
            <w:r>
              <w:rPr>
                <w:spacing w:val="5"/>
              </w:rPr>
              <w:t>需要补充的其他内容</w:t>
            </w:r>
          </w:p>
        </w:tc>
      </w:tr>
      <w:tr w14:paraId="68154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0" w:hRule="atLeast"/>
        </w:trPr>
        <w:tc>
          <w:tcPr>
            <w:tcW w:w="971" w:type="dxa"/>
            <w:vAlign w:val="top"/>
          </w:tcPr>
          <w:p w14:paraId="3BA97383">
            <w:pPr>
              <w:spacing w:line="269" w:lineRule="auto"/>
              <w:rPr>
                <w:rFonts w:ascii="Arial"/>
                <w:sz w:val="21"/>
                <w:highlight w:val="none"/>
              </w:rPr>
            </w:pPr>
          </w:p>
          <w:p w14:paraId="141621C9">
            <w:pPr>
              <w:spacing w:line="270" w:lineRule="auto"/>
              <w:rPr>
                <w:rFonts w:ascii="Arial"/>
                <w:sz w:val="21"/>
                <w:highlight w:val="none"/>
              </w:rPr>
            </w:pPr>
          </w:p>
          <w:p w14:paraId="74177569">
            <w:pPr>
              <w:pStyle w:val="31"/>
              <w:spacing w:before="65" w:line="268" w:lineRule="exact"/>
              <w:ind w:left="296" w:leftChars="0"/>
              <w:rPr>
                <w:highlight w:val="none"/>
              </w:rPr>
            </w:pPr>
            <w:r>
              <w:rPr>
                <w:spacing w:val="-1"/>
                <w:position w:val="1"/>
                <w:highlight w:val="none"/>
              </w:rPr>
              <w:t>10.1</w:t>
            </w:r>
          </w:p>
        </w:tc>
        <w:tc>
          <w:tcPr>
            <w:tcW w:w="1638" w:type="dxa"/>
            <w:vAlign w:val="top"/>
          </w:tcPr>
          <w:p w14:paraId="084EEEF2">
            <w:pPr>
              <w:keepNext w:val="0"/>
              <w:keepLines w:val="0"/>
              <w:pageBreakBefore w:val="0"/>
              <w:kinsoku/>
              <w:wordWrap/>
              <w:overflowPunct/>
              <w:topLinePunct w:val="0"/>
              <w:bidi w:val="0"/>
              <w:spacing w:line="303" w:lineRule="auto"/>
              <w:rPr>
                <w:rFonts w:ascii="Arial"/>
                <w:sz w:val="21"/>
                <w:highlight w:val="none"/>
              </w:rPr>
            </w:pPr>
          </w:p>
          <w:p w14:paraId="71CDA400">
            <w:pPr>
              <w:pStyle w:val="31"/>
              <w:keepNext w:val="0"/>
              <w:keepLines w:val="0"/>
              <w:pageBreakBefore w:val="0"/>
              <w:kinsoku/>
              <w:wordWrap/>
              <w:overflowPunct/>
              <w:topLinePunct w:val="0"/>
              <w:bidi w:val="0"/>
              <w:spacing w:before="65" w:line="441" w:lineRule="auto"/>
              <w:ind w:left="613" w:right="293" w:hanging="316"/>
              <w:rPr>
                <w:highlight w:val="none"/>
              </w:rPr>
            </w:pPr>
            <w:r>
              <w:rPr>
                <w:spacing w:val="8"/>
                <w:highlight w:val="none"/>
              </w:rPr>
              <w:t>对中标人的</w:t>
            </w:r>
            <w:r>
              <w:rPr>
                <w:spacing w:val="4"/>
                <w:highlight w:val="none"/>
              </w:rPr>
              <w:t>要求</w:t>
            </w:r>
          </w:p>
        </w:tc>
        <w:tc>
          <w:tcPr>
            <w:tcW w:w="6466" w:type="dxa"/>
            <w:vAlign w:val="top"/>
          </w:tcPr>
          <w:p w14:paraId="4FB4F8C6">
            <w:pPr>
              <w:pStyle w:val="31"/>
              <w:keepNext w:val="0"/>
              <w:keepLines w:val="0"/>
              <w:pageBreakBefore w:val="0"/>
              <w:kinsoku/>
              <w:wordWrap/>
              <w:overflowPunct/>
              <w:topLinePunct w:val="0"/>
              <w:bidi w:val="0"/>
              <w:spacing w:before="133" w:line="396" w:lineRule="auto"/>
              <w:ind w:left="113" w:right="109" w:firstLine="18"/>
              <w:jc w:val="both"/>
              <w:rPr>
                <w:highlight w:val="none"/>
              </w:rPr>
            </w:pPr>
            <w:r>
              <w:rPr>
                <w:spacing w:val="6"/>
                <w:highlight w:val="none"/>
              </w:rPr>
              <w:t>中标人自接到中标通知书之日起</w:t>
            </w:r>
            <w:r>
              <w:rPr>
                <w:spacing w:val="-21"/>
                <w:highlight w:val="none"/>
              </w:rPr>
              <w:t xml:space="preserve"> </w:t>
            </w:r>
            <w:r>
              <w:rPr>
                <w:spacing w:val="6"/>
                <w:highlight w:val="none"/>
              </w:rPr>
              <w:t>15 日内与采购人签订合同，如</w:t>
            </w:r>
            <w:r>
              <w:rPr>
                <w:spacing w:val="5"/>
                <w:highlight w:val="none"/>
              </w:rPr>
              <w:t>中标</w:t>
            </w:r>
            <w:r>
              <w:rPr>
                <w:spacing w:val="8"/>
                <w:highlight w:val="none"/>
              </w:rPr>
              <w:t>人无正当理由拒签合同的，采购人取消其中标资格。给采购人</w:t>
            </w:r>
            <w:r>
              <w:rPr>
                <w:spacing w:val="7"/>
                <w:highlight w:val="none"/>
              </w:rPr>
              <w:t>造成实</w:t>
            </w:r>
            <w:r>
              <w:rPr>
                <w:spacing w:val="9"/>
                <w:highlight w:val="none"/>
              </w:rPr>
              <w:t>质性损失的，中标人还应当对采购人的损失予以赔偿。</w:t>
            </w:r>
          </w:p>
        </w:tc>
      </w:tr>
      <w:tr w14:paraId="463D3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7" w:hRule="atLeast"/>
        </w:trPr>
        <w:tc>
          <w:tcPr>
            <w:tcW w:w="971" w:type="dxa"/>
            <w:vAlign w:val="top"/>
          </w:tcPr>
          <w:p w14:paraId="7217CA0B">
            <w:pPr>
              <w:spacing w:line="250" w:lineRule="auto"/>
              <w:rPr>
                <w:rFonts w:ascii="Arial"/>
                <w:sz w:val="21"/>
                <w:highlight w:val="none"/>
              </w:rPr>
            </w:pPr>
          </w:p>
          <w:p w14:paraId="32865269">
            <w:pPr>
              <w:spacing w:line="250" w:lineRule="auto"/>
              <w:rPr>
                <w:rFonts w:ascii="Arial"/>
                <w:sz w:val="21"/>
                <w:highlight w:val="none"/>
              </w:rPr>
            </w:pPr>
          </w:p>
          <w:p w14:paraId="2B5F3A2C">
            <w:pPr>
              <w:spacing w:line="250" w:lineRule="auto"/>
              <w:rPr>
                <w:rFonts w:ascii="Arial"/>
                <w:sz w:val="21"/>
                <w:highlight w:val="none"/>
              </w:rPr>
            </w:pPr>
          </w:p>
          <w:p w14:paraId="434E4B30">
            <w:pPr>
              <w:spacing w:line="250" w:lineRule="auto"/>
              <w:rPr>
                <w:rFonts w:ascii="Arial"/>
                <w:sz w:val="21"/>
                <w:highlight w:val="none"/>
              </w:rPr>
            </w:pPr>
          </w:p>
          <w:p w14:paraId="38BD8032">
            <w:pPr>
              <w:spacing w:line="250" w:lineRule="auto"/>
              <w:rPr>
                <w:rFonts w:ascii="Arial"/>
                <w:sz w:val="21"/>
                <w:highlight w:val="none"/>
              </w:rPr>
            </w:pPr>
          </w:p>
          <w:p w14:paraId="7635F8AE">
            <w:pPr>
              <w:pStyle w:val="31"/>
              <w:spacing w:before="65" w:line="268" w:lineRule="exact"/>
              <w:ind w:left="296" w:leftChars="0"/>
              <w:rPr>
                <w:highlight w:val="none"/>
              </w:rPr>
            </w:pPr>
            <w:r>
              <w:rPr>
                <w:spacing w:val="-1"/>
                <w:position w:val="1"/>
                <w:highlight w:val="none"/>
              </w:rPr>
              <w:t>10.2</w:t>
            </w:r>
          </w:p>
        </w:tc>
        <w:tc>
          <w:tcPr>
            <w:tcW w:w="1638" w:type="dxa"/>
            <w:vAlign w:val="top"/>
          </w:tcPr>
          <w:p w14:paraId="1557FB50">
            <w:pPr>
              <w:keepNext w:val="0"/>
              <w:keepLines w:val="0"/>
              <w:pageBreakBefore w:val="0"/>
              <w:kinsoku/>
              <w:wordWrap/>
              <w:overflowPunct/>
              <w:topLinePunct w:val="0"/>
              <w:bidi w:val="0"/>
              <w:spacing w:line="250" w:lineRule="auto"/>
              <w:rPr>
                <w:rFonts w:ascii="Arial"/>
                <w:sz w:val="21"/>
                <w:highlight w:val="none"/>
              </w:rPr>
            </w:pPr>
          </w:p>
          <w:p w14:paraId="2681FAB9">
            <w:pPr>
              <w:keepNext w:val="0"/>
              <w:keepLines w:val="0"/>
              <w:pageBreakBefore w:val="0"/>
              <w:kinsoku/>
              <w:wordWrap/>
              <w:overflowPunct/>
              <w:topLinePunct w:val="0"/>
              <w:bidi w:val="0"/>
              <w:spacing w:line="250" w:lineRule="auto"/>
              <w:rPr>
                <w:rFonts w:ascii="Arial"/>
                <w:sz w:val="21"/>
                <w:highlight w:val="none"/>
              </w:rPr>
            </w:pPr>
          </w:p>
          <w:p w14:paraId="174F5C26">
            <w:pPr>
              <w:keepNext w:val="0"/>
              <w:keepLines w:val="0"/>
              <w:pageBreakBefore w:val="0"/>
              <w:kinsoku/>
              <w:wordWrap/>
              <w:overflowPunct/>
              <w:topLinePunct w:val="0"/>
              <w:bidi w:val="0"/>
              <w:spacing w:line="250" w:lineRule="auto"/>
              <w:rPr>
                <w:rFonts w:ascii="Arial"/>
                <w:sz w:val="21"/>
                <w:highlight w:val="none"/>
              </w:rPr>
            </w:pPr>
          </w:p>
          <w:p w14:paraId="7607B865">
            <w:pPr>
              <w:keepNext w:val="0"/>
              <w:keepLines w:val="0"/>
              <w:pageBreakBefore w:val="0"/>
              <w:kinsoku/>
              <w:wordWrap/>
              <w:overflowPunct/>
              <w:topLinePunct w:val="0"/>
              <w:bidi w:val="0"/>
              <w:spacing w:line="250" w:lineRule="auto"/>
              <w:rPr>
                <w:rFonts w:ascii="Arial"/>
                <w:sz w:val="21"/>
                <w:highlight w:val="none"/>
              </w:rPr>
            </w:pPr>
          </w:p>
          <w:p w14:paraId="058BED2C">
            <w:pPr>
              <w:keepNext w:val="0"/>
              <w:keepLines w:val="0"/>
              <w:pageBreakBefore w:val="0"/>
              <w:kinsoku/>
              <w:wordWrap/>
              <w:overflowPunct/>
              <w:topLinePunct w:val="0"/>
              <w:bidi w:val="0"/>
              <w:spacing w:line="251" w:lineRule="auto"/>
              <w:rPr>
                <w:rFonts w:ascii="Arial"/>
                <w:sz w:val="21"/>
                <w:highlight w:val="none"/>
              </w:rPr>
            </w:pPr>
          </w:p>
          <w:p w14:paraId="22C082EB">
            <w:pPr>
              <w:pStyle w:val="31"/>
              <w:keepNext w:val="0"/>
              <w:keepLines w:val="0"/>
              <w:pageBreakBefore w:val="0"/>
              <w:kinsoku/>
              <w:wordWrap/>
              <w:overflowPunct/>
              <w:topLinePunct w:val="0"/>
              <w:bidi w:val="0"/>
              <w:spacing w:before="65" w:line="228" w:lineRule="auto"/>
              <w:ind w:left="406"/>
              <w:rPr>
                <w:highlight w:val="none"/>
              </w:rPr>
            </w:pPr>
            <w:r>
              <w:rPr>
                <w:spacing w:val="6"/>
                <w:highlight w:val="none"/>
              </w:rPr>
              <w:t>投标费用</w:t>
            </w:r>
          </w:p>
        </w:tc>
        <w:tc>
          <w:tcPr>
            <w:tcW w:w="6466" w:type="dxa"/>
            <w:vAlign w:val="top"/>
          </w:tcPr>
          <w:p w14:paraId="20AF50D6">
            <w:pPr>
              <w:pStyle w:val="31"/>
              <w:keepNext w:val="0"/>
              <w:keepLines w:val="0"/>
              <w:pageBreakBefore w:val="0"/>
              <w:kinsoku/>
              <w:wordWrap/>
              <w:overflowPunct/>
              <w:topLinePunct w:val="0"/>
              <w:bidi w:val="0"/>
              <w:spacing w:before="134" w:line="439" w:lineRule="auto"/>
              <w:ind w:left="113" w:right="109" w:firstLine="14"/>
              <w:rPr>
                <w:highlight w:val="none"/>
              </w:rPr>
            </w:pPr>
            <w:r>
              <w:rPr>
                <w:spacing w:val="7"/>
                <w:highlight w:val="none"/>
              </w:rPr>
              <w:t>1.投标人准备和参加投标活动发生的费用自理。在任何情况下采购人</w:t>
            </w:r>
            <w:r>
              <w:rPr>
                <w:spacing w:val="9"/>
                <w:highlight w:val="none"/>
              </w:rPr>
              <w:t>和采购代理机构对上述费用均不承担任何责</w:t>
            </w:r>
            <w:r>
              <w:rPr>
                <w:spacing w:val="8"/>
                <w:highlight w:val="none"/>
              </w:rPr>
              <w:t>任。</w:t>
            </w:r>
          </w:p>
          <w:p w14:paraId="4D2ED3D8">
            <w:pPr>
              <w:pStyle w:val="31"/>
              <w:keepNext w:val="0"/>
              <w:keepLines w:val="0"/>
              <w:pageBreakBefore w:val="0"/>
              <w:kinsoku/>
              <w:wordWrap/>
              <w:overflowPunct/>
              <w:topLinePunct w:val="0"/>
              <w:bidi w:val="0"/>
              <w:spacing w:before="1" w:line="406" w:lineRule="auto"/>
              <w:ind w:left="114" w:right="69"/>
              <w:rPr>
                <w:highlight w:val="none"/>
              </w:rPr>
            </w:pPr>
            <w:r>
              <w:rPr>
                <w:spacing w:val="9"/>
                <w:highlight w:val="none"/>
              </w:rPr>
              <w:t>2.本项目采购代理服务费参照《河南省招标代理服务收费指</w:t>
            </w:r>
            <w:r>
              <w:rPr>
                <w:spacing w:val="8"/>
                <w:highlight w:val="none"/>
              </w:rPr>
              <w:t>导意见》</w:t>
            </w:r>
            <w:r>
              <w:rPr>
                <w:highlight w:val="none"/>
              </w:rPr>
              <w:t xml:space="preserve"> </w:t>
            </w:r>
            <w:r>
              <w:rPr>
                <w:spacing w:val="8"/>
                <w:highlight w:val="none"/>
              </w:rPr>
              <w:t>(豫招协(2023)2</w:t>
            </w:r>
            <w:r>
              <w:rPr>
                <w:spacing w:val="-35"/>
                <w:highlight w:val="none"/>
              </w:rPr>
              <w:t xml:space="preserve"> </w:t>
            </w:r>
            <w:r>
              <w:rPr>
                <w:spacing w:val="8"/>
                <w:highlight w:val="none"/>
              </w:rPr>
              <w:t>号)规定的代理服务费收费标准的规定，向</w:t>
            </w:r>
            <w:r>
              <w:rPr>
                <w:rFonts w:hint="eastAsia"/>
                <w:spacing w:val="8"/>
                <w:highlight w:val="none"/>
                <w:lang w:eastAsia="zh-CN"/>
              </w:rPr>
              <w:t>中标人</w:t>
            </w:r>
            <w:r>
              <w:rPr>
                <w:spacing w:val="8"/>
                <w:highlight w:val="none"/>
              </w:rPr>
              <w:t>收取代理服务费。由</w:t>
            </w:r>
            <w:r>
              <w:rPr>
                <w:rFonts w:hint="eastAsia"/>
                <w:spacing w:val="8"/>
                <w:highlight w:val="none"/>
                <w:lang w:eastAsia="zh-CN"/>
              </w:rPr>
              <w:t>中标人</w:t>
            </w:r>
            <w:r>
              <w:rPr>
                <w:spacing w:val="8"/>
                <w:highlight w:val="none"/>
              </w:rPr>
              <w:t>在领取中标通知书之前</w:t>
            </w:r>
            <w:r>
              <w:rPr>
                <w:spacing w:val="7"/>
                <w:highlight w:val="none"/>
              </w:rPr>
              <w:t>一次性向代</w:t>
            </w:r>
            <w:r>
              <w:rPr>
                <w:spacing w:val="8"/>
                <w:highlight w:val="none"/>
              </w:rPr>
              <w:t>理机构足额交纳采购代理服务费。</w:t>
            </w:r>
          </w:p>
        </w:tc>
      </w:tr>
      <w:tr w14:paraId="6CEC1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971" w:type="dxa"/>
            <w:vAlign w:val="top"/>
          </w:tcPr>
          <w:p w14:paraId="6DC3C092">
            <w:pPr>
              <w:pStyle w:val="31"/>
              <w:spacing w:before="237" w:line="268" w:lineRule="exact"/>
              <w:ind w:left="296" w:leftChars="0"/>
              <w:rPr>
                <w:highlight w:val="none"/>
              </w:rPr>
            </w:pPr>
            <w:r>
              <w:rPr>
                <w:spacing w:val="-1"/>
                <w:position w:val="1"/>
                <w:highlight w:val="none"/>
              </w:rPr>
              <w:t>10.3</w:t>
            </w:r>
          </w:p>
        </w:tc>
        <w:tc>
          <w:tcPr>
            <w:tcW w:w="1638" w:type="dxa"/>
            <w:vAlign w:val="top"/>
          </w:tcPr>
          <w:p w14:paraId="21F49C24">
            <w:pPr>
              <w:pStyle w:val="31"/>
              <w:keepNext w:val="0"/>
              <w:keepLines w:val="0"/>
              <w:pageBreakBefore w:val="0"/>
              <w:kinsoku/>
              <w:wordWrap/>
              <w:overflowPunct/>
              <w:topLinePunct w:val="0"/>
              <w:bidi w:val="0"/>
              <w:spacing w:before="238" w:line="228" w:lineRule="auto"/>
              <w:ind w:left="182"/>
              <w:rPr>
                <w:highlight w:val="none"/>
              </w:rPr>
            </w:pPr>
            <w:r>
              <w:rPr>
                <w:spacing w:val="4"/>
                <w:highlight w:val="none"/>
              </w:rPr>
              <w:t>“暗标</w:t>
            </w:r>
            <w:r>
              <w:rPr>
                <w:spacing w:val="-66"/>
                <w:highlight w:val="none"/>
              </w:rPr>
              <w:t xml:space="preserve"> </w:t>
            </w:r>
            <w:r>
              <w:rPr>
                <w:spacing w:val="4"/>
                <w:highlight w:val="none"/>
              </w:rPr>
              <w:t>”评审</w:t>
            </w:r>
          </w:p>
        </w:tc>
        <w:tc>
          <w:tcPr>
            <w:tcW w:w="6466" w:type="dxa"/>
            <w:vAlign w:val="top"/>
          </w:tcPr>
          <w:p w14:paraId="079BED98">
            <w:pPr>
              <w:pStyle w:val="31"/>
              <w:keepNext w:val="0"/>
              <w:keepLines w:val="0"/>
              <w:pageBreakBefore w:val="0"/>
              <w:kinsoku/>
              <w:wordWrap/>
              <w:overflowPunct/>
              <w:topLinePunct w:val="0"/>
              <w:bidi w:val="0"/>
              <w:spacing w:before="237" w:line="227" w:lineRule="auto"/>
              <w:ind w:left="115"/>
              <w:rPr>
                <w:highlight w:val="none"/>
              </w:rPr>
            </w:pPr>
            <w:r>
              <w:rPr>
                <w:spacing w:val="5"/>
                <w:highlight w:val="none"/>
              </w:rPr>
              <w:t>不采用</w:t>
            </w:r>
          </w:p>
        </w:tc>
      </w:tr>
      <w:tr w14:paraId="39ACA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971" w:type="dxa"/>
            <w:vAlign w:val="top"/>
          </w:tcPr>
          <w:p w14:paraId="513A71FE">
            <w:pPr>
              <w:spacing w:line="306" w:lineRule="auto"/>
              <w:rPr>
                <w:rFonts w:ascii="Arial"/>
                <w:sz w:val="21"/>
                <w:highlight w:val="none"/>
              </w:rPr>
            </w:pPr>
          </w:p>
          <w:p w14:paraId="34CE3298">
            <w:pPr>
              <w:pStyle w:val="31"/>
              <w:spacing w:before="65" w:line="268" w:lineRule="exact"/>
              <w:ind w:left="296" w:leftChars="0"/>
              <w:rPr>
                <w:highlight w:val="none"/>
              </w:rPr>
            </w:pPr>
            <w:r>
              <w:rPr>
                <w:spacing w:val="-1"/>
                <w:position w:val="1"/>
                <w:highlight w:val="none"/>
              </w:rPr>
              <w:t>10.4</w:t>
            </w:r>
          </w:p>
        </w:tc>
        <w:tc>
          <w:tcPr>
            <w:tcW w:w="1638" w:type="dxa"/>
            <w:vAlign w:val="top"/>
          </w:tcPr>
          <w:p w14:paraId="5A27F24D">
            <w:pPr>
              <w:keepNext w:val="0"/>
              <w:keepLines w:val="0"/>
              <w:pageBreakBefore w:val="0"/>
              <w:kinsoku/>
              <w:wordWrap/>
              <w:overflowPunct/>
              <w:topLinePunct w:val="0"/>
              <w:bidi w:val="0"/>
              <w:spacing w:line="306" w:lineRule="auto"/>
              <w:rPr>
                <w:rFonts w:ascii="Arial"/>
                <w:sz w:val="21"/>
                <w:highlight w:val="none"/>
              </w:rPr>
            </w:pPr>
          </w:p>
          <w:p w14:paraId="092B9373">
            <w:pPr>
              <w:pStyle w:val="31"/>
              <w:keepNext w:val="0"/>
              <w:keepLines w:val="0"/>
              <w:pageBreakBefore w:val="0"/>
              <w:kinsoku/>
              <w:wordWrap/>
              <w:overflowPunct/>
              <w:topLinePunct w:val="0"/>
              <w:bidi w:val="0"/>
              <w:spacing w:before="65" w:line="226" w:lineRule="auto"/>
              <w:ind w:left="212"/>
              <w:rPr>
                <w:highlight w:val="none"/>
              </w:rPr>
            </w:pPr>
            <w:r>
              <w:rPr>
                <w:spacing w:val="4"/>
                <w:highlight w:val="none"/>
              </w:rPr>
              <w:t>中标结果公告</w:t>
            </w:r>
          </w:p>
        </w:tc>
        <w:tc>
          <w:tcPr>
            <w:tcW w:w="6466" w:type="dxa"/>
            <w:vAlign w:val="top"/>
          </w:tcPr>
          <w:p w14:paraId="4CB697CD">
            <w:pPr>
              <w:pStyle w:val="31"/>
              <w:keepNext w:val="0"/>
              <w:keepLines w:val="0"/>
              <w:pageBreakBefore w:val="0"/>
              <w:kinsoku/>
              <w:wordWrap/>
              <w:overflowPunct/>
              <w:topLinePunct w:val="0"/>
              <w:bidi w:val="0"/>
              <w:spacing w:before="135" w:line="374" w:lineRule="auto"/>
              <w:ind w:left="118" w:right="109" w:hanging="7"/>
              <w:rPr>
                <w:highlight w:val="none"/>
              </w:rPr>
            </w:pPr>
            <w:r>
              <w:rPr>
                <w:spacing w:val="7"/>
                <w:highlight w:val="none"/>
              </w:rPr>
              <w:t>采购人或者采购代理机构自中标人确定之日起</w:t>
            </w:r>
            <w:r>
              <w:rPr>
                <w:spacing w:val="-34"/>
                <w:highlight w:val="none"/>
              </w:rPr>
              <w:t xml:space="preserve"> </w:t>
            </w:r>
            <w:r>
              <w:rPr>
                <w:spacing w:val="7"/>
                <w:highlight w:val="none"/>
              </w:rPr>
              <w:t>2</w:t>
            </w:r>
            <w:r>
              <w:rPr>
                <w:spacing w:val="-37"/>
                <w:highlight w:val="none"/>
              </w:rPr>
              <w:t xml:space="preserve"> </w:t>
            </w:r>
            <w:r>
              <w:rPr>
                <w:spacing w:val="7"/>
                <w:highlight w:val="none"/>
              </w:rPr>
              <w:t>个工作日内，在招标</w:t>
            </w:r>
            <w:r>
              <w:rPr>
                <w:spacing w:val="8"/>
                <w:highlight w:val="none"/>
              </w:rPr>
              <w:t>公告发布的同一媒介公告中标结果，中标公告</w:t>
            </w:r>
            <w:r>
              <w:rPr>
                <w:spacing w:val="7"/>
                <w:highlight w:val="none"/>
              </w:rPr>
              <w:t>期限为</w:t>
            </w:r>
            <w:r>
              <w:rPr>
                <w:spacing w:val="-23"/>
                <w:highlight w:val="none"/>
              </w:rPr>
              <w:t xml:space="preserve"> </w:t>
            </w:r>
            <w:r>
              <w:rPr>
                <w:spacing w:val="7"/>
                <w:highlight w:val="none"/>
              </w:rPr>
              <w:t>1</w:t>
            </w:r>
            <w:r>
              <w:rPr>
                <w:spacing w:val="-38"/>
                <w:highlight w:val="none"/>
              </w:rPr>
              <w:t xml:space="preserve"> </w:t>
            </w:r>
            <w:r>
              <w:rPr>
                <w:spacing w:val="7"/>
                <w:highlight w:val="none"/>
              </w:rPr>
              <w:t>个工作日。</w:t>
            </w:r>
          </w:p>
        </w:tc>
      </w:tr>
      <w:tr w14:paraId="6FF7A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6" w:hRule="atLeast"/>
        </w:trPr>
        <w:tc>
          <w:tcPr>
            <w:tcW w:w="971" w:type="dxa"/>
            <w:vAlign w:val="top"/>
          </w:tcPr>
          <w:p w14:paraId="635BE32D">
            <w:pPr>
              <w:spacing w:line="260" w:lineRule="auto"/>
              <w:rPr>
                <w:rFonts w:ascii="Arial"/>
                <w:sz w:val="21"/>
                <w:highlight w:val="none"/>
              </w:rPr>
            </w:pPr>
          </w:p>
          <w:p w14:paraId="255BE4C9">
            <w:pPr>
              <w:spacing w:line="260" w:lineRule="auto"/>
              <w:rPr>
                <w:rFonts w:ascii="Arial"/>
                <w:sz w:val="21"/>
                <w:highlight w:val="none"/>
              </w:rPr>
            </w:pPr>
          </w:p>
          <w:p w14:paraId="501B8622">
            <w:pPr>
              <w:spacing w:line="260" w:lineRule="auto"/>
              <w:rPr>
                <w:rFonts w:ascii="Arial"/>
                <w:sz w:val="21"/>
                <w:highlight w:val="none"/>
              </w:rPr>
            </w:pPr>
          </w:p>
          <w:p w14:paraId="61CD2BB2">
            <w:pPr>
              <w:pStyle w:val="31"/>
              <w:spacing w:before="65" w:line="267" w:lineRule="exact"/>
              <w:ind w:left="296" w:leftChars="0"/>
              <w:rPr>
                <w:highlight w:val="none"/>
              </w:rPr>
            </w:pPr>
            <w:r>
              <w:rPr>
                <w:spacing w:val="-1"/>
                <w:position w:val="1"/>
                <w:highlight w:val="none"/>
              </w:rPr>
              <w:t>10.5</w:t>
            </w:r>
          </w:p>
        </w:tc>
        <w:tc>
          <w:tcPr>
            <w:tcW w:w="1638" w:type="dxa"/>
            <w:vAlign w:val="top"/>
          </w:tcPr>
          <w:p w14:paraId="185E9F99">
            <w:pPr>
              <w:keepNext w:val="0"/>
              <w:keepLines w:val="0"/>
              <w:pageBreakBefore w:val="0"/>
              <w:kinsoku/>
              <w:wordWrap/>
              <w:overflowPunct/>
              <w:topLinePunct w:val="0"/>
              <w:bidi w:val="0"/>
              <w:spacing w:line="259" w:lineRule="auto"/>
              <w:rPr>
                <w:rFonts w:ascii="Arial"/>
                <w:sz w:val="21"/>
                <w:highlight w:val="none"/>
              </w:rPr>
            </w:pPr>
          </w:p>
          <w:p w14:paraId="0F6D7287">
            <w:pPr>
              <w:keepNext w:val="0"/>
              <w:keepLines w:val="0"/>
              <w:pageBreakBefore w:val="0"/>
              <w:kinsoku/>
              <w:wordWrap/>
              <w:overflowPunct/>
              <w:topLinePunct w:val="0"/>
              <w:bidi w:val="0"/>
              <w:spacing w:line="260" w:lineRule="auto"/>
              <w:rPr>
                <w:rFonts w:ascii="Arial"/>
                <w:sz w:val="21"/>
                <w:highlight w:val="none"/>
              </w:rPr>
            </w:pPr>
          </w:p>
          <w:p w14:paraId="2DA64AB6">
            <w:pPr>
              <w:keepNext w:val="0"/>
              <w:keepLines w:val="0"/>
              <w:pageBreakBefore w:val="0"/>
              <w:kinsoku/>
              <w:wordWrap/>
              <w:overflowPunct/>
              <w:topLinePunct w:val="0"/>
              <w:bidi w:val="0"/>
              <w:spacing w:line="260" w:lineRule="auto"/>
              <w:rPr>
                <w:rFonts w:ascii="Arial"/>
                <w:sz w:val="21"/>
                <w:highlight w:val="none"/>
              </w:rPr>
            </w:pPr>
          </w:p>
          <w:p w14:paraId="09047C79">
            <w:pPr>
              <w:pStyle w:val="31"/>
              <w:keepNext w:val="0"/>
              <w:keepLines w:val="0"/>
              <w:pageBreakBefore w:val="0"/>
              <w:kinsoku/>
              <w:wordWrap/>
              <w:overflowPunct/>
              <w:topLinePunct w:val="0"/>
              <w:bidi w:val="0"/>
              <w:spacing w:before="65" w:line="228" w:lineRule="auto"/>
              <w:ind w:left="408"/>
              <w:rPr>
                <w:highlight w:val="none"/>
              </w:rPr>
            </w:pPr>
            <w:r>
              <w:rPr>
                <w:spacing w:val="6"/>
                <w:highlight w:val="none"/>
              </w:rPr>
              <w:t>知识产权</w:t>
            </w:r>
          </w:p>
        </w:tc>
        <w:tc>
          <w:tcPr>
            <w:tcW w:w="6466" w:type="dxa"/>
            <w:vAlign w:val="top"/>
          </w:tcPr>
          <w:p w14:paraId="6AC08211">
            <w:pPr>
              <w:pStyle w:val="31"/>
              <w:keepNext w:val="0"/>
              <w:keepLines w:val="0"/>
              <w:pageBreakBefore w:val="0"/>
              <w:kinsoku/>
              <w:wordWrap/>
              <w:overflowPunct/>
              <w:topLinePunct w:val="0"/>
              <w:bidi w:val="0"/>
              <w:spacing w:before="136" w:line="406" w:lineRule="auto"/>
              <w:ind w:left="113" w:right="109" w:firstLine="1"/>
              <w:jc w:val="both"/>
              <w:rPr>
                <w:highlight w:val="none"/>
              </w:rPr>
            </w:pPr>
            <w:r>
              <w:rPr>
                <w:spacing w:val="8"/>
                <w:highlight w:val="none"/>
              </w:rPr>
              <w:t>构成本招标文件各个组成部分的文件，未经采购人书面同</w:t>
            </w:r>
            <w:r>
              <w:rPr>
                <w:spacing w:val="7"/>
                <w:highlight w:val="none"/>
              </w:rPr>
              <w:t>意，投标人</w:t>
            </w:r>
            <w:r>
              <w:rPr>
                <w:spacing w:val="8"/>
                <w:highlight w:val="none"/>
              </w:rPr>
              <w:t>不得擅自复印和用于非本招标项目所需的其他目的。采购人全</w:t>
            </w:r>
            <w:r>
              <w:rPr>
                <w:spacing w:val="7"/>
                <w:highlight w:val="none"/>
              </w:rPr>
              <w:t>部或者</w:t>
            </w:r>
            <w:r>
              <w:rPr>
                <w:spacing w:val="8"/>
                <w:highlight w:val="none"/>
              </w:rPr>
              <w:t>部分使用未中标人投标文件中的技术成果或技术方案时，需征</w:t>
            </w:r>
            <w:r>
              <w:rPr>
                <w:spacing w:val="7"/>
                <w:highlight w:val="none"/>
              </w:rPr>
              <w:t>得其书</w:t>
            </w:r>
            <w:r>
              <w:rPr>
                <w:spacing w:val="8"/>
                <w:highlight w:val="none"/>
              </w:rPr>
              <w:t>面同意，并不得擅自复印或提供给第三人。</w:t>
            </w:r>
          </w:p>
        </w:tc>
      </w:tr>
      <w:tr w14:paraId="48C59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7" w:hRule="atLeast"/>
        </w:trPr>
        <w:tc>
          <w:tcPr>
            <w:tcW w:w="971" w:type="dxa"/>
            <w:vAlign w:val="top"/>
          </w:tcPr>
          <w:p w14:paraId="56CE1578">
            <w:pPr>
              <w:spacing w:line="253" w:lineRule="auto"/>
              <w:rPr>
                <w:rFonts w:ascii="Arial"/>
                <w:sz w:val="21"/>
                <w:highlight w:val="none"/>
              </w:rPr>
            </w:pPr>
          </w:p>
          <w:p w14:paraId="5CB01305">
            <w:pPr>
              <w:spacing w:line="254" w:lineRule="auto"/>
              <w:rPr>
                <w:rFonts w:ascii="Arial"/>
                <w:sz w:val="21"/>
                <w:highlight w:val="none"/>
              </w:rPr>
            </w:pPr>
          </w:p>
          <w:p w14:paraId="66E17720">
            <w:pPr>
              <w:spacing w:line="254" w:lineRule="auto"/>
              <w:rPr>
                <w:rFonts w:ascii="Arial"/>
                <w:sz w:val="21"/>
                <w:highlight w:val="none"/>
              </w:rPr>
            </w:pPr>
          </w:p>
          <w:p w14:paraId="6475DF62">
            <w:pPr>
              <w:spacing w:line="254" w:lineRule="auto"/>
              <w:rPr>
                <w:rFonts w:ascii="Arial"/>
                <w:sz w:val="21"/>
                <w:highlight w:val="none"/>
              </w:rPr>
            </w:pPr>
          </w:p>
          <w:p w14:paraId="1AEAA897">
            <w:pPr>
              <w:pStyle w:val="31"/>
              <w:spacing w:before="65" w:line="268" w:lineRule="exact"/>
              <w:ind w:left="296" w:leftChars="0"/>
              <w:rPr>
                <w:highlight w:val="none"/>
              </w:rPr>
            </w:pPr>
            <w:r>
              <w:rPr>
                <w:spacing w:val="-1"/>
                <w:position w:val="1"/>
                <w:highlight w:val="none"/>
              </w:rPr>
              <w:t>10.6</w:t>
            </w:r>
          </w:p>
        </w:tc>
        <w:tc>
          <w:tcPr>
            <w:tcW w:w="1638" w:type="dxa"/>
            <w:vAlign w:val="top"/>
          </w:tcPr>
          <w:p w14:paraId="2F58306A">
            <w:pPr>
              <w:keepNext w:val="0"/>
              <w:keepLines w:val="0"/>
              <w:pageBreakBefore w:val="0"/>
              <w:kinsoku/>
              <w:wordWrap/>
              <w:overflowPunct/>
              <w:topLinePunct w:val="0"/>
              <w:bidi w:val="0"/>
              <w:spacing w:line="260" w:lineRule="auto"/>
              <w:rPr>
                <w:rFonts w:ascii="Arial"/>
                <w:sz w:val="21"/>
                <w:highlight w:val="none"/>
              </w:rPr>
            </w:pPr>
          </w:p>
          <w:p w14:paraId="5BCD6B8A">
            <w:pPr>
              <w:keepNext w:val="0"/>
              <w:keepLines w:val="0"/>
              <w:pageBreakBefore w:val="0"/>
              <w:kinsoku/>
              <w:wordWrap/>
              <w:overflowPunct/>
              <w:topLinePunct w:val="0"/>
              <w:bidi w:val="0"/>
              <w:spacing w:line="260" w:lineRule="auto"/>
              <w:rPr>
                <w:rFonts w:ascii="Arial"/>
                <w:sz w:val="21"/>
                <w:highlight w:val="none"/>
              </w:rPr>
            </w:pPr>
          </w:p>
          <w:p w14:paraId="0D114219">
            <w:pPr>
              <w:keepNext w:val="0"/>
              <w:keepLines w:val="0"/>
              <w:pageBreakBefore w:val="0"/>
              <w:kinsoku/>
              <w:wordWrap/>
              <w:overflowPunct/>
              <w:topLinePunct w:val="0"/>
              <w:bidi w:val="0"/>
              <w:spacing w:line="260" w:lineRule="auto"/>
              <w:rPr>
                <w:rFonts w:ascii="Arial"/>
                <w:sz w:val="21"/>
                <w:highlight w:val="none"/>
              </w:rPr>
            </w:pPr>
          </w:p>
          <w:p w14:paraId="4BD86221">
            <w:pPr>
              <w:pStyle w:val="31"/>
              <w:keepNext w:val="0"/>
              <w:keepLines w:val="0"/>
              <w:pageBreakBefore w:val="0"/>
              <w:kinsoku/>
              <w:wordWrap/>
              <w:overflowPunct/>
              <w:topLinePunct w:val="0"/>
              <w:bidi w:val="0"/>
              <w:spacing w:before="65" w:line="441" w:lineRule="auto"/>
              <w:ind w:left="719" w:right="190" w:hanging="526"/>
              <w:rPr>
                <w:highlight w:val="none"/>
              </w:rPr>
            </w:pPr>
            <w:r>
              <w:rPr>
                <w:spacing w:val="8"/>
                <w:highlight w:val="none"/>
              </w:rPr>
              <w:t>重新确定中标</w:t>
            </w:r>
            <w:r>
              <w:rPr>
                <w:highlight w:val="none"/>
              </w:rPr>
              <w:t>人</w:t>
            </w:r>
          </w:p>
        </w:tc>
        <w:tc>
          <w:tcPr>
            <w:tcW w:w="6466" w:type="dxa"/>
            <w:vAlign w:val="top"/>
          </w:tcPr>
          <w:p w14:paraId="1006A118">
            <w:pPr>
              <w:pStyle w:val="31"/>
              <w:keepNext w:val="0"/>
              <w:keepLines w:val="0"/>
              <w:pageBreakBefore w:val="0"/>
              <w:kinsoku/>
              <w:wordWrap/>
              <w:overflowPunct/>
              <w:topLinePunct w:val="0"/>
              <w:bidi w:val="0"/>
              <w:spacing w:before="134" w:line="413" w:lineRule="auto"/>
              <w:ind w:left="114" w:right="109"/>
              <w:rPr>
                <w:highlight w:val="none"/>
              </w:rPr>
            </w:pPr>
            <w:r>
              <w:rPr>
                <w:color w:val="000000" w:themeColor="text1"/>
                <w:spacing w:val="8"/>
                <w:highlight w:val="none"/>
                <w14:textFill>
                  <w14:solidFill>
                    <w14:schemeClr w14:val="tx1"/>
                  </w14:solidFill>
                </w14:textFill>
              </w:rPr>
              <w:t>按照投标人须知第</w:t>
            </w:r>
            <w:r>
              <w:rPr>
                <w:color w:val="000000" w:themeColor="text1"/>
                <w:spacing w:val="-24"/>
                <w:highlight w:val="none"/>
                <w14:textFill>
                  <w14:solidFill>
                    <w14:schemeClr w14:val="tx1"/>
                  </w14:solidFill>
                </w14:textFill>
              </w:rPr>
              <w:t xml:space="preserve"> </w:t>
            </w:r>
            <w:r>
              <w:rPr>
                <w:color w:val="000000" w:themeColor="text1"/>
                <w:spacing w:val="8"/>
                <w:highlight w:val="none"/>
                <w14:textFill>
                  <w14:solidFill>
                    <w14:schemeClr w14:val="tx1"/>
                  </w14:solidFill>
                </w14:textFill>
              </w:rPr>
              <w:t>7.1条规定的情形确定的中标候选人出现下述情</w:t>
            </w:r>
            <w:r>
              <w:rPr>
                <w:color w:val="000000" w:themeColor="text1"/>
                <w:spacing w:val="9"/>
                <w:highlight w:val="none"/>
                <w14:textFill>
                  <w14:solidFill>
                    <w14:schemeClr w14:val="tx1"/>
                  </w14:solidFill>
                </w14:textFill>
              </w:rPr>
              <w:t>况：排名第一的中标候选人放弃中标 / 或者因不可抗力不能履行合</w:t>
            </w:r>
            <w:r>
              <w:rPr>
                <w:color w:val="000000" w:themeColor="text1"/>
                <w:spacing w:val="8"/>
                <w:highlight w:val="none"/>
                <w14:textFill>
                  <w14:solidFill>
                    <w14:schemeClr w14:val="tx1"/>
                  </w14:solidFill>
                </w14:textFill>
              </w:rPr>
              <w:t>同 /或者被查实存在影响中标结果的违法</w:t>
            </w:r>
            <w:r>
              <w:rPr>
                <w:color w:val="000000" w:themeColor="text1"/>
                <w:spacing w:val="7"/>
                <w:highlight w:val="none"/>
                <w14:textFill>
                  <w14:solidFill>
                    <w14:schemeClr w14:val="tx1"/>
                  </w14:solidFill>
                </w14:textFill>
              </w:rPr>
              <w:t>行为等情形，采购人</w:t>
            </w:r>
            <w:r>
              <w:rPr>
                <w:color w:val="000000" w:themeColor="text1"/>
                <w:spacing w:val="8"/>
                <w:highlight w:val="none"/>
                <w14:textFill>
                  <w14:solidFill>
                    <w14:schemeClr w14:val="tx1"/>
                  </w14:solidFill>
                </w14:textFill>
              </w:rPr>
              <w:t>可以重新招标。</w:t>
            </w:r>
          </w:p>
        </w:tc>
      </w:tr>
      <w:tr w14:paraId="57278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971" w:type="dxa"/>
            <w:vAlign w:val="top"/>
          </w:tcPr>
          <w:p w14:paraId="045ED4D9">
            <w:pPr>
              <w:spacing w:line="308" w:lineRule="auto"/>
              <w:rPr>
                <w:rFonts w:ascii="Arial"/>
                <w:sz w:val="21"/>
                <w:highlight w:val="none"/>
              </w:rPr>
            </w:pPr>
          </w:p>
          <w:p w14:paraId="536D08C4">
            <w:pPr>
              <w:pStyle w:val="31"/>
              <w:spacing w:before="65" w:line="267" w:lineRule="exact"/>
              <w:ind w:left="296" w:leftChars="0"/>
              <w:rPr>
                <w:highlight w:val="none"/>
              </w:rPr>
            </w:pPr>
            <w:r>
              <w:rPr>
                <w:spacing w:val="-1"/>
                <w:position w:val="1"/>
                <w:highlight w:val="none"/>
              </w:rPr>
              <w:t>10.7</w:t>
            </w:r>
          </w:p>
        </w:tc>
        <w:tc>
          <w:tcPr>
            <w:tcW w:w="1638" w:type="dxa"/>
            <w:vAlign w:val="top"/>
          </w:tcPr>
          <w:p w14:paraId="2873F1D3">
            <w:pPr>
              <w:pStyle w:val="31"/>
              <w:keepNext w:val="0"/>
              <w:keepLines w:val="0"/>
              <w:pageBreakBefore w:val="0"/>
              <w:kinsoku/>
              <w:wordWrap/>
              <w:overflowPunct/>
              <w:topLinePunct w:val="0"/>
              <w:bidi w:val="0"/>
              <w:spacing w:before="137" w:line="374" w:lineRule="auto"/>
              <w:ind w:left="506" w:right="190" w:hanging="313"/>
              <w:rPr>
                <w:highlight w:val="none"/>
              </w:rPr>
            </w:pPr>
            <w:r>
              <w:rPr>
                <w:spacing w:val="8"/>
                <w:highlight w:val="none"/>
              </w:rPr>
              <w:t>重新招标的其</w:t>
            </w:r>
            <w:r>
              <w:rPr>
                <w:spacing w:val="6"/>
                <w:highlight w:val="none"/>
              </w:rPr>
              <w:t>他情形</w:t>
            </w:r>
          </w:p>
        </w:tc>
        <w:tc>
          <w:tcPr>
            <w:tcW w:w="6466" w:type="dxa"/>
            <w:vAlign w:val="top"/>
          </w:tcPr>
          <w:p w14:paraId="3DFFB144">
            <w:pPr>
              <w:pStyle w:val="31"/>
              <w:keepNext w:val="0"/>
              <w:keepLines w:val="0"/>
              <w:pageBreakBefore w:val="0"/>
              <w:kinsoku/>
              <w:wordWrap/>
              <w:overflowPunct/>
              <w:topLinePunct w:val="0"/>
              <w:bidi w:val="0"/>
              <w:spacing w:before="137" w:line="374" w:lineRule="auto"/>
              <w:ind w:left="114" w:right="109" w:firstLine="10"/>
              <w:rPr>
                <w:highlight w:val="none"/>
              </w:rPr>
            </w:pPr>
            <w:r>
              <w:rPr>
                <w:spacing w:val="7"/>
                <w:highlight w:val="none"/>
              </w:rPr>
              <w:t>除投标人须知正文第</w:t>
            </w:r>
            <w:r>
              <w:rPr>
                <w:spacing w:val="-38"/>
                <w:highlight w:val="none"/>
              </w:rPr>
              <w:t xml:space="preserve"> </w:t>
            </w:r>
            <w:r>
              <w:rPr>
                <w:spacing w:val="7"/>
                <w:highlight w:val="none"/>
              </w:rPr>
              <w:t>8</w:t>
            </w:r>
            <w:r>
              <w:rPr>
                <w:spacing w:val="-37"/>
                <w:highlight w:val="none"/>
              </w:rPr>
              <w:t xml:space="preserve"> </w:t>
            </w:r>
            <w:r>
              <w:rPr>
                <w:spacing w:val="7"/>
                <w:highlight w:val="none"/>
              </w:rPr>
              <w:t>条规定的情形外，同意</w:t>
            </w:r>
            <w:r>
              <w:rPr>
                <w:spacing w:val="6"/>
                <w:highlight w:val="none"/>
              </w:rPr>
              <w:t>延长投标有效期的投标</w:t>
            </w:r>
            <w:r>
              <w:rPr>
                <w:spacing w:val="8"/>
                <w:highlight w:val="none"/>
              </w:rPr>
              <w:t>人少于三家的，采购人应当依法重新招标。</w:t>
            </w:r>
          </w:p>
        </w:tc>
      </w:tr>
    </w:tbl>
    <w:p w14:paraId="20CC3C0A">
      <w:pPr>
        <w:pStyle w:val="4"/>
        <w:keepNext w:val="0"/>
        <w:keepLines w:val="0"/>
        <w:pageBreakBefore w:val="0"/>
        <w:kinsoku/>
        <w:wordWrap/>
        <w:overflowPunct/>
        <w:topLinePunct w:val="0"/>
        <w:bidi w:val="0"/>
      </w:pPr>
    </w:p>
    <w:p w14:paraId="387B3220">
      <w:pPr>
        <w:keepNext w:val="0"/>
        <w:keepLines w:val="0"/>
        <w:pageBreakBefore w:val="0"/>
        <w:kinsoku/>
        <w:wordWrap/>
        <w:overflowPunct/>
        <w:topLinePunct w:val="0"/>
        <w:bidi w:val="0"/>
        <w:spacing w:line="42" w:lineRule="exact"/>
        <w:rPr>
          <w:rFonts w:hint="eastAsia" w:eastAsia="宋体"/>
          <w:lang w:eastAsia="zh-CN"/>
        </w:rPr>
      </w:pPr>
      <w:r>
        <w:rPr>
          <w:rFonts w:hint="eastAsia" w:eastAsia="宋体"/>
          <w:lang w:eastAsia="zh-CN"/>
        </w:rPr>
        <w:br w:type="page"/>
      </w:r>
    </w:p>
    <w:tbl>
      <w:tblPr>
        <w:tblStyle w:val="30"/>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638"/>
        <w:gridCol w:w="6466"/>
      </w:tblGrid>
      <w:tr w14:paraId="29C1B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6" w:hRule="atLeast"/>
        </w:trPr>
        <w:tc>
          <w:tcPr>
            <w:tcW w:w="971" w:type="dxa"/>
            <w:vAlign w:val="top"/>
          </w:tcPr>
          <w:p w14:paraId="35E4C90B">
            <w:pPr>
              <w:spacing w:line="272" w:lineRule="auto"/>
              <w:rPr>
                <w:rFonts w:ascii="Arial"/>
                <w:sz w:val="21"/>
                <w:highlight w:val="none"/>
              </w:rPr>
            </w:pPr>
          </w:p>
          <w:p w14:paraId="773F9FBB">
            <w:pPr>
              <w:spacing w:line="272" w:lineRule="auto"/>
              <w:rPr>
                <w:rFonts w:ascii="Arial"/>
                <w:sz w:val="21"/>
                <w:highlight w:val="none"/>
              </w:rPr>
            </w:pPr>
          </w:p>
          <w:p w14:paraId="77B50D7C">
            <w:pPr>
              <w:pStyle w:val="31"/>
              <w:spacing w:before="65" w:line="268" w:lineRule="exact"/>
              <w:ind w:left="296" w:leftChars="0"/>
              <w:rPr>
                <w:highlight w:val="none"/>
              </w:rPr>
            </w:pPr>
            <w:r>
              <w:rPr>
                <w:spacing w:val="-1"/>
                <w:position w:val="1"/>
                <w:highlight w:val="none"/>
              </w:rPr>
              <w:t>10.8</w:t>
            </w:r>
          </w:p>
        </w:tc>
        <w:tc>
          <w:tcPr>
            <w:tcW w:w="1638" w:type="dxa"/>
            <w:vAlign w:val="top"/>
          </w:tcPr>
          <w:p w14:paraId="23D456AC">
            <w:pPr>
              <w:keepNext w:val="0"/>
              <w:keepLines w:val="0"/>
              <w:pageBreakBefore w:val="0"/>
              <w:kinsoku/>
              <w:wordWrap/>
              <w:overflowPunct/>
              <w:topLinePunct w:val="0"/>
              <w:bidi w:val="0"/>
              <w:spacing w:line="272" w:lineRule="auto"/>
              <w:rPr>
                <w:rFonts w:ascii="Arial"/>
                <w:sz w:val="21"/>
                <w:highlight w:val="none"/>
              </w:rPr>
            </w:pPr>
          </w:p>
          <w:p w14:paraId="2BDF6B9D">
            <w:pPr>
              <w:keepNext w:val="0"/>
              <w:keepLines w:val="0"/>
              <w:pageBreakBefore w:val="0"/>
              <w:kinsoku/>
              <w:wordWrap/>
              <w:overflowPunct/>
              <w:topLinePunct w:val="0"/>
              <w:bidi w:val="0"/>
              <w:spacing w:line="272" w:lineRule="auto"/>
              <w:rPr>
                <w:rFonts w:ascii="Arial"/>
                <w:sz w:val="21"/>
                <w:highlight w:val="none"/>
              </w:rPr>
            </w:pPr>
          </w:p>
          <w:p w14:paraId="5E96F24F">
            <w:pPr>
              <w:pStyle w:val="31"/>
              <w:keepNext w:val="0"/>
              <w:keepLines w:val="0"/>
              <w:pageBreakBefore w:val="0"/>
              <w:kinsoku/>
              <w:wordWrap/>
              <w:overflowPunct/>
              <w:topLinePunct w:val="0"/>
              <w:bidi w:val="0"/>
              <w:spacing w:before="65" w:line="228" w:lineRule="auto"/>
              <w:ind w:left="424"/>
              <w:rPr>
                <w:highlight w:val="none"/>
              </w:rPr>
            </w:pPr>
            <w:r>
              <w:rPr>
                <w:spacing w:val="2"/>
                <w:highlight w:val="none"/>
              </w:rPr>
              <w:t>同义词语</w:t>
            </w:r>
          </w:p>
        </w:tc>
        <w:tc>
          <w:tcPr>
            <w:tcW w:w="6466" w:type="dxa"/>
            <w:vAlign w:val="top"/>
          </w:tcPr>
          <w:p w14:paraId="093E256A">
            <w:pPr>
              <w:pStyle w:val="31"/>
              <w:keepNext w:val="0"/>
              <w:keepLines w:val="0"/>
              <w:pageBreakBefore w:val="0"/>
              <w:kinsoku/>
              <w:wordWrap/>
              <w:overflowPunct/>
              <w:topLinePunct w:val="0"/>
              <w:bidi w:val="0"/>
              <w:spacing w:before="138" w:line="396" w:lineRule="auto"/>
              <w:ind w:left="113" w:right="109" w:firstLine="1"/>
              <w:jc w:val="both"/>
              <w:rPr>
                <w:highlight w:val="none"/>
              </w:rPr>
            </w:pPr>
            <w:r>
              <w:rPr>
                <w:spacing w:val="6"/>
                <w:highlight w:val="none"/>
              </w:rPr>
              <w:t>构成招标文件组成部分的“合同条款及格式</w:t>
            </w:r>
            <w:r>
              <w:rPr>
                <w:spacing w:val="-73"/>
                <w:highlight w:val="none"/>
              </w:rPr>
              <w:t xml:space="preserve"> </w:t>
            </w:r>
            <w:r>
              <w:rPr>
                <w:spacing w:val="6"/>
                <w:highlight w:val="none"/>
              </w:rPr>
              <w:t>”、“采购需求</w:t>
            </w:r>
            <w:r>
              <w:rPr>
                <w:spacing w:val="-70"/>
                <w:highlight w:val="none"/>
              </w:rPr>
              <w:t xml:space="preserve"> </w:t>
            </w:r>
            <w:r>
              <w:rPr>
                <w:spacing w:val="6"/>
                <w:highlight w:val="none"/>
              </w:rPr>
              <w:t>”等</w:t>
            </w:r>
            <w:r>
              <w:rPr>
                <w:spacing w:val="5"/>
                <w:highlight w:val="none"/>
              </w:rPr>
              <w:t>章节</w:t>
            </w:r>
            <w:r>
              <w:rPr>
                <w:spacing w:val="6"/>
                <w:highlight w:val="none"/>
              </w:rPr>
              <w:t>中出现的措辞“采购人或甲方</w:t>
            </w:r>
            <w:r>
              <w:rPr>
                <w:spacing w:val="-70"/>
                <w:highlight w:val="none"/>
              </w:rPr>
              <w:t xml:space="preserve"> </w:t>
            </w:r>
            <w:r>
              <w:rPr>
                <w:spacing w:val="6"/>
                <w:highlight w:val="none"/>
              </w:rPr>
              <w:t>”和“供应商或乙方</w:t>
            </w:r>
            <w:r>
              <w:rPr>
                <w:spacing w:val="-70"/>
                <w:highlight w:val="none"/>
              </w:rPr>
              <w:t xml:space="preserve"> </w:t>
            </w:r>
            <w:r>
              <w:rPr>
                <w:spacing w:val="6"/>
                <w:highlight w:val="none"/>
              </w:rPr>
              <w:t>”，在招标</w:t>
            </w:r>
            <w:r>
              <w:rPr>
                <w:spacing w:val="5"/>
                <w:highlight w:val="none"/>
              </w:rPr>
              <w:t>投标阶段应当分别按“采购人</w:t>
            </w:r>
            <w:r>
              <w:rPr>
                <w:spacing w:val="-67"/>
                <w:highlight w:val="none"/>
              </w:rPr>
              <w:t xml:space="preserve"> </w:t>
            </w:r>
            <w:r>
              <w:rPr>
                <w:spacing w:val="5"/>
                <w:highlight w:val="none"/>
              </w:rPr>
              <w:t>”和“投标人</w:t>
            </w:r>
            <w:r>
              <w:rPr>
                <w:spacing w:val="-72"/>
                <w:highlight w:val="none"/>
              </w:rPr>
              <w:t xml:space="preserve"> </w:t>
            </w:r>
            <w:r>
              <w:rPr>
                <w:spacing w:val="5"/>
                <w:highlight w:val="none"/>
              </w:rPr>
              <w:t>”、“</w:t>
            </w:r>
            <w:r>
              <w:rPr>
                <w:spacing w:val="-70"/>
                <w:highlight w:val="none"/>
              </w:rPr>
              <w:t xml:space="preserve"> </w:t>
            </w:r>
            <w:r>
              <w:rPr>
                <w:spacing w:val="5"/>
                <w:highlight w:val="none"/>
              </w:rPr>
              <w:t>中标人</w:t>
            </w:r>
            <w:r>
              <w:rPr>
                <w:spacing w:val="-73"/>
                <w:highlight w:val="none"/>
              </w:rPr>
              <w:t xml:space="preserve"> </w:t>
            </w:r>
            <w:r>
              <w:rPr>
                <w:spacing w:val="5"/>
                <w:highlight w:val="none"/>
              </w:rPr>
              <w:t>”进行理解。</w:t>
            </w:r>
          </w:p>
        </w:tc>
      </w:tr>
      <w:tr w14:paraId="770A2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971" w:type="dxa"/>
            <w:vAlign w:val="top"/>
          </w:tcPr>
          <w:p w14:paraId="181D7529">
            <w:pPr>
              <w:spacing w:line="302" w:lineRule="auto"/>
              <w:rPr>
                <w:rFonts w:ascii="Arial"/>
                <w:sz w:val="21"/>
                <w:highlight w:val="none"/>
              </w:rPr>
            </w:pPr>
          </w:p>
          <w:p w14:paraId="3059E2F3">
            <w:pPr>
              <w:pStyle w:val="31"/>
              <w:spacing w:before="65" w:line="268" w:lineRule="exact"/>
              <w:ind w:left="296" w:leftChars="0"/>
              <w:rPr>
                <w:highlight w:val="none"/>
              </w:rPr>
            </w:pPr>
            <w:r>
              <w:rPr>
                <w:spacing w:val="-1"/>
                <w:position w:val="1"/>
                <w:highlight w:val="none"/>
              </w:rPr>
              <w:t>10.9</w:t>
            </w:r>
          </w:p>
        </w:tc>
        <w:tc>
          <w:tcPr>
            <w:tcW w:w="1638" w:type="dxa"/>
            <w:vAlign w:val="top"/>
          </w:tcPr>
          <w:p w14:paraId="4DD5A858">
            <w:pPr>
              <w:keepNext w:val="0"/>
              <w:keepLines w:val="0"/>
              <w:pageBreakBefore w:val="0"/>
              <w:kinsoku/>
              <w:wordWrap/>
              <w:overflowPunct/>
              <w:topLinePunct w:val="0"/>
              <w:bidi w:val="0"/>
              <w:spacing w:line="302" w:lineRule="auto"/>
              <w:rPr>
                <w:rFonts w:ascii="Arial"/>
                <w:sz w:val="21"/>
                <w:highlight w:val="none"/>
              </w:rPr>
            </w:pPr>
          </w:p>
          <w:p w14:paraId="2F021AAE">
            <w:pPr>
              <w:pStyle w:val="31"/>
              <w:keepNext w:val="0"/>
              <w:keepLines w:val="0"/>
              <w:pageBreakBefore w:val="0"/>
              <w:kinsoku/>
              <w:wordWrap/>
              <w:overflowPunct/>
              <w:topLinePunct w:val="0"/>
              <w:bidi w:val="0"/>
              <w:spacing w:before="65" w:line="228" w:lineRule="auto"/>
              <w:ind w:left="404"/>
              <w:rPr>
                <w:highlight w:val="none"/>
              </w:rPr>
            </w:pPr>
            <w:r>
              <w:rPr>
                <w:spacing w:val="7"/>
                <w:highlight w:val="none"/>
              </w:rPr>
              <w:t>其他要求</w:t>
            </w:r>
          </w:p>
        </w:tc>
        <w:tc>
          <w:tcPr>
            <w:tcW w:w="6466" w:type="dxa"/>
            <w:vAlign w:val="top"/>
          </w:tcPr>
          <w:p w14:paraId="176AB5C9">
            <w:pPr>
              <w:keepNext w:val="0"/>
              <w:keepLines w:val="0"/>
              <w:pageBreakBefore w:val="0"/>
              <w:widowControl w:val="0"/>
              <w:kinsoku/>
              <w:wordWrap/>
              <w:overflowPunct/>
              <w:topLinePunct w:val="0"/>
              <w:autoSpaceDE/>
              <w:autoSpaceDN/>
              <w:bidi w:val="0"/>
              <w:adjustRightInd/>
              <w:snapToGrid/>
              <w:spacing w:before="0" w:after="0" w:line="336" w:lineRule="auto"/>
              <w:jc w:val="left"/>
              <w:textAlignment w:val="auto"/>
              <w:rPr>
                <w:rFonts w:hint="default" w:ascii="宋体" w:hAnsi="宋体" w:eastAsia="宋体" w:cs="宋体"/>
                <w:snapToGrid w:val="0"/>
                <w:color w:val="000000"/>
                <w:spacing w:val="6"/>
                <w:kern w:val="0"/>
                <w:sz w:val="20"/>
                <w:szCs w:val="20"/>
                <w:highlight w:val="none"/>
                <w:lang w:val="en-US" w:eastAsia="zh-CN" w:bidi="ar-SA"/>
              </w:rPr>
            </w:pPr>
            <w:r>
              <w:rPr>
                <w:rFonts w:ascii="宋体" w:hAnsi="宋体" w:eastAsia="宋体" w:cs="宋体"/>
                <w:snapToGrid w:val="0"/>
                <w:color w:val="000000"/>
                <w:spacing w:val="6"/>
                <w:kern w:val="0"/>
                <w:sz w:val="20"/>
                <w:szCs w:val="20"/>
                <w:highlight w:val="none"/>
                <w:lang w:val="en-US" w:eastAsia="en-US" w:bidi="ar-SA"/>
              </w:rPr>
              <w:t>1.付款方式：</w:t>
            </w:r>
            <w:r>
              <w:rPr>
                <w:rFonts w:hint="eastAsia" w:ascii="宋体" w:hAnsi="宋体" w:eastAsia="宋体" w:cs="宋体"/>
                <w:snapToGrid w:val="0"/>
                <w:color w:val="000000"/>
                <w:spacing w:val="6"/>
                <w:kern w:val="0"/>
                <w:sz w:val="20"/>
                <w:szCs w:val="20"/>
                <w:highlight w:val="none"/>
                <w:lang w:val="en-US" w:eastAsia="zh-CN" w:bidi="ar-SA"/>
              </w:rPr>
              <w:t>详见合同付款方式。</w:t>
            </w:r>
          </w:p>
          <w:p w14:paraId="7B757892">
            <w:pPr>
              <w:pStyle w:val="31"/>
              <w:keepNext w:val="0"/>
              <w:keepLines w:val="0"/>
              <w:pageBreakBefore w:val="0"/>
              <w:kinsoku/>
              <w:wordWrap/>
              <w:overflowPunct/>
              <w:topLinePunct w:val="0"/>
              <w:bidi w:val="0"/>
              <w:spacing w:before="228" w:line="228" w:lineRule="auto"/>
              <w:rPr>
                <w:highlight w:val="none"/>
              </w:rPr>
            </w:pPr>
            <w:r>
              <w:rPr>
                <w:rFonts w:ascii="宋体" w:hAnsi="宋体" w:eastAsia="宋体" w:cs="宋体"/>
                <w:snapToGrid w:val="0"/>
                <w:color w:val="000000"/>
                <w:spacing w:val="6"/>
                <w:kern w:val="0"/>
                <w:sz w:val="20"/>
                <w:szCs w:val="20"/>
                <w:highlight w:val="none"/>
                <w:lang w:val="en-US" w:eastAsia="en-US" w:bidi="ar-SA"/>
              </w:rPr>
              <w:t>2.履约保证金：不要求缴纳</w:t>
            </w:r>
          </w:p>
        </w:tc>
      </w:tr>
      <w:tr w14:paraId="73D44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7" w:hRule="atLeast"/>
        </w:trPr>
        <w:tc>
          <w:tcPr>
            <w:tcW w:w="971" w:type="dxa"/>
            <w:vAlign w:val="top"/>
          </w:tcPr>
          <w:p w14:paraId="2454516B">
            <w:pPr>
              <w:spacing w:line="245" w:lineRule="auto"/>
              <w:rPr>
                <w:rFonts w:ascii="Arial"/>
                <w:sz w:val="21"/>
                <w:highlight w:val="none"/>
              </w:rPr>
            </w:pPr>
          </w:p>
          <w:p w14:paraId="54E348A1">
            <w:pPr>
              <w:spacing w:line="245" w:lineRule="auto"/>
              <w:rPr>
                <w:rFonts w:ascii="Arial"/>
                <w:sz w:val="21"/>
                <w:highlight w:val="none"/>
              </w:rPr>
            </w:pPr>
          </w:p>
          <w:p w14:paraId="202F2757">
            <w:pPr>
              <w:spacing w:line="246" w:lineRule="auto"/>
              <w:rPr>
                <w:rFonts w:ascii="Arial"/>
                <w:sz w:val="21"/>
                <w:highlight w:val="none"/>
              </w:rPr>
            </w:pPr>
          </w:p>
          <w:p w14:paraId="177A73A9">
            <w:pPr>
              <w:spacing w:line="246" w:lineRule="auto"/>
              <w:rPr>
                <w:rFonts w:ascii="Arial"/>
                <w:sz w:val="21"/>
                <w:highlight w:val="none"/>
              </w:rPr>
            </w:pPr>
          </w:p>
          <w:p w14:paraId="13589F3E">
            <w:pPr>
              <w:spacing w:line="246" w:lineRule="auto"/>
              <w:rPr>
                <w:rFonts w:ascii="Arial"/>
                <w:sz w:val="21"/>
                <w:highlight w:val="none"/>
              </w:rPr>
            </w:pPr>
          </w:p>
          <w:p w14:paraId="57752F57">
            <w:pPr>
              <w:spacing w:line="246" w:lineRule="auto"/>
              <w:rPr>
                <w:rFonts w:ascii="Arial"/>
                <w:sz w:val="21"/>
                <w:highlight w:val="none"/>
              </w:rPr>
            </w:pPr>
          </w:p>
          <w:p w14:paraId="7728FCA0">
            <w:pPr>
              <w:spacing w:line="246" w:lineRule="auto"/>
              <w:rPr>
                <w:rFonts w:ascii="Arial"/>
                <w:sz w:val="21"/>
                <w:highlight w:val="none"/>
              </w:rPr>
            </w:pPr>
          </w:p>
          <w:p w14:paraId="7074A6A2">
            <w:pPr>
              <w:pStyle w:val="31"/>
              <w:spacing w:before="65" w:line="268" w:lineRule="exact"/>
              <w:ind w:left="243" w:leftChars="0"/>
              <w:rPr>
                <w:highlight w:val="none"/>
              </w:rPr>
            </w:pPr>
            <w:r>
              <w:rPr>
                <w:position w:val="1"/>
                <w:highlight w:val="none"/>
              </w:rPr>
              <w:t>10.10</w:t>
            </w:r>
          </w:p>
        </w:tc>
        <w:tc>
          <w:tcPr>
            <w:tcW w:w="1638" w:type="dxa"/>
            <w:vAlign w:val="top"/>
          </w:tcPr>
          <w:p w14:paraId="0C0EDC21">
            <w:pPr>
              <w:keepNext w:val="0"/>
              <w:keepLines w:val="0"/>
              <w:pageBreakBefore w:val="0"/>
              <w:kinsoku/>
              <w:wordWrap/>
              <w:overflowPunct/>
              <w:topLinePunct w:val="0"/>
              <w:bidi w:val="0"/>
              <w:spacing w:line="245" w:lineRule="auto"/>
              <w:rPr>
                <w:rFonts w:ascii="Arial"/>
                <w:sz w:val="21"/>
                <w:highlight w:val="none"/>
              </w:rPr>
            </w:pPr>
          </w:p>
          <w:p w14:paraId="416D8539">
            <w:pPr>
              <w:keepNext w:val="0"/>
              <w:keepLines w:val="0"/>
              <w:pageBreakBefore w:val="0"/>
              <w:kinsoku/>
              <w:wordWrap/>
              <w:overflowPunct/>
              <w:topLinePunct w:val="0"/>
              <w:bidi w:val="0"/>
              <w:spacing w:line="245" w:lineRule="auto"/>
              <w:rPr>
                <w:rFonts w:ascii="Arial"/>
                <w:sz w:val="21"/>
                <w:highlight w:val="none"/>
              </w:rPr>
            </w:pPr>
          </w:p>
          <w:p w14:paraId="0E7D85AD">
            <w:pPr>
              <w:keepNext w:val="0"/>
              <w:keepLines w:val="0"/>
              <w:pageBreakBefore w:val="0"/>
              <w:kinsoku/>
              <w:wordWrap/>
              <w:overflowPunct/>
              <w:topLinePunct w:val="0"/>
              <w:bidi w:val="0"/>
              <w:spacing w:line="246" w:lineRule="auto"/>
              <w:rPr>
                <w:rFonts w:ascii="Arial"/>
                <w:sz w:val="21"/>
                <w:highlight w:val="none"/>
              </w:rPr>
            </w:pPr>
          </w:p>
          <w:p w14:paraId="65D9A196">
            <w:pPr>
              <w:keepNext w:val="0"/>
              <w:keepLines w:val="0"/>
              <w:pageBreakBefore w:val="0"/>
              <w:kinsoku/>
              <w:wordWrap/>
              <w:overflowPunct/>
              <w:topLinePunct w:val="0"/>
              <w:bidi w:val="0"/>
              <w:spacing w:line="246" w:lineRule="auto"/>
              <w:rPr>
                <w:rFonts w:ascii="Arial"/>
                <w:sz w:val="21"/>
                <w:highlight w:val="none"/>
              </w:rPr>
            </w:pPr>
          </w:p>
          <w:p w14:paraId="366D7BFC">
            <w:pPr>
              <w:keepNext w:val="0"/>
              <w:keepLines w:val="0"/>
              <w:pageBreakBefore w:val="0"/>
              <w:kinsoku/>
              <w:wordWrap/>
              <w:overflowPunct/>
              <w:topLinePunct w:val="0"/>
              <w:bidi w:val="0"/>
              <w:spacing w:line="246" w:lineRule="auto"/>
              <w:rPr>
                <w:rFonts w:ascii="Arial"/>
                <w:sz w:val="21"/>
                <w:highlight w:val="none"/>
              </w:rPr>
            </w:pPr>
          </w:p>
          <w:p w14:paraId="48A7F98E">
            <w:pPr>
              <w:keepNext w:val="0"/>
              <w:keepLines w:val="0"/>
              <w:pageBreakBefore w:val="0"/>
              <w:kinsoku/>
              <w:wordWrap/>
              <w:overflowPunct/>
              <w:topLinePunct w:val="0"/>
              <w:bidi w:val="0"/>
              <w:spacing w:line="246" w:lineRule="auto"/>
              <w:rPr>
                <w:rFonts w:ascii="Arial"/>
                <w:sz w:val="21"/>
                <w:highlight w:val="none"/>
              </w:rPr>
            </w:pPr>
          </w:p>
          <w:p w14:paraId="2A7ADC5E">
            <w:pPr>
              <w:keepNext w:val="0"/>
              <w:keepLines w:val="0"/>
              <w:pageBreakBefore w:val="0"/>
              <w:kinsoku/>
              <w:wordWrap/>
              <w:overflowPunct/>
              <w:topLinePunct w:val="0"/>
              <w:bidi w:val="0"/>
              <w:spacing w:line="246" w:lineRule="auto"/>
              <w:rPr>
                <w:rFonts w:ascii="Arial"/>
                <w:sz w:val="21"/>
                <w:highlight w:val="none"/>
              </w:rPr>
            </w:pPr>
          </w:p>
          <w:p w14:paraId="2D6A4A9D">
            <w:pPr>
              <w:pStyle w:val="31"/>
              <w:keepNext w:val="0"/>
              <w:keepLines w:val="0"/>
              <w:pageBreakBefore w:val="0"/>
              <w:kinsoku/>
              <w:wordWrap/>
              <w:overflowPunct/>
              <w:topLinePunct w:val="0"/>
              <w:bidi w:val="0"/>
              <w:spacing w:before="65" w:line="228" w:lineRule="auto"/>
              <w:ind w:left="506"/>
              <w:rPr>
                <w:highlight w:val="none"/>
              </w:rPr>
            </w:pPr>
            <w:r>
              <w:rPr>
                <w:spacing w:val="7"/>
                <w:highlight w:val="none"/>
              </w:rPr>
              <w:t>解释权</w:t>
            </w:r>
          </w:p>
        </w:tc>
        <w:tc>
          <w:tcPr>
            <w:tcW w:w="6466" w:type="dxa"/>
            <w:vAlign w:val="top"/>
          </w:tcPr>
          <w:p w14:paraId="12BF11FD">
            <w:pPr>
              <w:pStyle w:val="31"/>
              <w:keepNext w:val="0"/>
              <w:keepLines w:val="0"/>
              <w:pageBreakBefore w:val="0"/>
              <w:kinsoku/>
              <w:wordWrap/>
              <w:overflowPunct/>
              <w:topLinePunct w:val="0"/>
              <w:bidi w:val="0"/>
              <w:spacing w:before="131" w:line="423" w:lineRule="auto"/>
              <w:ind w:left="111" w:firstLine="3"/>
              <w:jc w:val="both"/>
              <w:rPr>
                <w:highlight w:val="none"/>
              </w:rPr>
            </w:pPr>
            <w:r>
              <w:rPr>
                <w:spacing w:val="7"/>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w:t>
            </w:r>
            <w:r>
              <w:rPr>
                <w:spacing w:val="5"/>
                <w:highlight w:val="none"/>
              </w:rPr>
              <w:t>规定外，仅适用于招标投标阶段的规定，按招标公告（</w:t>
            </w:r>
            <w:r>
              <w:rPr>
                <w:spacing w:val="4"/>
                <w:highlight w:val="none"/>
              </w:rPr>
              <w:t>投标邀请书）、</w:t>
            </w:r>
            <w:r>
              <w:rPr>
                <w:spacing w:val="7"/>
                <w:highlight w:val="none"/>
              </w:rPr>
              <w:t>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w:t>
            </w:r>
            <w:r>
              <w:rPr>
                <w:spacing w:val="-58"/>
                <w:highlight w:val="none"/>
              </w:rPr>
              <w:t xml:space="preserve"> </w:t>
            </w:r>
            <w:r>
              <w:rPr>
                <w:spacing w:val="7"/>
                <w:highlight w:val="none"/>
              </w:rPr>
              <w:t>由采购人负责</w:t>
            </w:r>
            <w:r>
              <w:rPr>
                <w:spacing w:val="6"/>
                <w:highlight w:val="none"/>
              </w:rPr>
              <w:t>解释。</w:t>
            </w:r>
          </w:p>
        </w:tc>
      </w:tr>
      <w:tr w14:paraId="073B7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3" w:hRule="atLeast"/>
        </w:trPr>
        <w:tc>
          <w:tcPr>
            <w:tcW w:w="971" w:type="dxa"/>
            <w:vAlign w:val="top"/>
          </w:tcPr>
          <w:p w14:paraId="4FB828B5">
            <w:pPr>
              <w:rPr>
                <w:rFonts w:ascii="Arial"/>
                <w:sz w:val="21"/>
                <w:highlight w:val="none"/>
              </w:rPr>
            </w:pPr>
          </w:p>
          <w:p w14:paraId="6807E69D">
            <w:pPr>
              <w:rPr>
                <w:rFonts w:ascii="Arial"/>
                <w:sz w:val="21"/>
                <w:highlight w:val="none"/>
              </w:rPr>
            </w:pPr>
          </w:p>
          <w:p w14:paraId="3B22BC74">
            <w:pPr>
              <w:spacing w:line="241" w:lineRule="auto"/>
              <w:rPr>
                <w:rFonts w:ascii="Arial"/>
                <w:sz w:val="21"/>
                <w:highlight w:val="none"/>
              </w:rPr>
            </w:pPr>
          </w:p>
          <w:p w14:paraId="1B5BD4C4">
            <w:pPr>
              <w:spacing w:line="241" w:lineRule="auto"/>
              <w:rPr>
                <w:rFonts w:ascii="Arial"/>
                <w:sz w:val="21"/>
                <w:highlight w:val="none"/>
              </w:rPr>
            </w:pPr>
          </w:p>
          <w:p w14:paraId="65EB24C2">
            <w:pPr>
              <w:spacing w:line="241" w:lineRule="auto"/>
              <w:rPr>
                <w:rFonts w:ascii="Arial"/>
                <w:sz w:val="21"/>
                <w:highlight w:val="none"/>
              </w:rPr>
            </w:pPr>
          </w:p>
          <w:p w14:paraId="7405A14F">
            <w:pPr>
              <w:spacing w:line="241" w:lineRule="auto"/>
              <w:rPr>
                <w:rFonts w:ascii="Arial"/>
                <w:sz w:val="21"/>
                <w:highlight w:val="none"/>
              </w:rPr>
            </w:pPr>
          </w:p>
          <w:p w14:paraId="06E61411">
            <w:pPr>
              <w:spacing w:line="241" w:lineRule="auto"/>
              <w:rPr>
                <w:rFonts w:ascii="Arial"/>
                <w:sz w:val="21"/>
                <w:highlight w:val="none"/>
              </w:rPr>
            </w:pPr>
          </w:p>
          <w:p w14:paraId="45783039">
            <w:pPr>
              <w:spacing w:line="241" w:lineRule="auto"/>
              <w:rPr>
                <w:rFonts w:ascii="Arial"/>
                <w:sz w:val="21"/>
                <w:highlight w:val="none"/>
              </w:rPr>
            </w:pPr>
          </w:p>
          <w:p w14:paraId="1DFBBC34">
            <w:pPr>
              <w:spacing w:line="241" w:lineRule="auto"/>
              <w:rPr>
                <w:rFonts w:ascii="Arial"/>
                <w:sz w:val="21"/>
                <w:highlight w:val="none"/>
              </w:rPr>
            </w:pPr>
          </w:p>
          <w:p w14:paraId="53B31F08">
            <w:pPr>
              <w:spacing w:line="241" w:lineRule="auto"/>
              <w:rPr>
                <w:rFonts w:ascii="Arial"/>
                <w:sz w:val="21"/>
                <w:highlight w:val="none"/>
              </w:rPr>
            </w:pPr>
          </w:p>
          <w:p w14:paraId="1AD6E6FF">
            <w:pPr>
              <w:spacing w:line="241" w:lineRule="auto"/>
              <w:rPr>
                <w:rFonts w:ascii="Arial"/>
                <w:sz w:val="21"/>
                <w:highlight w:val="none"/>
              </w:rPr>
            </w:pPr>
          </w:p>
          <w:p w14:paraId="79463FC3">
            <w:pPr>
              <w:spacing w:line="241" w:lineRule="auto"/>
              <w:rPr>
                <w:rFonts w:ascii="Arial"/>
                <w:sz w:val="21"/>
                <w:highlight w:val="none"/>
              </w:rPr>
            </w:pPr>
          </w:p>
          <w:p w14:paraId="34550A48">
            <w:pPr>
              <w:spacing w:line="241" w:lineRule="auto"/>
              <w:rPr>
                <w:rFonts w:ascii="Arial"/>
                <w:sz w:val="21"/>
                <w:highlight w:val="none"/>
              </w:rPr>
            </w:pPr>
          </w:p>
          <w:p w14:paraId="0ADE4515">
            <w:pPr>
              <w:spacing w:line="241" w:lineRule="auto"/>
              <w:rPr>
                <w:rFonts w:ascii="Arial"/>
                <w:sz w:val="21"/>
                <w:highlight w:val="none"/>
              </w:rPr>
            </w:pPr>
          </w:p>
          <w:p w14:paraId="6C653091">
            <w:pPr>
              <w:spacing w:line="241" w:lineRule="auto"/>
              <w:rPr>
                <w:rFonts w:ascii="Arial"/>
                <w:sz w:val="21"/>
                <w:highlight w:val="none"/>
              </w:rPr>
            </w:pPr>
          </w:p>
          <w:p w14:paraId="7693C2C6">
            <w:pPr>
              <w:pStyle w:val="31"/>
              <w:spacing w:before="65" w:line="268" w:lineRule="exact"/>
              <w:ind w:left="243" w:leftChars="0"/>
              <w:rPr>
                <w:highlight w:val="none"/>
              </w:rPr>
            </w:pPr>
            <w:r>
              <w:rPr>
                <w:position w:val="1"/>
                <w:highlight w:val="none"/>
              </w:rPr>
              <w:t>10.11</w:t>
            </w:r>
          </w:p>
        </w:tc>
        <w:tc>
          <w:tcPr>
            <w:tcW w:w="1638" w:type="dxa"/>
            <w:vAlign w:val="top"/>
          </w:tcPr>
          <w:p w14:paraId="6F274EA5">
            <w:pPr>
              <w:keepNext w:val="0"/>
              <w:keepLines w:val="0"/>
              <w:pageBreakBefore w:val="0"/>
              <w:kinsoku/>
              <w:wordWrap/>
              <w:overflowPunct/>
              <w:topLinePunct w:val="0"/>
              <w:bidi w:val="0"/>
              <w:rPr>
                <w:rFonts w:ascii="Arial"/>
                <w:sz w:val="21"/>
                <w:highlight w:val="none"/>
              </w:rPr>
            </w:pPr>
          </w:p>
          <w:p w14:paraId="7ED680A9">
            <w:pPr>
              <w:keepNext w:val="0"/>
              <w:keepLines w:val="0"/>
              <w:pageBreakBefore w:val="0"/>
              <w:kinsoku/>
              <w:wordWrap/>
              <w:overflowPunct/>
              <w:topLinePunct w:val="0"/>
              <w:bidi w:val="0"/>
              <w:rPr>
                <w:rFonts w:ascii="Arial"/>
                <w:sz w:val="21"/>
                <w:highlight w:val="none"/>
              </w:rPr>
            </w:pPr>
          </w:p>
          <w:p w14:paraId="1C9933BE">
            <w:pPr>
              <w:keepNext w:val="0"/>
              <w:keepLines w:val="0"/>
              <w:pageBreakBefore w:val="0"/>
              <w:kinsoku/>
              <w:wordWrap/>
              <w:overflowPunct/>
              <w:topLinePunct w:val="0"/>
              <w:bidi w:val="0"/>
              <w:spacing w:line="241" w:lineRule="auto"/>
              <w:rPr>
                <w:rFonts w:ascii="Arial"/>
                <w:sz w:val="21"/>
                <w:highlight w:val="none"/>
              </w:rPr>
            </w:pPr>
          </w:p>
          <w:p w14:paraId="7C131311">
            <w:pPr>
              <w:keepNext w:val="0"/>
              <w:keepLines w:val="0"/>
              <w:pageBreakBefore w:val="0"/>
              <w:kinsoku/>
              <w:wordWrap/>
              <w:overflowPunct/>
              <w:topLinePunct w:val="0"/>
              <w:bidi w:val="0"/>
              <w:spacing w:line="241" w:lineRule="auto"/>
              <w:rPr>
                <w:rFonts w:ascii="Arial"/>
                <w:sz w:val="21"/>
                <w:highlight w:val="none"/>
              </w:rPr>
            </w:pPr>
          </w:p>
          <w:p w14:paraId="4517AD21">
            <w:pPr>
              <w:keepNext w:val="0"/>
              <w:keepLines w:val="0"/>
              <w:pageBreakBefore w:val="0"/>
              <w:kinsoku/>
              <w:wordWrap/>
              <w:overflowPunct/>
              <w:topLinePunct w:val="0"/>
              <w:bidi w:val="0"/>
              <w:spacing w:line="241" w:lineRule="auto"/>
              <w:rPr>
                <w:rFonts w:ascii="Arial"/>
                <w:sz w:val="21"/>
                <w:highlight w:val="none"/>
              </w:rPr>
            </w:pPr>
          </w:p>
          <w:p w14:paraId="509916A8">
            <w:pPr>
              <w:keepNext w:val="0"/>
              <w:keepLines w:val="0"/>
              <w:pageBreakBefore w:val="0"/>
              <w:kinsoku/>
              <w:wordWrap/>
              <w:overflowPunct/>
              <w:topLinePunct w:val="0"/>
              <w:bidi w:val="0"/>
              <w:spacing w:line="241" w:lineRule="auto"/>
              <w:rPr>
                <w:rFonts w:ascii="Arial"/>
                <w:sz w:val="21"/>
                <w:highlight w:val="none"/>
              </w:rPr>
            </w:pPr>
          </w:p>
          <w:p w14:paraId="2279020A">
            <w:pPr>
              <w:keepNext w:val="0"/>
              <w:keepLines w:val="0"/>
              <w:pageBreakBefore w:val="0"/>
              <w:kinsoku/>
              <w:wordWrap/>
              <w:overflowPunct/>
              <w:topLinePunct w:val="0"/>
              <w:bidi w:val="0"/>
              <w:spacing w:line="241" w:lineRule="auto"/>
              <w:rPr>
                <w:rFonts w:ascii="Arial"/>
                <w:sz w:val="21"/>
                <w:highlight w:val="none"/>
              </w:rPr>
            </w:pPr>
          </w:p>
          <w:p w14:paraId="11278B32">
            <w:pPr>
              <w:keepNext w:val="0"/>
              <w:keepLines w:val="0"/>
              <w:pageBreakBefore w:val="0"/>
              <w:kinsoku/>
              <w:wordWrap/>
              <w:overflowPunct/>
              <w:topLinePunct w:val="0"/>
              <w:bidi w:val="0"/>
              <w:spacing w:line="241" w:lineRule="auto"/>
              <w:rPr>
                <w:rFonts w:ascii="Arial"/>
                <w:sz w:val="21"/>
                <w:highlight w:val="none"/>
              </w:rPr>
            </w:pPr>
          </w:p>
          <w:p w14:paraId="6B323312">
            <w:pPr>
              <w:keepNext w:val="0"/>
              <w:keepLines w:val="0"/>
              <w:pageBreakBefore w:val="0"/>
              <w:kinsoku/>
              <w:wordWrap/>
              <w:overflowPunct/>
              <w:topLinePunct w:val="0"/>
              <w:bidi w:val="0"/>
              <w:spacing w:line="241" w:lineRule="auto"/>
              <w:rPr>
                <w:rFonts w:ascii="Arial"/>
                <w:sz w:val="21"/>
                <w:highlight w:val="none"/>
              </w:rPr>
            </w:pPr>
          </w:p>
          <w:p w14:paraId="3D77E2D6">
            <w:pPr>
              <w:keepNext w:val="0"/>
              <w:keepLines w:val="0"/>
              <w:pageBreakBefore w:val="0"/>
              <w:kinsoku/>
              <w:wordWrap/>
              <w:overflowPunct/>
              <w:topLinePunct w:val="0"/>
              <w:bidi w:val="0"/>
              <w:spacing w:line="241" w:lineRule="auto"/>
              <w:rPr>
                <w:rFonts w:ascii="Arial"/>
                <w:sz w:val="21"/>
                <w:highlight w:val="none"/>
              </w:rPr>
            </w:pPr>
          </w:p>
          <w:p w14:paraId="00518FCD">
            <w:pPr>
              <w:keepNext w:val="0"/>
              <w:keepLines w:val="0"/>
              <w:pageBreakBefore w:val="0"/>
              <w:kinsoku/>
              <w:wordWrap/>
              <w:overflowPunct/>
              <w:topLinePunct w:val="0"/>
              <w:bidi w:val="0"/>
              <w:spacing w:line="241" w:lineRule="auto"/>
              <w:rPr>
                <w:rFonts w:ascii="Arial"/>
                <w:sz w:val="21"/>
                <w:highlight w:val="none"/>
              </w:rPr>
            </w:pPr>
          </w:p>
          <w:p w14:paraId="227AAEB7">
            <w:pPr>
              <w:keepNext w:val="0"/>
              <w:keepLines w:val="0"/>
              <w:pageBreakBefore w:val="0"/>
              <w:kinsoku/>
              <w:wordWrap/>
              <w:overflowPunct/>
              <w:topLinePunct w:val="0"/>
              <w:bidi w:val="0"/>
              <w:spacing w:line="241" w:lineRule="auto"/>
              <w:rPr>
                <w:rFonts w:ascii="Arial"/>
                <w:sz w:val="21"/>
                <w:highlight w:val="none"/>
              </w:rPr>
            </w:pPr>
          </w:p>
          <w:p w14:paraId="05DF0AC7">
            <w:pPr>
              <w:keepNext w:val="0"/>
              <w:keepLines w:val="0"/>
              <w:pageBreakBefore w:val="0"/>
              <w:kinsoku/>
              <w:wordWrap/>
              <w:overflowPunct/>
              <w:topLinePunct w:val="0"/>
              <w:bidi w:val="0"/>
              <w:spacing w:line="241" w:lineRule="auto"/>
              <w:rPr>
                <w:rFonts w:ascii="Arial"/>
                <w:sz w:val="21"/>
                <w:highlight w:val="none"/>
              </w:rPr>
            </w:pPr>
          </w:p>
          <w:p w14:paraId="0B684C6B">
            <w:pPr>
              <w:keepNext w:val="0"/>
              <w:keepLines w:val="0"/>
              <w:pageBreakBefore w:val="0"/>
              <w:kinsoku/>
              <w:wordWrap/>
              <w:overflowPunct/>
              <w:topLinePunct w:val="0"/>
              <w:bidi w:val="0"/>
              <w:spacing w:line="241" w:lineRule="auto"/>
              <w:rPr>
                <w:rFonts w:ascii="Arial"/>
                <w:sz w:val="21"/>
                <w:highlight w:val="none"/>
              </w:rPr>
            </w:pPr>
          </w:p>
          <w:p w14:paraId="6C49139F">
            <w:pPr>
              <w:keepNext w:val="0"/>
              <w:keepLines w:val="0"/>
              <w:pageBreakBefore w:val="0"/>
              <w:kinsoku/>
              <w:wordWrap/>
              <w:overflowPunct/>
              <w:topLinePunct w:val="0"/>
              <w:bidi w:val="0"/>
              <w:spacing w:line="241" w:lineRule="auto"/>
              <w:rPr>
                <w:rFonts w:ascii="Arial"/>
                <w:sz w:val="21"/>
                <w:highlight w:val="none"/>
              </w:rPr>
            </w:pPr>
          </w:p>
          <w:p w14:paraId="7E9A5302">
            <w:pPr>
              <w:pStyle w:val="31"/>
              <w:keepNext w:val="0"/>
              <w:keepLines w:val="0"/>
              <w:pageBreakBefore w:val="0"/>
              <w:kinsoku/>
              <w:wordWrap/>
              <w:overflowPunct/>
              <w:topLinePunct w:val="0"/>
              <w:bidi w:val="0"/>
              <w:spacing w:before="65" w:line="228" w:lineRule="auto"/>
              <w:ind w:left="403"/>
              <w:rPr>
                <w:highlight w:val="none"/>
              </w:rPr>
            </w:pPr>
            <w:r>
              <w:rPr>
                <w:spacing w:val="7"/>
                <w:highlight w:val="none"/>
              </w:rPr>
              <w:t>特别提醒</w:t>
            </w:r>
          </w:p>
        </w:tc>
        <w:tc>
          <w:tcPr>
            <w:tcW w:w="6466" w:type="dxa"/>
            <w:vAlign w:val="top"/>
          </w:tcPr>
          <w:p w14:paraId="708875E8">
            <w:pPr>
              <w:pStyle w:val="31"/>
              <w:keepNext w:val="0"/>
              <w:keepLines w:val="0"/>
              <w:pageBreakBefore w:val="0"/>
              <w:kinsoku/>
              <w:wordWrap/>
              <w:overflowPunct/>
              <w:topLinePunct w:val="0"/>
              <w:bidi w:val="0"/>
              <w:spacing w:before="133" w:line="439" w:lineRule="auto"/>
              <w:ind w:left="111" w:right="107" w:firstLine="16"/>
              <w:rPr>
                <w:highlight w:val="none"/>
              </w:rPr>
            </w:pPr>
            <w:r>
              <w:rPr>
                <w:spacing w:val="7"/>
                <w:highlight w:val="none"/>
              </w:rPr>
              <w:t>1.采购人和采购代理机构对已发出的招标文件进行的澄清、更正或更</w:t>
            </w:r>
            <w:r>
              <w:rPr>
                <w:spacing w:val="8"/>
                <w:highlight w:val="none"/>
              </w:rPr>
              <w:t>改，澄清、更正或更改的内容将作为招标文件的组成部分。采购代理</w:t>
            </w:r>
            <w:r>
              <w:rPr>
                <w:spacing w:val="6"/>
                <w:highlight w:val="none"/>
              </w:rPr>
              <w:t>机构将通过网站“变更公告</w:t>
            </w:r>
            <w:r>
              <w:rPr>
                <w:spacing w:val="-70"/>
                <w:highlight w:val="none"/>
              </w:rPr>
              <w:t xml:space="preserve"> </w:t>
            </w:r>
            <w:r>
              <w:rPr>
                <w:spacing w:val="6"/>
                <w:highlight w:val="none"/>
              </w:rPr>
              <w:t>”或系统内部“答疑文件</w:t>
            </w:r>
            <w:r>
              <w:rPr>
                <w:spacing w:val="-70"/>
                <w:highlight w:val="none"/>
              </w:rPr>
              <w:t xml:space="preserve"> </w:t>
            </w:r>
            <w:r>
              <w:rPr>
                <w:spacing w:val="6"/>
                <w:highlight w:val="none"/>
              </w:rPr>
              <w:t>”告知投标人，</w:t>
            </w:r>
            <w:r>
              <w:rPr>
                <w:spacing w:val="8"/>
                <w:highlight w:val="none"/>
              </w:rPr>
              <w:t>对于各项目中已经成功报名并下载招标文件的项目投标人，系统将通过第三方短信群发方式提醒投标人进行查询。各投标人须重新下载最新的招标文件及答疑文件，以此编制投标文件。投标人注册时所留手机联系方式要保持畅通，因联系方式变更而未及时更新系统内联</w:t>
            </w:r>
            <w:r>
              <w:rPr>
                <w:spacing w:val="7"/>
                <w:highlight w:val="none"/>
              </w:rPr>
              <w:t>系方</w:t>
            </w:r>
            <w:r>
              <w:rPr>
                <w:spacing w:val="8"/>
                <w:highlight w:val="none"/>
              </w:rPr>
              <w:t>式的，将会造成收不到短信。此短信仅系友情提示，并不具有任何约束性和必要性，采购人和采购代理机构不承担投标人未收到短信</w:t>
            </w:r>
            <w:r>
              <w:rPr>
                <w:spacing w:val="7"/>
                <w:highlight w:val="none"/>
              </w:rPr>
              <w:t>而引</w:t>
            </w:r>
            <w:r>
              <w:rPr>
                <w:spacing w:val="8"/>
                <w:highlight w:val="none"/>
              </w:rPr>
              <w:t>起的一切后果和法律责任。</w:t>
            </w:r>
          </w:p>
          <w:p w14:paraId="45FB7013">
            <w:pPr>
              <w:pStyle w:val="31"/>
              <w:keepNext w:val="0"/>
              <w:keepLines w:val="0"/>
              <w:pageBreakBefore w:val="0"/>
              <w:kinsoku/>
              <w:wordWrap/>
              <w:overflowPunct/>
              <w:topLinePunct w:val="0"/>
              <w:bidi w:val="0"/>
              <w:spacing w:before="1" w:line="439" w:lineRule="auto"/>
              <w:ind w:left="113" w:right="54" w:firstLine="1"/>
              <w:rPr>
                <w:highlight w:val="none"/>
              </w:rPr>
            </w:pPr>
            <w:r>
              <w:rPr>
                <w:spacing w:val="7"/>
                <w:highlight w:val="none"/>
              </w:rPr>
              <w:t>2.因河南省公共资源交易中心平台在开标前具有保密性，投标人在投</w:t>
            </w:r>
            <w:r>
              <w:rPr>
                <w:spacing w:val="3"/>
                <w:highlight w:val="none"/>
              </w:rPr>
              <w:t>标文件递交截止时间前须自行查看项目进展、变更通知、澄清及回</w:t>
            </w:r>
            <w:r>
              <w:rPr>
                <w:spacing w:val="2"/>
                <w:highlight w:val="none"/>
              </w:rPr>
              <w:t>复，</w:t>
            </w:r>
            <w:r>
              <w:rPr>
                <w:spacing w:val="8"/>
                <w:highlight w:val="none"/>
              </w:rPr>
              <w:t>因投标人未及时查看而造成的后果自负。</w:t>
            </w:r>
          </w:p>
          <w:p w14:paraId="07C04D08">
            <w:pPr>
              <w:pStyle w:val="31"/>
              <w:keepNext w:val="0"/>
              <w:keepLines w:val="0"/>
              <w:pageBreakBefore w:val="0"/>
              <w:kinsoku/>
              <w:wordWrap/>
              <w:overflowPunct/>
              <w:topLinePunct w:val="0"/>
              <w:bidi w:val="0"/>
              <w:spacing w:before="1" w:line="395" w:lineRule="auto"/>
              <w:ind w:left="111" w:right="108" w:firstLine="5"/>
              <w:rPr>
                <w:highlight w:val="none"/>
              </w:rPr>
            </w:pPr>
            <w:r>
              <w:rPr>
                <w:spacing w:val="4"/>
                <w:highlight w:val="none"/>
              </w:rPr>
              <w:t>3.本项目采用“远程不见面”开标方式，远程开标大厅网址为（</w:t>
            </w:r>
            <w:r>
              <w:rPr>
                <w:highlight w:val="none"/>
              </w:rPr>
              <w:fldChar w:fldCharType="begin"/>
            </w:r>
            <w:r>
              <w:rPr>
                <w:highlight w:val="none"/>
              </w:rPr>
              <w:instrText xml:space="preserve"> HYPERLINK "http:" </w:instrText>
            </w:r>
            <w:r>
              <w:rPr>
                <w:highlight w:val="none"/>
              </w:rPr>
              <w:fldChar w:fldCharType="separate"/>
            </w:r>
            <w:r>
              <w:rPr>
                <w:highlight w:val="none"/>
              </w:rPr>
              <w:t>http</w:t>
            </w:r>
            <w:r>
              <w:rPr>
                <w:spacing w:val="4"/>
                <w:highlight w:val="none"/>
              </w:rPr>
              <w:t>:</w:t>
            </w:r>
            <w:r>
              <w:rPr>
                <w:spacing w:val="4"/>
                <w:highlight w:val="none"/>
              </w:rPr>
              <w:fldChar w:fldCharType="end"/>
            </w:r>
            <w:r>
              <w:rPr>
                <w:spacing w:val="15"/>
                <w:highlight w:val="none"/>
              </w:rPr>
              <w:t xml:space="preserve"> </w:t>
            </w:r>
            <w:r>
              <w:rPr>
                <w:spacing w:val="5"/>
                <w:highlight w:val="none"/>
              </w:rPr>
              <w:t>//</w:t>
            </w:r>
            <w:r>
              <w:rPr>
                <w:highlight w:val="none"/>
              </w:rPr>
              <w:fldChar w:fldCharType="begin"/>
            </w:r>
            <w:r>
              <w:rPr>
                <w:highlight w:val="none"/>
              </w:rPr>
              <w:instrText xml:space="preserve"> HYPERLINK "hnsggzyjy.henan.gov.cn/BidOpening/bidopeninghallaction/hall/login" </w:instrText>
            </w:r>
            <w:r>
              <w:rPr>
                <w:highlight w:val="none"/>
              </w:rPr>
              <w:fldChar w:fldCharType="separate"/>
            </w:r>
            <w:r>
              <w:rPr>
                <w:spacing w:val="5"/>
                <w:highlight w:val="none"/>
              </w:rPr>
              <w:t>hnsggzyjy.henan.gov.cn/BidOpening/bidopeninghall</w:t>
            </w:r>
            <w:r>
              <w:rPr>
                <w:spacing w:val="4"/>
                <w:highlight w:val="none"/>
              </w:rPr>
              <w:t>action/ha</w:t>
            </w:r>
            <w:r>
              <w:rPr>
                <w:spacing w:val="4"/>
                <w:highlight w:val="none"/>
              </w:rPr>
              <w:fldChar w:fldCharType="end"/>
            </w:r>
            <w:r>
              <w:rPr>
                <w:highlight w:val="none"/>
              </w:rPr>
              <w:t xml:space="preserve"> </w:t>
            </w:r>
            <w:r>
              <w:rPr>
                <w:highlight w:val="none"/>
              </w:rPr>
              <w:fldChar w:fldCharType="begin"/>
            </w:r>
            <w:r>
              <w:rPr>
                <w:highlight w:val="none"/>
              </w:rPr>
              <w:instrText xml:space="preserve"> HYPERLINK "hnsggzyjy.henan.gov.cn/BidOpening/bidopeninghallaction/hall/login" </w:instrText>
            </w:r>
            <w:r>
              <w:rPr>
                <w:highlight w:val="none"/>
              </w:rPr>
              <w:fldChar w:fldCharType="separate"/>
            </w:r>
            <w:r>
              <w:rPr>
                <w:highlight w:val="none"/>
              </w:rPr>
              <w:t>ll</w:t>
            </w:r>
            <w:r>
              <w:rPr>
                <w:spacing w:val="10"/>
                <w:highlight w:val="none"/>
              </w:rPr>
              <w:t>/</w:t>
            </w:r>
            <w:r>
              <w:rPr>
                <w:highlight w:val="none"/>
              </w:rPr>
              <w:t>login</w:t>
            </w:r>
            <w:r>
              <w:rPr>
                <w:highlight w:val="none"/>
              </w:rPr>
              <w:fldChar w:fldCharType="end"/>
            </w:r>
            <w:r>
              <w:rPr>
                <w:spacing w:val="-6"/>
                <w:highlight w:val="none"/>
              </w:rPr>
              <w:t>），</w:t>
            </w:r>
            <w:r>
              <w:rPr>
                <w:spacing w:val="10"/>
                <w:highlight w:val="none"/>
              </w:rPr>
              <w:t>投标人无需到河南省公共资源交易中心现场参加开标会</w:t>
            </w:r>
          </w:p>
        </w:tc>
      </w:tr>
    </w:tbl>
    <w:p w14:paraId="771CD8A0">
      <w:pPr>
        <w:pStyle w:val="4"/>
        <w:keepNext w:val="0"/>
        <w:keepLines w:val="0"/>
        <w:pageBreakBefore w:val="0"/>
        <w:kinsoku/>
        <w:wordWrap/>
        <w:overflowPunct/>
        <w:topLinePunct w:val="0"/>
        <w:bidi w:val="0"/>
      </w:pPr>
    </w:p>
    <w:p w14:paraId="138CD7DA">
      <w:pPr>
        <w:keepNext w:val="0"/>
        <w:keepLines w:val="0"/>
        <w:pageBreakBefore w:val="0"/>
        <w:kinsoku/>
        <w:wordWrap/>
        <w:overflowPunct/>
        <w:topLinePunct w:val="0"/>
        <w:bidi w:val="0"/>
        <w:spacing w:line="42" w:lineRule="exact"/>
        <w:rPr>
          <w:rFonts w:hint="eastAsia" w:eastAsia="宋体"/>
          <w:lang w:eastAsia="zh-CN"/>
        </w:rPr>
      </w:pPr>
      <w:r>
        <w:rPr>
          <w:rFonts w:hint="eastAsia" w:eastAsia="宋体"/>
          <w:lang w:eastAsia="zh-CN"/>
        </w:rPr>
        <w:br w:type="page"/>
      </w:r>
    </w:p>
    <w:tbl>
      <w:tblPr>
        <w:tblStyle w:val="30"/>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638"/>
        <w:gridCol w:w="6466"/>
      </w:tblGrid>
      <w:tr w14:paraId="0B776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971" w:type="dxa"/>
            <w:vAlign w:val="top"/>
          </w:tcPr>
          <w:p w14:paraId="7FA0DBA6">
            <w:pPr>
              <w:keepNext w:val="0"/>
              <w:keepLines w:val="0"/>
              <w:pageBreakBefore w:val="0"/>
              <w:kinsoku/>
              <w:wordWrap/>
              <w:overflowPunct/>
              <w:topLinePunct w:val="0"/>
              <w:bidi w:val="0"/>
              <w:rPr>
                <w:rFonts w:ascii="Arial"/>
                <w:sz w:val="21"/>
              </w:rPr>
            </w:pPr>
          </w:p>
        </w:tc>
        <w:tc>
          <w:tcPr>
            <w:tcW w:w="1638" w:type="dxa"/>
            <w:vAlign w:val="top"/>
          </w:tcPr>
          <w:p w14:paraId="1E65C8EA">
            <w:pPr>
              <w:keepNext w:val="0"/>
              <w:keepLines w:val="0"/>
              <w:pageBreakBefore w:val="0"/>
              <w:kinsoku/>
              <w:wordWrap/>
              <w:overflowPunct/>
              <w:topLinePunct w:val="0"/>
              <w:bidi w:val="0"/>
              <w:rPr>
                <w:rFonts w:ascii="Arial"/>
                <w:sz w:val="21"/>
              </w:rPr>
            </w:pPr>
          </w:p>
        </w:tc>
        <w:tc>
          <w:tcPr>
            <w:tcW w:w="6466" w:type="dxa"/>
            <w:vAlign w:val="top"/>
          </w:tcPr>
          <w:p w14:paraId="2F2F8034">
            <w:pPr>
              <w:pStyle w:val="31"/>
              <w:keepNext w:val="0"/>
              <w:keepLines w:val="0"/>
              <w:pageBreakBefore w:val="0"/>
              <w:kinsoku/>
              <w:wordWrap/>
              <w:overflowPunct/>
              <w:topLinePunct w:val="0"/>
              <w:bidi w:val="0"/>
              <w:spacing w:before="137" w:line="375" w:lineRule="auto"/>
              <w:ind w:left="113" w:right="109"/>
            </w:pPr>
            <w:r>
              <w:rPr>
                <w:spacing w:val="8"/>
              </w:rPr>
              <w:t>议，无需到达现场提交原件资料。投标人应当在投标截止时</w:t>
            </w:r>
            <w:r>
              <w:rPr>
                <w:spacing w:val="7"/>
              </w:rPr>
              <w:t>间前，登</w:t>
            </w:r>
            <w:r>
              <w:rPr>
                <w:spacing w:val="9"/>
              </w:rPr>
              <w:t>录远程开标大厅，在线准时参加开标活动并进行投标文件解密等。</w:t>
            </w:r>
          </w:p>
        </w:tc>
      </w:tr>
      <w:tr w14:paraId="27B78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8" w:hRule="atLeast"/>
        </w:trPr>
        <w:tc>
          <w:tcPr>
            <w:tcW w:w="971" w:type="dxa"/>
            <w:vAlign w:val="top"/>
          </w:tcPr>
          <w:p w14:paraId="2ADDC837">
            <w:pPr>
              <w:spacing w:line="250" w:lineRule="auto"/>
              <w:rPr>
                <w:rFonts w:ascii="Arial"/>
                <w:sz w:val="21"/>
                <w:highlight w:val="none"/>
              </w:rPr>
            </w:pPr>
          </w:p>
          <w:p w14:paraId="1A506D16">
            <w:pPr>
              <w:spacing w:line="250" w:lineRule="auto"/>
              <w:rPr>
                <w:rFonts w:ascii="Arial"/>
                <w:sz w:val="21"/>
                <w:highlight w:val="none"/>
              </w:rPr>
            </w:pPr>
          </w:p>
          <w:p w14:paraId="1C5D98B1">
            <w:pPr>
              <w:spacing w:line="250" w:lineRule="auto"/>
              <w:rPr>
                <w:rFonts w:ascii="Arial"/>
                <w:sz w:val="21"/>
                <w:highlight w:val="none"/>
              </w:rPr>
            </w:pPr>
          </w:p>
          <w:p w14:paraId="60EC2507">
            <w:pPr>
              <w:spacing w:line="250" w:lineRule="auto"/>
              <w:rPr>
                <w:rFonts w:ascii="Arial"/>
                <w:sz w:val="21"/>
                <w:highlight w:val="none"/>
              </w:rPr>
            </w:pPr>
          </w:p>
          <w:p w14:paraId="07A05BFF">
            <w:pPr>
              <w:spacing w:line="251" w:lineRule="auto"/>
              <w:rPr>
                <w:rFonts w:ascii="Arial"/>
                <w:sz w:val="21"/>
                <w:highlight w:val="none"/>
              </w:rPr>
            </w:pPr>
          </w:p>
          <w:p w14:paraId="6AE074CB">
            <w:pPr>
              <w:spacing w:line="251" w:lineRule="auto"/>
              <w:rPr>
                <w:rFonts w:ascii="Arial"/>
                <w:sz w:val="21"/>
                <w:highlight w:val="none"/>
              </w:rPr>
            </w:pPr>
          </w:p>
          <w:p w14:paraId="14068A0A">
            <w:pPr>
              <w:spacing w:line="251" w:lineRule="auto"/>
              <w:rPr>
                <w:rFonts w:ascii="Arial"/>
                <w:sz w:val="21"/>
                <w:highlight w:val="none"/>
              </w:rPr>
            </w:pPr>
          </w:p>
          <w:p w14:paraId="104FEDC4">
            <w:pPr>
              <w:spacing w:line="251" w:lineRule="auto"/>
              <w:rPr>
                <w:rFonts w:ascii="Arial"/>
                <w:sz w:val="21"/>
                <w:highlight w:val="none"/>
              </w:rPr>
            </w:pPr>
          </w:p>
          <w:p w14:paraId="5BAE694E">
            <w:pPr>
              <w:spacing w:line="251" w:lineRule="auto"/>
              <w:rPr>
                <w:rFonts w:ascii="Arial"/>
                <w:sz w:val="21"/>
                <w:highlight w:val="none"/>
              </w:rPr>
            </w:pPr>
          </w:p>
          <w:p w14:paraId="7FC91A9C">
            <w:pPr>
              <w:spacing w:line="251" w:lineRule="auto"/>
              <w:rPr>
                <w:rFonts w:ascii="Arial"/>
                <w:sz w:val="21"/>
                <w:highlight w:val="none"/>
              </w:rPr>
            </w:pPr>
          </w:p>
          <w:p w14:paraId="2292C1B9">
            <w:pPr>
              <w:spacing w:line="251" w:lineRule="auto"/>
              <w:rPr>
                <w:rFonts w:ascii="Arial"/>
                <w:sz w:val="21"/>
                <w:highlight w:val="none"/>
              </w:rPr>
            </w:pPr>
          </w:p>
          <w:p w14:paraId="08E78F92">
            <w:pPr>
              <w:spacing w:line="251" w:lineRule="auto"/>
              <w:rPr>
                <w:rFonts w:ascii="Arial"/>
                <w:sz w:val="21"/>
                <w:highlight w:val="none"/>
              </w:rPr>
            </w:pPr>
          </w:p>
          <w:p w14:paraId="35CC5A9F">
            <w:pPr>
              <w:spacing w:line="251" w:lineRule="auto"/>
              <w:rPr>
                <w:rFonts w:ascii="Arial"/>
                <w:sz w:val="21"/>
                <w:highlight w:val="none"/>
              </w:rPr>
            </w:pPr>
          </w:p>
          <w:p w14:paraId="3C191475">
            <w:pPr>
              <w:spacing w:line="251" w:lineRule="auto"/>
              <w:rPr>
                <w:rFonts w:ascii="Arial"/>
                <w:sz w:val="21"/>
                <w:highlight w:val="none"/>
              </w:rPr>
            </w:pPr>
          </w:p>
          <w:p w14:paraId="776BA44A">
            <w:pPr>
              <w:spacing w:line="251" w:lineRule="auto"/>
              <w:rPr>
                <w:rFonts w:ascii="Arial"/>
                <w:sz w:val="21"/>
                <w:highlight w:val="none"/>
              </w:rPr>
            </w:pPr>
          </w:p>
          <w:p w14:paraId="0EB04FFA">
            <w:pPr>
              <w:spacing w:line="251" w:lineRule="auto"/>
              <w:rPr>
                <w:rFonts w:ascii="Arial"/>
                <w:sz w:val="21"/>
                <w:highlight w:val="none"/>
              </w:rPr>
            </w:pPr>
          </w:p>
          <w:p w14:paraId="12C0176B">
            <w:pPr>
              <w:spacing w:line="251" w:lineRule="auto"/>
              <w:rPr>
                <w:rFonts w:ascii="Arial"/>
                <w:sz w:val="21"/>
                <w:highlight w:val="none"/>
              </w:rPr>
            </w:pPr>
          </w:p>
          <w:p w14:paraId="212BC992">
            <w:pPr>
              <w:spacing w:line="251" w:lineRule="auto"/>
              <w:rPr>
                <w:rFonts w:ascii="Arial"/>
                <w:sz w:val="21"/>
                <w:highlight w:val="none"/>
              </w:rPr>
            </w:pPr>
          </w:p>
          <w:p w14:paraId="71D7EBE4">
            <w:pPr>
              <w:spacing w:line="251" w:lineRule="auto"/>
              <w:rPr>
                <w:rFonts w:ascii="Arial"/>
                <w:sz w:val="21"/>
                <w:highlight w:val="none"/>
              </w:rPr>
            </w:pPr>
          </w:p>
          <w:p w14:paraId="3BBF6031">
            <w:pPr>
              <w:spacing w:line="251" w:lineRule="auto"/>
              <w:rPr>
                <w:rFonts w:ascii="Arial"/>
                <w:sz w:val="21"/>
                <w:highlight w:val="none"/>
              </w:rPr>
            </w:pPr>
          </w:p>
          <w:p w14:paraId="3B5A001F">
            <w:pPr>
              <w:spacing w:line="251" w:lineRule="auto"/>
              <w:rPr>
                <w:rFonts w:ascii="Arial"/>
                <w:sz w:val="21"/>
                <w:highlight w:val="none"/>
              </w:rPr>
            </w:pPr>
          </w:p>
          <w:p w14:paraId="326DECF6">
            <w:pPr>
              <w:pStyle w:val="31"/>
              <w:spacing w:before="65" w:line="267" w:lineRule="exact"/>
              <w:ind w:left="243" w:leftChars="0"/>
              <w:rPr>
                <w:highlight w:val="none"/>
              </w:rPr>
            </w:pPr>
            <w:r>
              <w:rPr>
                <w:position w:val="1"/>
                <w:highlight w:val="none"/>
              </w:rPr>
              <w:t>10.12</w:t>
            </w:r>
          </w:p>
        </w:tc>
        <w:tc>
          <w:tcPr>
            <w:tcW w:w="1638" w:type="dxa"/>
            <w:vAlign w:val="top"/>
          </w:tcPr>
          <w:p w14:paraId="4311D57C">
            <w:pPr>
              <w:keepNext w:val="0"/>
              <w:keepLines w:val="0"/>
              <w:pageBreakBefore w:val="0"/>
              <w:kinsoku/>
              <w:wordWrap/>
              <w:overflowPunct/>
              <w:topLinePunct w:val="0"/>
              <w:bidi w:val="0"/>
              <w:spacing w:line="250" w:lineRule="auto"/>
              <w:rPr>
                <w:rFonts w:ascii="Arial"/>
                <w:sz w:val="21"/>
                <w:highlight w:val="none"/>
              </w:rPr>
            </w:pPr>
          </w:p>
          <w:p w14:paraId="335BBC81">
            <w:pPr>
              <w:keepNext w:val="0"/>
              <w:keepLines w:val="0"/>
              <w:pageBreakBefore w:val="0"/>
              <w:kinsoku/>
              <w:wordWrap/>
              <w:overflowPunct/>
              <w:topLinePunct w:val="0"/>
              <w:bidi w:val="0"/>
              <w:spacing w:line="250" w:lineRule="auto"/>
              <w:rPr>
                <w:rFonts w:ascii="Arial"/>
                <w:sz w:val="21"/>
                <w:highlight w:val="none"/>
              </w:rPr>
            </w:pPr>
          </w:p>
          <w:p w14:paraId="50592302">
            <w:pPr>
              <w:keepNext w:val="0"/>
              <w:keepLines w:val="0"/>
              <w:pageBreakBefore w:val="0"/>
              <w:kinsoku/>
              <w:wordWrap/>
              <w:overflowPunct/>
              <w:topLinePunct w:val="0"/>
              <w:bidi w:val="0"/>
              <w:spacing w:line="250" w:lineRule="auto"/>
              <w:rPr>
                <w:rFonts w:ascii="Arial"/>
                <w:sz w:val="21"/>
                <w:highlight w:val="none"/>
              </w:rPr>
            </w:pPr>
          </w:p>
          <w:p w14:paraId="104CEC5C">
            <w:pPr>
              <w:keepNext w:val="0"/>
              <w:keepLines w:val="0"/>
              <w:pageBreakBefore w:val="0"/>
              <w:kinsoku/>
              <w:wordWrap/>
              <w:overflowPunct/>
              <w:topLinePunct w:val="0"/>
              <w:bidi w:val="0"/>
              <w:spacing w:line="250" w:lineRule="auto"/>
              <w:rPr>
                <w:rFonts w:ascii="Arial"/>
                <w:sz w:val="21"/>
                <w:highlight w:val="none"/>
              </w:rPr>
            </w:pPr>
          </w:p>
          <w:p w14:paraId="1390DE1E">
            <w:pPr>
              <w:keepNext w:val="0"/>
              <w:keepLines w:val="0"/>
              <w:pageBreakBefore w:val="0"/>
              <w:kinsoku/>
              <w:wordWrap/>
              <w:overflowPunct/>
              <w:topLinePunct w:val="0"/>
              <w:bidi w:val="0"/>
              <w:spacing w:line="250" w:lineRule="auto"/>
              <w:rPr>
                <w:rFonts w:ascii="Arial"/>
                <w:sz w:val="21"/>
                <w:highlight w:val="none"/>
              </w:rPr>
            </w:pPr>
          </w:p>
          <w:p w14:paraId="3A035C7E">
            <w:pPr>
              <w:keepNext w:val="0"/>
              <w:keepLines w:val="0"/>
              <w:pageBreakBefore w:val="0"/>
              <w:kinsoku/>
              <w:wordWrap/>
              <w:overflowPunct/>
              <w:topLinePunct w:val="0"/>
              <w:bidi w:val="0"/>
              <w:spacing w:line="251" w:lineRule="auto"/>
              <w:rPr>
                <w:rFonts w:ascii="Arial"/>
                <w:sz w:val="21"/>
                <w:highlight w:val="none"/>
              </w:rPr>
            </w:pPr>
          </w:p>
          <w:p w14:paraId="1870523B">
            <w:pPr>
              <w:keepNext w:val="0"/>
              <w:keepLines w:val="0"/>
              <w:pageBreakBefore w:val="0"/>
              <w:kinsoku/>
              <w:wordWrap/>
              <w:overflowPunct/>
              <w:topLinePunct w:val="0"/>
              <w:bidi w:val="0"/>
              <w:spacing w:line="251" w:lineRule="auto"/>
              <w:rPr>
                <w:rFonts w:ascii="Arial"/>
                <w:sz w:val="21"/>
                <w:highlight w:val="none"/>
              </w:rPr>
            </w:pPr>
          </w:p>
          <w:p w14:paraId="08CCBD57">
            <w:pPr>
              <w:keepNext w:val="0"/>
              <w:keepLines w:val="0"/>
              <w:pageBreakBefore w:val="0"/>
              <w:kinsoku/>
              <w:wordWrap/>
              <w:overflowPunct/>
              <w:topLinePunct w:val="0"/>
              <w:bidi w:val="0"/>
              <w:spacing w:line="251" w:lineRule="auto"/>
              <w:rPr>
                <w:rFonts w:ascii="Arial"/>
                <w:sz w:val="21"/>
                <w:highlight w:val="none"/>
              </w:rPr>
            </w:pPr>
          </w:p>
          <w:p w14:paraId="5D9E6AD8">
            <w:pPr>
              <w:keepNext w:val="0"/>
              <w:keepLines w:val="0"/>
              <w:pageBreakBefore w:val="0"/>
              <w:kinsoku/>
              <w:wordWrap/>
              <w:overflowPunct/>
              <w:topLinePunct w:val="0"/>
              <w:bidi w:val="0"/>
              <w:spacing w:line="251" w:lineRule="auto"/>
              <w:rPr>
                <w:rFonts w:ascii="Arial"/>
                <w:sz w:val="21"/>
                <w:highlight w:val="none"/>
              </w:rPr>
            </w:pPr>
          </w:p>
          <w:p w14:paraId="3D02909B">
            <w:pPr>
              <w:keepNext w:val="0"/>
              <w:keepLines w:val="0"/>
              <w:pageBreakBefore w:val="0"/>
              <w:kinsoku/>
              <w:wordWrap/>
              <w:overflowPunct/>
              <w:topLinePunct w:val="0"/>
              <w:bidi w:val="0"/>
              <w:spacing w:line="251" w:lineRule="auto"/>
              <w:rPr>
                <w:rFonts w:ascii="Arial"/>
                <w:sz w:val="21"/>
                <w:highlight w:val="none"/>
              </w:rPr>
            </w:pPr>
          </w:p>
          <w:p w14:paraId="11E71D41">
            <w:pPr>
              <w:keepNext w:val="0"/>
              <w:keepLines w:val="0"/>
              <w:pageBreakBefore w:val="0"/>
              <w:kinsoku/>
              <w:wordWrap/>
              <w:overflowPunct/>
              <w:topLinePunct w:val="0"/>
              <w:bidi w:val="0"/>
              <w:spacing w:line="251" w:lineRule="auto"/>
              <w:rPr>
                <w:rFonts w:ascii="Arial"/>
                <w:sz w:val="21"/>
                <w:highlight w:val="none"/>
              </w:rPr>
            </w:pPr>
          </w:p>
          <w:p w14:paraId="083134F9">
            <w:pPr>
              <w:keepNext w:val="0"/>
              <w:keepLines w:val="0"/>
              <w:pageBreakBefore w:val="0"/>
              <w:kinsoku/>
              <w:wordWrap/>
              <w:overflowPunct/>
              <w:topLinePunct w:val="0"/>
              <w:bidi w:val="0"/>
              <w:spacing w:line="251" w:lineRule="auto"/>
              <w:rPr>
                <w:rFonts w:ascii="Arial"/>
                <w:sz w:val="21"/>
                <w:highlight w:val="none"/>
              </w:rPr>
            </w:pPr>
          </w:p>
          <w:p w14:paraId="7EF5F53F">
            <w:pPr>
              <w:keepNext w:val="0"/>
              <w:keepLines w:val="0"/>
              <w:pageBreakBefore w:val="0"/>
              <w:kinsoku/>
              <w:wordWrap/>
              <w:overflowPunct/>
              <w:topLinePunct w:val="0"/>
              <w:bidi w:val="0"/>
              <w:spacing w:line="251" w:lineRule="auto"/>
              <w:rPr>
                <w:rFonts w:ascii="Arial"/>
                <w:sz w:val="21"/>
                <w:highlight w:val="none"/>
              </w:rPr>
            </w:pPr>
          </w:p>
          <w:p w14:paraId="018092B3">
            <w:pPr>
              <w:keepNext w:val="0"/>
              <w:keepLines w:val="0"/>
              <w:pageBreakBefore w:val="0"/>
              <w:kinsoku/>
              <w:wordWrap/>
              <w:overflowPunct/>
              <w:topLinePunct w:val="0"/>
              <w:bidi w:val="0"/>
              <w:spacing w:line="251" w:lineRule="auto"/>
              <w:rPr>
                <w:rFonts w:ascii="Arial"/>
                <w:sz w:val="21"/>
                <w:highlight w:val="none"/>
              </w:rPr>
            </w:pPr>
          </w:p>
          <w:p w14:paraId="02D3336E">
            <w:pPr>
              <w:keepNext w:val="0"/>
              <w:keepLines w:val="0"/>
              <w:pageBreakBefore w:val="0"/>
              <w:kinsoku/>
              <w:wordWrap/>
              <w:overflowPunct/>
              <w:topLinePunct w:val="0"/>
              <w:bidi w:val="0"/>
              <w:spacing w:line="251" w:lineRule="auto"/>
              <w:rPr>
                <w:rFonts w:ascii="Arial"/>
                <w:sz w:val="21"/>
                <w:highlight w:val="none"/>
              </w:rPr>
            </w:pPr>
          </w:p>
          <w:p w14:paraId="24E20861">
            <w:pPr>
              <w:keepNext w:val="0"/>
              <w:keepLines w:val="0"/>
              <w:pageBreakBefore w:val="0"/>
              <w:kinsoku/>
              <w:wordWrap/>
              <w:overflowPunct/>
              <w:topLinePunct w:val="0"/>
              <w:bidi w:val="0"/>
              <w:spacing w:line="251" w:lineRule="auto"/>
              <w:rPr>
                <w:rFonts w:ascii="Arial"/>
                <w:sz w:val="21"/>
                <w:highlight w:val="none"/>
              </w:rPr>
            </w:pPr>
          </w:p>
          <w:p w14:paraId="4058D189">
            <w:pPr>
              <w:keepNext w:val="0"/>
              <w:keepLines w:val="0"/>
              <w:pageBreakBefore w:val="0"/>
              <w:kinsoku/>
              <w:wordWrap/>
              <w:overflowPunct/>
              <w:topLinePunct w:val="0"/>
              <w:bidi w:val="0"/>
              <w:spacing w:line="251" w:lineRule="auto"/>
              <w:rPr>
                <w:rFonts w:ascii="Arial"/>
                <w:sz w:val="21"/>
                <w:highlight w:val="none"/>
              </w:rPr>
            </w:pPr>
          </w:p>
          <w:p w14:paraId="72D4D950">
            <w:pPr>
              <w:keepNext w:val="0"/>
              <w:keepLines w:val="0"/>
              <w:pageBreakBefore w:val="0"/>
              <w:kinsoku/>
              <w:wordWrap/>
              <w:overflowPunct/>
              <w:topLinePunct w:val="0"/>
              <w:bidi w:val="0"/>
              <w:spacing w:line="251" w:lineRule="auto"/>
              <w:rPr>
                <w:rFonts w:ascii="Arial"/>
                <w:sz w:val="21"/>
                <w:highlight w:val="none"/>
              </w:rPr>
            </w:pPr>
          </w:p>
          <w:p w14:paraId="2FE281B1">
            <w:pPr>
              <w:keepNext w:val="0"/>
              <w:keepLines w:val="0"/>
              <w:pageBreakBefore w:val="0"/>
              <w:kinsoku/>
              <w:wordWrap/>
              <w:overflowPunct/>
              <w:topLinePunct w:val="0"/>
              <w:bidi w:val="0"/>
              <w:spacing w:line="251" w:lineRule="auto"/>
              <w:rPr>
                <w:rFonts w:ascii="Arial"/>
                <w:sz w:val="21"/>
                <w:highlight w:val="none"/>
              </w:rPr>
            </w:pPr>
          </w:p>
          <w:p w14:paraId="4C6DBE55">
            <w:pPr>
              <w:keepNext w:val="0"/>
              <w:keepLines w:val="0"/>
              <w:pageBreakBefore w:val="0"/>
              <w:kinsoku/>
              <w:wordWrap/>
              <w:overflowPunct/>
              <w:topLinePunct w:val="0"/>
              <w:bidi w:val="0"/>
              <w:spacing w:line="251" w:lineRule="auto"/>
              <w:rPr>
                <w:rFonts w:ascii="Arial"/>
                <w:sz w:val="21"/>
                <w:highlight w:val="none"/>
              </w:rPr>
            </w:pPr>
          </w:p>
          <w:p w14:paraId="6CDD567C">
            <w:pPr>
              <w:keepNext w:val="0"/>
              <w:keepLines w:val="0"/>
              <w:pageBreakBefore w:val="0"/>
              <w:kinsoku/>
              <w:wordWrap/>
              <w:overflowPunct/>
              <w:topLinePunct w:val="0"/>
              <w:bidi w:val="0"/>
              <w:spacing w:line="251" w:lineRule="auto"/>
              <w:rPr>
                <w:rFonts w:ascii="Arial"/>
                <w:sz w:val="21"/>
                <w:highlight w:val="none"/>
              </w:rPr>
            </w:pPr>
          </w:p>
          <w:p w14:paraId="5BACA387">
            <w:pPr>
              <w:pStyle w:val="31"/>
              <w:keepNext w:val="0"/>
              <w:keepLines w:val="0"/>
              <w:pageBreakBefore w:val="0"/>
              <w:kinsoku/>
              <w:wordWrap/>
              <w:overflowPunct/>
              <w:topLinePunct w:val="0"/>
              <w:bidi w:val="0"/>
              <w:spacing w:before="65" w:line="228" w:lineRule="auto"/>
              <w:ind w:left="401"/>
              <w:rPr>
                <w:highlight w:val="none"/>
              </w:rPr>
            </w:pPr>
            <w:r>
              <w:rPr>
                <w:b/>
                <w:bCs/>
                <w:spacing w:val="6"/>
                <w:highlight w:val="none"/>
              </w:rPr>
              <w:t>信用查询</w:t>
            </w:r>
          </w:p>
        </w:tc>
        <w:tc>
          <w:tcPr>
            <w:tcW w:w="6466" w:type="dxa"/>
            <w:vAlign w:val="top"/>
          </w:tcPr>
          <w:p w14:paraId="7D2B8454">
            <w:pPr>
              <w:pStyle w:val="31"/>
              <w:keepNext w:val="0"/>
              <w:keepLines w:val="0"/>
              <w:pageBreakBefore w:val="0"/>
              <w:kinsoku/>
              <w:wordWrap/>
              <w:overflowPunct/>
              <w:topLinePunct w:val="0"/>
              <w:bidi w:val="0"/>
              <w:spacing w:before="132" w:line="439" w:lineRule="auto"/>
              <w:ind w:left="112" w:firstLine="15"/>
              <w:rPr>
                <w:highlight w:val="none"/>
              </w:rPr>
            </w:pPr>
            <w:r>
              <w:rPr>
                <w:spacing w:val="7"/>
                <w:highlight w:val="none"/>
              </w:rPr>
              <w:t>1、根据《关于在政府采购活动中查询及使用信用记录有关问题的通</w:t>
            </w:r>
            <w:r>
              <w:rPr>
                <w:spacing w:val="5"/>
                <w:highlight w:val="none"/>
              </w:rPr>
              <w:t xml:space="preserve"> 知》</w:t>
            </w:r>
            <w:r>
              <w:rPr>
                <w:spacing w:val="-44"/>
                <w:highlight w:val="none"/>
              </w:rPr>
              <w:t xml:space="preserve"> </w:t>
            </w:r>
            <w:r>
              <w:rPr>
                <w:spacing w:val="5"/>
                <w:highlight w:val="none"/>
              </w:rPr>
              <w:t>(财库[</w:t>
            </w:r>
            <w:r>
              <w:rPr>
                <w:highlight w:val="none"/>
              </w:rPr>
              <w:fldChar w:fldCharType="begin"/>
            </w:r>
            <w:r>
              <w:rPr>
                <w:highlight w:val="none"/>
              </w:rPr>
              <w:instrText xml:space="preserve"> HYPERLINK \l "bookmark14" </w:instrText>
            </w:r>
            <w:r>
              <w:rPr>
                <w:highlight w:val="none"/>
              </w:rPr>
              <w:fldChar w:fldCharType="separate"/>
            </w:r>
            <w:r>
              <w:rPr>
                <w:spacing w:val="5"/>
                <w:highlight w:val="none"/>
              </w:rPr>
              <w:t>2016</w:t>
            </w:r>
            <w:r>
              <w:rPr>
                <w:spacing w:val="5"/>
                <w:highlight w:val="none"/>
              </w:rPr>
              <w:fldChar w:fldCharType="end"/>
            </w:r>
            <w:r>
              <w:rPr>
                <w:spacing w:val="5"/>
                <w:highlight w:val="none"/>
              </w:rPr>
              <w:t>]125</w:t>
            </w:r>
            <w:r>
              <w:rPr>
                <w:spacing w:val="-36"/>
                <w:highlight w:val="none"/>
              </w:rPr>
              <w:t xml:space="preserve"> </w:t>
            </w:r>
            <w:r>
              <w:rPr>
                <w:spacing w:val="5"/>
                <w:highlight w:val="none"/>
              </w:rPr>
              <w:t>号)的规定，对列入失信被执行人、重大税收违</w:t>
            </w:r>
            <w:r>
              <w:rPr>
                <w:spacing w:val="6"/>
                <w:highlight w:val="none"/>
              </w:rPr>
              <w:t>法失信主体、政府采购严重违法失信行为记录名单的投标人，拒绝参</w:t>
            </w:r>
            <w:r>
              <w:rPr>
                <w:spacing w:val="5"/>
                <w:highlight w:val="none"/>
              </w:rPr>
              <w:t>与本项目政府采购活动；查询渠道：失信被执行人查询渠道：“</w:t>
            </w:r>
            <w:r>
              <w:rPr>
                <w:spacing w:val="-55"/>
                <w:highlight w:val="none"/>
              </w:rPr>
              <w:t xml:space="preserve"> </w:t>
            </w:r>
            <w:r>
              <w:rPr>
                <w:spacing w:val="5"/>
                <w:highlight w:val="none"/>
              </w:rPr>
              <w:t>中国</w:t>
            </w:r>
            <w:r>
              <w:rPr>
                <w:spacing w:val="9"/>
                <w:highlight w:val="none"/>
              </w:rPr>
              <w:t>执行信息公开网</w:t>
            </w:r>
            <w:r>
              <w:rPr>
                <w:spacing w:val="-53"/>
                <w:highlight w:val="none"/>
              </w:rPr>
              <w:t xml:space="preserve"> </w:t>
            </w:r>
            <w:r>
              <w:rPr>
                <w:spacing w:val="9"/>
                <w:highlight w:val="none"/>
              </w:rPr>
              <w:t>”；重大税收违法失信主体查询渠道：“信用中国</w:t>
            </w:r>
            <w:r>
              <w:rPr>
                <w:spacing w:val="-70"/>
                <w:highlight w:val="none"/>
              </w:rPr>
              <w:t xml:space="preserve"> </w:t>
            </w:r>
            <w:r>
              <w:rPr>
                <w:spacing w:val="9"/>
                <w:highlight w:val="none"/>
              </w:rPr>
              <w:t>”</w:t>
            </w:r>
            <w:r>
              <w:rPr>
                <w:spacing w:val="7"/>
                <w:highlight w:val="none"/>
              </w:rPr>
              <w:t>网站；政府采购严重违法失信行为查询渠道：“</w:t>
            </w:r>
            <w:r>
              <w:rPr>
                <w:spacing w:val="-71"/>
                <w:highlight w:val="none"/>
              </w:rPr>
              <w:t xml:space="preserve"> </w:t>
            </w:r>
            <w:r>
              <w:rPr>
                <w:spacing w:val="7"/>
                <w:highlight w:val="none"/>
              </w:rPr>
              <w:t>中国政府采购网</w:t>
            </w:r>
            <w:r>
              <w:rPr>
                <w:spacing w:val="-73"/>
                <w:highlight w:val="none"/>
              </w:rPr>
              <w:t xml:space="preserve"> </w:t>
            </w:r>
            <w:r>
              <w:rPr>
                <w:spacing w:val="7"/>
                <w:highlight w:val="none"/>
              </w:rPr>
              <w:t>”；</w:t>
            </w:r>
          </w:p>
          <w:p w14:paraId="5F47720E">
            <w:pPr>
              <w:pStyle w:val="31"/>
              <w:keepNext w:val="0"/>
              <w:keepLines w:val="0"/>
              <w:pageBreakBefore w:val="0"/>
              <w:kinsoku/>
              <w:wordWrap/>
              <w:overflowPunct/>
              <w:topLinePunct w:val="0"/>
              <w:bidi w:val="0"/>
              <w:spacing w:line="439" w:lineRule="auto"/>
              <w:ind w:left="111" w:right="38" w:firstLine="3"/>
              <w:rPr>
                <w:highlight w:val="none"/>
              </w:rPr>
            </w:pPr>
            <w:r>
              <w:rPr>
                <w:spacing w:val="8"/>
                <w:highlight w:val="none"/>
              </w:rPr>
              <w:t>2、采购人或采购代理机构通过“中国执行信息公开网”（</w:t>
            </w:r>
            <w:r>
              <w:rPr>
                <w:highlight w:val="none"/>
              </w:rPr>
              <w:fldChar w:fldCharType="begin"/>
            </w:r>
            <w:r>
              <w:rPr>
                <w:highlight w:val="none"/>
              </w:rPr>
              <w:instrText xml:space="preserve"> HYPERLINK "http://zx" </w:instrText>
            </w:r>
            <w:r>
              <w:rPr>
                <w:highlight w:val="none"/>
              </w:rPr>
              <w:fldChar w:fldCharType="separate"/>
            </w:r>
            <w:r>
              <w:rPr>
                <w:highlight w:val="none"/>
              </w:rPr>
              <w:t>http</w:t>
            </w:r>
            <w:r>
              <w:rPr>
                <w:spacing w:val="8"/>
                <w:highlight w:val="none"/>
              </w:rPr>
              <w:t>://</w:t>
            </w:r>
            <w:r>
              <w:rPr>
                <w:highlight w:val="none"/>
              </w:rPr>
              <w:t>zx</w:t>
            </w:r>
            <w:r>
              <w:rPr>
                <w:highlight w:val="none"/>
              </w:rPr>
              <w:fldChar w:fldCharType="end"/>
            </w:r>
            <w:r>
              <w:rPr>
                <w:spacing w:val="4"/>
                <w:highlight w:val="none"/>
              </w:rPr>
              <w:t xml:space="preserve"> </w:t>
            </w:r>
            <w:r>
              <w:rPr>
                <w:highlight w:val="none"/>
              </w:rPr>
              <w:fldChar w:fldCharType="begin"/>
            </w:r>
            <w:r>
              <w:rPr>
                <w:highlight w:val="none"/>
              </w:rPr>
              <w:instrText xml:space="preserve"> HYPERLINK "gk.court.gov.cn/" </w:instrText>
            </w:r>
            <w:r>
              <w:rPr>
                <w:highlight w:val="none"/>
              </w:rPr>
              <w:fldChar w:fldCharType="separate"/>
            </w:r>
            <w:r>
              <w:rPr>
                <w:highlight w:val="none"/>
              </w:rPr>
              <w:t>gk</w:t>
            </w:r>
            <w:r>
              <w:rPr>
                <w:spacing w:val="12"/>
                <w:highlight w:val="none"/>
              </w:rPr>
              <w:t>.</w:t>
            </w:r>
            <w:r>
              <w:rPr>
                <w:highlight w:val="none"/>
              </w:rPr>
              <w:t>court</w:t>
            </w:r>
            <w:r>
              <w:rPr>
                <w:spacing w:val="12"/>
                <w:highlight w:val="none"/>
              </w:rPr>
              <w:t>.</w:t>
            </w:r>
            <w:r>
              <w:rPr>
                <w:highlight w:val="none"/>
              </w:rPr>
              <w:t>gov</w:t>
            </w:r>
            <w:r>
              <w:rPr>
                <w:spacing w:val="12"/>
                <w:highlight w:val="none"/>
              </w:rPr>
              <w:t>.</w:t>
            </w:r>
            <w:r>
              <w:rPr>
                <w:highlight w:val="none"/>
              </w:rPr>
              <w:t>cn</w:t>
            </w:r>
            <w:r>
              <w:rPr>
                <w:spacing w:val="12"/>
                <w:highlight w:val="none"/>
              </w:rPr>
              <w:t>/</w:t>
            </w:r>
            <w:r>
              <w:rPr>
                <w:spacing w:val="12"/>
                <w:highlight w:val="none"/>
              </w:rPr>
              <w:fldChar w:fldCharType="end"/>
            </w:r>
            <w:r>
              <w:rPr>
                <w:spacing w:val="12"/>
                <w:highlight w:val="none"/>
              </w:rPr>
              <w:t>）、“信用中国”网站（</w:t>
            </w:r>
            <w:r>
              <w:rPr>
                <w:highlight w:val="none"/>
              </w:rPr>
              <w:fldChar w:fldCharType="begin"/>
            </w:r>
            <w:r>
              <w:rPr>
                <w:highlight w:val="none"/>
              </w:rPr>
              <w:instrText xml:space="preserve"> HYPERLINK "https://www.creditchin" </w:instrText>
            </w:r>
            <w:r>
              <w:rPr>
                <w:highlight w:val="none"/>
              </w:rPr>
              <w:fldChar w:fldCharType="separate"/>
            </w:r>
            <w:r>
              <w:rPr>
                <w:highlight w:val="none"/>
              </w:rPr>
              <w:t>https</w:t>
            </w:r>
            <w:r>
              <w:rPr>
                <w:spacing w:val="12"/>
                <w:highlight w:val="none"/>
              </w:rPr>
              <w:t>://</w:t>
            </w:r>
            <w:r>
              <w:rPr>
                <w:highlight w:val="none"/>
              </w:rPr>
              <w:t>www</w:t>
            </w:r>
            <w:r>
              <w:rPr>
                <w:spacing w:val="12"/>
                <w:highlight w:val="none"/>
              </w:rPr>
              <w:t>.</w:t>
            </w:r>
            <w:r>
              <w:rPr>
                <w:highlight w:val="none"/>
              </w:rPr>
              <w:t>creditchin</w:t>
            </w:r>
            <w:r>
              <w:rPr>
                <w:highlight w:val="none"/>
              </w:rPr>
              <w:fldChar w:fldCharType="end"/>
            </w:r>
            <w:r>
              <w:rPr>
                <w:spacing w:val="12"/>
                <w:highlight w:val="none"/>
              </w:rPr>
              <w:t xml:space="preserve"> </w:t>
            </w:r>
            <w:r>
              <w:rPr>
                <w:highlight w:val="none"/>
              </w:rPr>
              <w:fldChar w:fldCharType="begin"/>
            </w:r>
            <w:r>
              <w:rPr>
                <w:highlight w:val="none"/>
              </w:rPr>
              <w:instrText xml:space="preserve"> HYPERLINK "a.gov.cn/" </w:instrText>
            </w:r>
            <w:r>
              <w:rPr>
                <w:highlight w:val="none"/>
              </w:rPr>
              <w:fldChar w:fldCharType="separate"/>
            </w:r>
            <w:r>
              <w:rPr>
                <w:spacing w:val="9"/>
                <w:highlight w:val="none"/>
              </w:rPr>
              <w:t>a.</w:t>
            </w:r>
            <w:r>
              <w:rPr>
                <w:highlight w:val="none"/>
              </w:rPr>
              <w:t>gov</w:t>
            </w:r>
            <w:r>
              <w:rPr>
                <w:spacing w:val="9"/>
                <w:highlight w:val="none"/>
              </w:rPr>
              <w:t>.</w:t>
            </w:r>
            <w:r>
              <w:rPr>
                <w:highlight w:val="none"/>
              </w:rPr>
              <w:t>cn</w:t>
            </w:r>
            <w:r>
              <w:rPr>
                <w:spacing w:val="9"/>
                <w:highlight w:val="none"/>
              </w:rPr>
              <w:t>/</w:t>
            </w:r>
            <w:r>
              <w:rPr>
                <w:spacing w:val="9"/>
                <w:highlight w:val="none"/>
              </w:rPr>
              <w:fldChar w:fldCharType="end"/>
            </w:r>
            <w:r>
              <w:rPr>
                <w:spacing w:val="9"/>
                <w:highlight w:val="none"/>
              </w:rPr>
              <w:t>）、中国政府采购网（</w:t>
            </w:r>
            <w:r>
              <w:rPr>
                <w:highlight w:val="none"/>
              </w:rPr>
              <w:fldChar w:fldCharType="begin"/>
            </w:r>
            <w:r>
              <w:rPr>
                <w:highlight w:val="none"/>
              </w:rPr>
              <w:instrText xml:space="preserve"> HYPERLINK "http://www.ccgp.gov.cn/" </w:instrText>
            </w:r>
            <w:r>
              <w:rPr>
                <w:highlight w:val="none"/>
              </w:rPr>
              <w:fldChar w:fldCharType="separate"/>
            </w:r>
            <w:r>
              <w:rPr>
                <w:highlight w:val="none"/>
              </w:rPr>
              <w:t>http</w:t>
            </w:r>
            <w:r>
              <w:rPr>
                <w:spacing w:val="9"/>
                <w:highlight w:val="none"/>
              </w:rPr>
              <w:t>://</w:t>
            </w:r>
            <w:r>
              <w:rPr>
                <w:highlight w:val="none"/>
              </w:rPr>
              <w:t>www</w:t>
            </w:r>
            <w:r>
              <w:rPr>
                <w:spacing w:val="9"/>
                <w:highlight w:val="none"/>
              </w:rPr>
              <w:t>.</w:t>
            </w:r>
            <w:r>
              <w:rPr>
                <w:highlight w:val="none"/>
              </w:rPr>
              <w:t>ccgp</w:t>
            </w:r>
            <w:r>
              <w:rPr>
                <w:spacing w:val="9"/>
                <w:highlight w:val="none"/>
              </w:rPr>
              <w:t>.</w:t>
            </w:r>
            <w:r>
              <w:rPr>
                <w:highlight w:val="none"/>
              </w:rPr>
              <w:t>gov</w:t>
            </w:r>
            <w:r>
              <w:rPr>
                <w:spacing w:val="9"/>
                <w:highlight w:val="none"/>
              </w:rPr>
              <w:t>.</w:t>
            </w:r>
            <w:r>
              <w:rPr>
                <w:highlight w:val="none"/>
              </w:rPr>
              <w:t>cn</w:t>
            </w:r>
            <w:r>
              <w:rPr>
                <w:spacing w:val="9"/>
                <w:highlight w:val="none"/>
              </w:rPr>
              <w:t>/</w:t>
            </w:r>
            <w:r>
              <w:rPr>
                <w:spacing w:val="9"/>
                <w:highlight w:val="none"/>
              </w:rPr>
              <w:fldChar w:fldCharType="end"/>
            </w:r>
            <w:r>
              <w:rPr>
                <w:spacing w:val="9"/>
                <w:highlight w:val="none"/>
              </w:rPr>
              <w:t>）等渠道查询相关主体信用记录,信用信息查询记录及相关证据与其他采购文</w:t>
            </w:r>
            <w:r>
              <w:rPr>
                <w:spacing w:val="8"/>
                <w:highlight w:val="none"/>
              </w:rPr>
              <w:t>件一并保存，投标人不良信用记录以采购人或采购代理机构查询</w:t>
            </w:r>
            <w:r>
              <w:rPr>
                <w:spacing w:val="7"/>
                <w:highlight w:val="none"/>
              </w:rPr>
              <w:t>结果</w:t>
            </w:r>
            <w:r>
              <w:rPr>
                <w:spacing w:val="3"/>
                <w:highlight w:val="none"/>
              </w:rPr>
              <w:t>为准。</w:t>
            </w:r>
          </w:p>
          <w:p w14:paraId="0BA6D07E">
            <w:pPr>
              <w:pStyle w:val="31"/>
              <w:keepNext w:val="0"/>
              <w:keepLines w:val="0"/>
              <w:pageBreakBefore w:val="0"/>
              <w:kinsoku/>
              <w:wordWrap/>
              <w:overflowPunct/>
              <w:topLinePunct w:val="0"/>
              <w:bidi w:val="0"/>
              <w:spacing w:line="227" w:lineRule="auto"/>
              <w:ind w:left="116"/>
              <w:rPr>
                <w:highlight w:val="none"/>
              </w:rPr>
            </w:pPr>
            <w:r>
              <w:rPr>
                <w:spacing w:val="9"/>
                <w:highlight w:val="none"/>
              </w:rPr>
              <w:t>3、信用信息查询记录和证据留存的具体方式：网页截图或打印件，</w:t>
            </w:r>
          </w:p>
          <w:p w14:paraId="3884DD58">
            <w:pPr>
              <w:pStyle w:val="31"/>
              <w:keepNext w:val="0"/>
              <w:keepLines w:val="0"/>
              <w:pageBreakBefore w:val="0"/>
              <w:kinsoku/>
              <w:wordWrap/>
              <w:overflowPunct/>
              <w:topLinePunct w:val="0"/>
              <w:bidi w:val="0"/>
              <w:spacing w:before="227" w:line="439" w:lineRule="auto"/>
              <w:ind w:left="116" w:right="109" w:hanging="5"/>
              <w:rPr>
                <w:highlight w:val="none"/>
              </w:rPr>
            </w:pPr>
            <w:r>
              <w:rPr>
                <w:spacing w:val="8"/>
                <w:highlight w:val="none"/>
              </w:rPr>
              <w:t>在评标时作为评审依据进行资格审查，评审结束后与其他招标文</w:t>
            </w:r>
            <w:r>
              <w:rPr>
                <w:spacing w:val="7"/>
                <w:highlight w:val="none"/>
              </w:rPr>
              <w:t>件一</w:t>
            </w:r>
            <w:r>
              <w:rPr>
                <w:spacing w:val="3"/>
                <w:highlight w:val="none"/>
              </w:rPr>
              <w:t>并保存。</w:t>
            </w:r>
          </w:p>
          <w:p w14:paraId="6E329C18">
            <w:pPr>
              <w:pStyle w:val="31"/>
              <w:keepNext w:val="0"/>
              <w:keepLines w:val="0"/>
              <w:pageBreakBefore w:val="0"/>
              <w:kinsoku/>
              <w:wordWrap/>
              <w:overflowPunct/>
              <w:topLinePunct w:val="0"/>
              <w:bidi w:val="0"/>
              <w:spacing w:line="439" w:lineRule="auto"/>
              <w:ind w:left="111" w:right="109"/>
              <w:rPr>
                <w:highlight w:val="none"/>
              </w:rPr>
            </w:pPr>
            <w:r>
              <w:rPr>
                <w:spacing w:val="7"/>
                <w:highlight w:val="none"/>
              </w:rPr>
              <w:t>4、信用信息的使用规则：如投标人在“</w:t>
            </w:r>
            <w:r>
              <w:rPr>
                <w:spacing w:val="-57"/>
                <w:highlight w:val="none"/>
              </w:rPr>
              <w:t xml:space="preserve"> </w:t>
            </w:r>
            <w:r>
              <w:rPr>
                <w:spacing w:val="7"/>
                <w:highlight w:val="none"/>
              </w:rPr>
              <w:t>中国执行信息公开网</w:t>
            </w:r>
            <w:r>
              <w:rPr>
                <w:spacing w:val="-70"/>
                <w:highlight w:val="none"/>
              </w:rPr>
              <w:t xml:space="preserve"> </w:t>
            </w:r>
            <w:r>
              <w:rPr>
                <w:spacing w:val="7"/>
                <w:highlight w:val="none"/>
              </w:rPr>
              <w:t>”网站中列入失信被执行人或“信用中国</w:t>
            </w:r>
            <w:r>
              <w:rPr>
                <w:spacing w:val="-70"/>
                <w:highlight w:val="none"/>
              </w:rPr>
              <w:t xml:space="preserve"> </w:t>
            </w:r>
            <w:r>
              <w:rPr>
                <w:spacing w:val="7"/>
                <w:highlight w:val="none"/>
              </w:rPr>
              <w:t>”网站中列入重大税收违法失</w:t>
            </w:r>
            <w:r>
              <w:rPr>
                <w:spacing w:val="6"/>
                <w:highlight w:val="none"/>
              </w:rPr>
              <w:t>信主体的投标人或“</w:t>
            </w:r>
            <w:r>
              <w:rPr>
                <w:spacing w:val="-70"/>
                <w:highlight w:val="none"/>
              </w:rPr>
              <w:t xml:space="preserve"> </w:t>
            </w:r>
            <w:r>
              <w:rPr>
                <w:spacing w:val="6"/>
                <w:highlight w:val="none"/>
              </w:rPr>
              <w:t>中国政府采购网</w:t>
            </w:r>
            <w:r>
              <w:rPr>
                <w:spacing w:val="-72"/>
                <w:highlight w:val="none"/>
              </w:rPr>
              <w:t xml:space="preserve"> </w:t>
            </w:r>
            <w:r>
              <w:rPr>
                <w:spacing w:val="6"/>
                <w:highlight w:val="none"/>
              </w:rPr>
              <w:t>”网站列入政府采购严重违法失信行</w:t>
            </w:r>
            <w:r>
              <w:rPr>
                <w:spacing w:val="8"/>
                <w:highlight w:val="none"/>
              </w:rPr>
              <w:t>为记录名单中被财政部门禁止参加政府采购活动的投标人，则其</w:t>
            </w:r>
            <w:r>
              <w:rPr>
                <w:spacing w:val="7"/>
                <w:highlight w:val="none"/>
              </w:rPr>
              <w:t>投标文件将被拒绝。</w:t>
            </w:r>
          </w:p>
          <w:p w14:paraId="621E9B32">
            <w:pPr>
              <w:pStyle w:val="31"/>
              <w:keepNext w:val="0"/>
              <w:keepLines w:val="0"/>
              <w:pageBreakBefore w:val="0"/>
              <w:kinsoku/>
              <w:wordWrap/>
              <w:overflowPunct/>
              <w:topLinePunct w:val="0"/>
              <w:bidi w:val="0"/>
              <w:spacing w:before="1" w:line="395" w:lineRule="auto"/>
              <w:ind w:left="111" w:right="109"/>
              <w:jc w:val="both"/>
              <w:rPr>
                <w:highlight w:val="none"/>
              </w:rPr>
            </w:pPr>
            <w:r>
              <w:rPr>
                <w:spacing w:val="8"/>
                <w:highlight w:val="none"/>
              </w:rPr>
              <w:t>采购人或代理机构查询之后，网站信息发生的任何变更均不再作</w:t>
            </w:r>
            <w:r>
              <w:rPr>
                <w:spacing w:val="7"/>
                <w:highlight w:val="none"/>
              </w:rPr>
              <w:t>为评</w:t>
            </w:r>
            <w:r>
              <w:rPr>
                <w:spacing w:val="8"/>
                <w:highlight w:val="none"/>
              </w:rPr>
              <w:t>审依据，投标人自行提供的查询结果及其他证明材料亦不作为评</w:t>
            </w:r>
            <w:r>
              <w:rPr>
                <w:spacing w:val="7"/>
                <w:highlight w:val="none"/>
              </w:rPr>
              <w:t>审依</w:t>
            </w:r>
            <w:r>
              <w:rPr>
                <w:highlight w:val="none"/>
              </w:rPr>
              <w:t>据。</w:t>
            </w:r>
          </w:p>
        </w:tc>
      </w:tr>
      <w:tr w14:paraId="5833B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9" w:hRule="atLeast"/>
        </w:trPr>
        <w:tc>
          <w:tcPr>
            <w:tcW w:w="971" w:type="dxa"/>
            <w:vAlign w:val="top"/>
          </w:tcPr>
          <w:p w14:paraId="4AE9230B">
            <w:pPr>
              <w:spacing w:line="260" w:lineRule="auto"/>
              <w:rPr>
                <w:rFonts w:ascii="Arial"/>
                <w:sz w:val="21"/>
                <w:highlight w:val="none"/>
              </w:rPr>
            </w:pPr>
          </w:p>
          <w:p w14:paraId="32FFEAE0">
            <w:pPr>
              <w:spacing w:line="260" w:lineRule="auto"/>
              <w:rPr>
                <w:rFonts w:ascii="Arial"/>
                <w:sz w:val="21"/>
                <w:highlight w:val="none"/>
              </w:rPr>
            </w:pPr>
          </w:p>
          <w:p w14:paraId="56DC8F92">
            <w:pPr>
              <w:spacing w:line="261" w:lineRule="auto"/>
              <w:rPr>
                <w:rFonts w:ascii="Arial"/>
                <w:sz w:val="21"/>
                <w:highlight w:val="none"/>
              </w:rPr>
            </w:pPr>
          </w:p>
          <w:p w14:paraId="41F68F03">
            <w:pPr>
              <w:pStyle w:val="31"/>
              <w:spacing w:before="65" w:line="268" w:lineRule="exact"/>
              <w:ind w:left="243" w:leftChars="0"/>
              <w:rPr>
                <w:highlight w:val="none"/>
              </w:rPr>
            </w:pPr>
            <w:r>
              <w:rPr>
                <w:position w:val="1"/>
                <w:highlight w:val="none"/>
              </w:rPr>
              <w:t>10.13</w:t>
            </w:r>
          </w:p>
        </w:tc>
        <w:tc>
          <w:tcPr>
            <w:tcW w:w="1638" w:type="dxa"/>
            <w:vAlign w:val="top"/>
          </w:tcPr>
          <w:p w14:paraId="603485F4">
            <w:pPr>
              <w:keepNext w:val="0"/>
              <w:keepLines w:val="0"/>
              <w:pageBreakBefore w:val="0"/>
              <w:kinsoku/>
              <w:wordWrap/>
              <w:overflowPunct/>
              <w:topLinePunct w:val="0"/>
              <w:bidi w:val="0"/>
              <w:spacing w:line="260" w:lineRule="auto"/>
              <w:rPr>
                <w:rFonts w:ascii="Arial"/>
                <w:sz w:val="21"/>
                <w:highlight w:val="none"/>
              </w:rPr>
            </w:pPr>
          </w:p>
          <w:p w14:paraId="7F5CB585">
            <w:pPr>
              <w:keepNext w:val="0"/>
              <w:keepLines w:val="0"/>
              <w:pageBreakBefore w:val="0"/>
              <w:kinsoku/>
              <w:wordWrap/>
              <w:overflowPunct/>
              <w:topLinePunct w:val="0"/>
              <w:bidi w:val="0"/>
              <w:spacing w:line="260" w:lineRule="auto"/>
              <w:rPr>
                <w:rFonts w:ascii="Arial"/>
                <w:sz w:val="21"/>
                <w:highlight w:val="none"/>
              </w:rPr>
            </w:pPr>
          </w:p>
          <w:p w14:paraId="2B91D9BF">
            <w:pPr>
              <w:keepNext w:val="0"/>
              <w:keepLines w:val="0"/>
              <w:pageBreakBefore w:val="0"/>
              <w:kinsoku/>
              <w:wordWrap/>
              <w:overflowPunct/>
              <w:topLinePunct w:val="0"/>
              <w:bidi w:val="0"/>
              <w:spacing w:line="261" w:lineRule="auto"/>
              <w:rPr>
                <w:rFonts w:ascii="Arial"/>
                <w:sz w:val="21"/>
                <w:highlight w:val="none"/>
              </w:rPr>
            </w:pPr>
          </w:p>
          <w:p w14:paraId="3E568995">
            <w:pPr>
              <w:pStyle w:val="31"/>
              <w:keepNext w:val="0"/>
              <w:keepLines w:val="0"/>
              <w:pageBreakBefore w:val="0"/>
              <w:kinsoku/>
              <w:wordWrap/>
              <w:overflowPunct/>
              <w:topLinePunct w:val="0"/>
              <w:bidi w:val="0"/>
              <w:spacing w:before="65" w:line="227" w:lineRule="auto"/>
              <w:ind w:left="191"/>
              <w:rPr>
                <w:highlight w:val="none"/>
              </w:rPr>
            </w:pPr>
            <w:r>
              <w:rPr>
                <w:spacing w:val="8"/>
                <w:highlight w:val="none"/>
              </w:rPr>
              <w:t>政府采购政策</w:t>
            </w:r>
          </w:p>
        </w:tc>
        <w:tc>
          <w:tcPr>
            <w:tcW w:w="6466" w:type="dxa"/>
            <w:vAlign w:val="top"/>
          </w:tcPr>
          <w:p w14:paraId="45262689">
            <w:pPr>
              <w:pStyle w:val="31"/>
              <w:keepNext w:val="0"/>
              <w:keepLines w:val="0"/>
              <w:pageBreakBefore w:val="0"/>
              <w:kinsoku/>
              <w:wordWrap/>
              <w:overflowPunct/>
              <w:topLinePunct w:val="0"/>
              <w:bidi w:val="0"/>
              <w:spacing w:before="139" w:line="406" w:lineRule="auto"/>
              <w:ind w:left="111" w:right="109" w:firstLine="1"/>
              <w:jc w:val="both"/>
              <w:rPr>
                <w:highlight w:val="none"/>
              </w:rPr>
            </w:pPr>
            <w:r>
              <w:rPr>
                <w:b/>
                <w:bCs/>
                <w:spacing w:val="7"/>
                <w:highlight w:val="none"/>
              </w:rPr>
              <w:t>本项目为专门</w:t>
            </w:r>
            <w:r>
              <w:rPr>
                <w:b/>
                <w:bCs/>
                <w:color w:val="000000" w:themeColor="text1"/>
                <w:spacing w:val="7"/>
                <w:highlight w:val="none"/>
                <w14:textFill>
                  <w14:solidFill>
                    <w14:schemeClr w14:val="tx1"/>
                  </w14:solidFill>
                </w14:textFill>
              </w:rPr>
              <w:t>面向中小</w:t>
            </w:r>
            <w:r>
              <w:rPr>
                <w:rFonts w:hint="eastAsia"/>
                <w:color w:val="000000" w:themeColor="text1"/>
                <w:spacing w:val="8"/>
                <w:highlight w:val="none"/>
                <w:lang w:val="en-US" w:eastAsia="zh-CN"/>
                <w14:textFill>
                  <w14:solidFill>
                    <w14:schemeClr w14:val="tx1"/>
                  </w14:solidFill>
                </w14:textFill>
              </w:rPr>
              <w:t>微</w:t>
            </w:r>
            <w:r>
              <w:rPr>
                <w:b/>
                <w:bCs/>
                <w:color w:val="000000" w:themeColor="text1"/>
                <w:spacing w:val="7"/>
                <w:highlight w:val="none"/>
                <w14:textFill>
                  <w14:solidFill>
                    <w14:schemeClr w14:val="tx1"/>
                  </w14:solidFill>
                </w14:textFill>
              </w:rPr>
              <w:t>企业，</w:t>
            </w:r>
            <w:r>
              <w:rPr>
                <w:color w:val="000000" w:themeColor="text1"/>
                <w:spacing w:val="7"/>
                <w:highlight w:val="none"/>
                <w14:textFill>
                  <w14:solidFill>
                    <w14:schemeClr w14:val="tx1"/>
                  </w14:solidFill>
                </w14:textFill>
              </w:rPr>
              <w:t>根据</w:t>
            </w:r>
            <w:r>
              <w:rPr>
                <w:spacing w:val="7"/>
                <w:highlight w:val="none"/>
              </w:rPr>
              <w:t>《关于进一步加大政府采购支持中</w:t>
            </w:r>
            <w:r>
              <w:rPr>
                <w:spacing w:val="5"/>
                <w:highlight w:val="none"/>
              </w:rPr>
              <w:t>小企业力度的通知》（财库〔2022〕19</w:t>
            </w:r>
            <w:r>
              <w:rPr>
                <w:spacing w:val="-26"/>
                <w:highlight w:val="none"/>
              </w:rPr>
              <w:t xml:space="preserve"> </w:t>
            </w:r>
            <w:r>
              <w:rPr>
                <w:spacing w:val="5"/>
                <w:highlight w:val="none"/>
              </w:rPr>
              <w:t>号）、财政部、司法部关于政</w:t>
            </w:r>
            <w:r>
              <w:rPr>
                <w:spacing w:val="4"/>
                <w:highlight w:val="none"/>
              </w:rPr>
              <w:t>府采购支持监狱企业发展有关问题的通知（财库[</w:t>
            </w:r>
            <w:r>
              <w:rPr>
                <w:highlight w:val="none"/>
              </w:rPr>
              <w:fldChar w:fldCharType="begin"/>
            </w:r>
            <w:r>
              <w:rPr>
                <w:highlight w:val="none"/>
              </w:rPr>
              <w:instrText xml:space="preserve"> HYPERLINK \l "bookmark15" </w:instrText>
            </w:r>
            <w:r>
              <w:rPr>
                <w:highlight w:val="none"/>
              </w:rPr>
              <w:fldChar w:fldCharType="separate"/>
            </w:r>
            <w:r>
              <w:rPr>
                <w:spacing w:val="4"/>
                <w:highlight w:val="none"/>
              </w:rPr>
              <w:t>2014</w:t>
            </w:r>
            <w:r>
              <w:rPr>
                <w:spacing w:val="4"/>
                <w:highlight w:val="none"/>
              </w:rPr>
              <w:fldChar w:fldCharType="end"/>
            </w:r>
            <w:r>
              <w:rPr>
                <w:spacing w:val="4"/>
                <w:highlight w:val="none"/>
              </w:rPr>
              <w:t>]68 号）、《三</w:t>
            </w:r>
            <w:r>
              <w:rPr>
                <w:spacing w:val="9"/>
                <w:highlight w:val="none"/>
              </w:rPr>
              <w:t>部门联合发布关于促进残疾人就业政府采购政策的通知》（财库</w:t>
            </w:r>
          </w:p>
        </w:tc>
      </w:tr>
    </w:tbl>
    <w:p w14:paraId="197AC4A5">
      <w:pPr>
        <w:keepNext w:val="0"/>
        <w:keepLines w:val="0"/>
        <w:pageBreakBefore w:val="0"/>
        <w:kinsoku/>
        <w:wordWrap/>
        <w:overflowPunct/>
        <w:topLinePunct w:val="0"/>
        <w:bidi w:val="0"/>
        <w:spacing w:line="42" w:lineRule="exact"/>
      </w:pPr>
    </w:p>
    <w:tbl>
      <w:tblPr>
        <w:tblStyle w:val="30"/>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638"/>
        <w:gridCol w:w="6466"/>
      </w:tblGrid>
      <w:tr w14:paraId="78C9E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0" w:hRule="atLeast"/>
        </w:trPr>
        <w:tc>
          <w:tcPr>
            <w:tcW w:w="971" w:type="dxa"/>
            <w:vAlign w:val="top"/>
          </w:tcPr>
          <w:p w14:paraId="5FD9D0E3">
            <w:pPr>
              <w:keepNext w:val="0"/>
              <w:keepLines w:val="0"/>
              <w:pageBreakBefore w:val="0"/>
              <w:kinsoku/>
              <w:wordWrap/>
              <w:overflowPunct/>
              <w:topLinePunct w:val="0"/>
              <w:bidi w:val="0"/>
              <w:rPr>
                <w:rFonts w:ascii="Arial"/>
                <w:sz w:val="21"/>
              </w:rPr>
            </w:pPr>
          </w:p>
        </w:tc>
        <w:tc>
          <w:tcPr>
            <w:tcW w:w="1638" w:type="dxa"/>
            <w:vAlign w:val="top"/>
          </w:tcPr>
          <w:p w14:paraId="1BFCC815">
            <w:pPr>
              <w:keepNext w:val="0"/>
              <w:keepLines w:val="0"/>
              <w:pageBreakBefore w:val="0"/>
              <w:kinsoku/>
              <w:wordWrap/>
              <w:overflowPunct/>
              <w:topLinePunct w:val="0"/>
              <w:bidi w:val="0"/>
              <w:rPr>
                <w:rFonts w:ascii="Arial"/>
                <w:sz w:val="21"/>
              </w:rPr>
            </w:pPr>
          </w:p>
        </w:tc>
        <w:tc>
          <w:tcPr>
            <w:tcW w:w="6466" w:type="dxa"/>
            <w:vAlign w:val="top"/>
          </w:tcPr>
          <w:p w14:paraId="046BF39A">
            <w:pPr>
              <w:pStyle w:val="31"/>
              <w:keepNext w:val="0"/>
              <w:keepLines w:val="0"/>
              <w:pageBreakBefore w:val="0"/>
              <w:kinsoku/>
              <w:wordWrap/>
              <w:overflowPunct/>
              <w:topLinePunct w:val="0"/>
              <w:bidi w:val="0"/>
              <w:spacing w:before="137" w:line="440" w:lineRule="auto"/>
              <w:ind w:left="111" w:right="215" w:firstLine="33"/>
              <w:rPr>
                <w:color w:val="000000" w:themeColor="text1"/>
                <w14:textFill>
                  <w14:solidFill>
                    <w14:schemeClr w14:val="tx1"/>
                  </w14:solidFill>
                </w14:textFill>
              </w:rPr>
            </w:pPr>
            <w:r>
              <w:rPr>
                <w:spacing w:val="9"/>
              </w:rPr>
              <w:t>[</w:t>
            </w:r>
            <w:r>
              <w:fldChar w:fldCharType="begin"/>
            </w:r>
            <w:r>
              <w:instrText xml:space="preserve"> HYPERLINK \l "bookmark16" </w:instrText>
            </w:r>
            <w:r>
              <w:fldChar w:fldCharType="separate"/>
            </w:r>
            <w:r>
              <w:rPr>
                <w:spacing w:val="9"/>
              </w:rPr>
              <w:t>2017</w:t>
            </w:r>
            <w:r>
              <w:rPr>
                <w:spacing w:val="9"/>
              </w:rPr>
              <w:fldChar w:fldCharType="end"/>
            </w:r>
            <w:r>
              <w:rPr>
                <w:spacing w:val="9"/>
              </w:rPr>
              <w:t>]141 号）的要求，监狱企业、残疾人福利性</w:t>
            </w:r>
            <w:r>
              <w:rPr>
                <w:spacing w:val="8"/>
              </w:rPr>
              <w:t>企业视同小微企</w:t>
            </w:r>
            <w:r>
              <w:t>业。</w:t>
            </w:r>
          </w:p>
          <w:p w14:paraId="1C30E538">
            <w:pPr>
              <w:pStyle w:val="31"/>
              <w:keepNext w:val="0"/>
              <w:keepLines w:val="0"/>
              <w:pageBreakBefore w:val="0"/>
              <w:kinsoku/>
              <w:wordWrap/>
              <w:overflowPunct/>
              <w:topLinePunct w:val="0"/>
              <w:bidi w:val="0"/>
              <w:spacing w:before="2" w:line="438" w:lineRule="auto"/>
              <w:ind w:left="111" w:right="109" w:firstLine="2"/>
            </w:pPr>
            <w:r>
              <w:rPr>
                <w:color w:val="000000" w:themeColor="text1"/>
                <w:spacing w:val="8"/>
                <w14:textFill>
                  <w14:solidFill>
                    <w14:schemeClr w14:val="tx1"/>
                  </w14:solidFill>
                </w14:textFill>
              </w:rPr>
              <w:t>参加政府采购活动的中小</w:t>
            </w:r>
            <w:r>
              <w:rPr>
                <w:rFonts w:hint="eastAsia"/>
                <w:color w:val="000000" w:themeColor="text1"/>
                <w:spacing w:val="8"/>
                <w:highlight w:val="none"/>
                <w:lang w:val="en-US" w:eastAsia="zh-CN"/>
                <w14:textFill>
                  <w14:solidFill>
                    <w14:schemeClr w14:val="tx1"/>
                  </w14:solidFill>
                </w14:textFill>
              </w:rPr>
              <w:t>微</w:t>
            </w:r>
            <w:r>
              <w:rPr>
                <w:color w:val="000000" w:themeColor="text1"/>
                <w:spacing w:val="8"/>
                <w14:textFill>
                  <w14:solidFill>
                    <w14:schemeClr w14:val="tx1"/>
                  </w14:solidFill>
                </w14:textFill>
              </w:rPr>
              <w:t>企业应当提供</w:t>
            </w:r>
            <w:r>
              <w:rPr>
                <w:spacing w:val="8"/>
              </w:rPr>
              <w:t>《中小企业声明函》</w:t>
            </w:r>
            <w:r>
              <w:rPr>
                <w:spacing w:val="7"/>
              </w:rPr>
              <w:t>；监狱企</w:t>
            </w:r>
            <w:r>
              <w:rPr>
                <w:spacing w:val="8"/>
              </w:rPr>
              <w:t>业应当提供由省级以上监狱管理局、戒毒管理局（含新疆生产建设兵</w:t>
            </w:r>
            <w:r>
              <w:rPr>
                <w:spacing w:val="1"/>
              </w:rPr>
              <w:t>团）出具的属于监狱企业的证明文件；残疾人福利性单位应当提供《残</w:t>
            </w:r>
            <w:r>
              <w:rPr>
                <w:spacing w:val="9"/>
              </w:rPr>
              <w:t>疾人福利性单位声明函》，否则不予认可。</w:t>
            </w:r>
          </w:p>
          <w:p w14:paraId="090BCEAB">
            <w:pPr>
              <w:pStyle w:val="31"/>
              <w:keepNext w:val="0"/>
              <w:keepLines w:val="0"/>
              <w:pageBreakBefore w:val="0"/>
              <w:kinsoku/>
              <w:wordWrap/>
              <w:overflowPunct/>
              <w:topLinePunct w:val="0"/>
              <w:bidi w:val="0"/>
              <w:spacing w:line="226" w:lineRule="auto"/>
              <w:ind w:left="114"/>
            </w:pPr>
            <w:r>
              <w:rPr>
                <w:spacing w:val="8"/>
              </w:rPr>
              <w:t>2、本项目支持河南省政府采购合同融资政策。</w:t>
            </w:r>
          </w:p>
          <w:p w14:paraId="0925D75A">
            <w:pPr>
              <w:pStyle w:val="31"/>
              <w:keepNext w:val="0"/>
              <w:keepLines w:val="0"/>
              <w:pageBreakBefore w:val="0"/>
              <w:kinsoku/>
              <w:wordWrap/>
              <w:overflowPunct/>
              <w:topLinePunct w:val="0"/>
              <w:bidi w:val="0"/>
              <w:spacing w:before="228" w:line="228" w:lineRule="auto"/>
              <w:ind w:left="116"/>
            </w:pPr>
            <w:r>
              <w:rPr>
                <w:spacing w:val="11"/>
              </w:rPr>
              <w:t>3、其它未尽事宜，按国家有关法律、法规执行。</w:t>
            </w:r>
          </w:p>
        </w:tc>
      </w:tr>
      <w:tr w14:paraId="518DC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5" w:hRule="atLeast"/>
        </w:trPr>
        <w:tc>
          <w:tcPr>
            <w:tcW w:w="971" w:type="dxa"/>
            <w:vAlign w:val="top"/>
          </w:tcPr>
          <w:p w14:paraId="75E1CB87">
            <w:pPr>
              <w:keepNext w:val="0"/>
              <w:keepLines w:val="0"/>
              <w:pageBreakBefore w:val="0"/>
              <w:kinsoku/>
              <w:wordWrap/>
              <w:overflowPunct/>
              <w:topLinePunct w:val="0"/>
              <w:bidi w:val="0"/>
              <w:spacing w:line="260" w:lineRule="auto"/>
              <w:rPr>
                <w:rFonts w:ascii="Arial"/>
                <w:sz w:val="21"/>
                <w:highlight w:val="none"/>
              </w:rPr>
            </w:pPr>
          </w:p>
          <w:p w14:paraId="6CCAC97F">
            <w:pPr>
              <w:pStyle w:val="31"/>
              <w:keepNext w:val="0"/>
              <w:keepLines w:val="0"/>
              <w:pageBreakBefore w:val="0"/>
              <w:kinsoku/>
              <w:wordWrap/>
              <w:overflowPunct/>
              <w:topLinePunct w:val="0"/>
              <w:bidi w:val="0"/>
              <w:spacing w:before="65" w:line="268" w:lineRule="exact"/>
              <w:ind w:left="243"/>
              <w:rPr>
                <w:rFonts w:hint="eastAsia" w:eastAsia="宋体"/>
                <w:highlight w:val="none"/>
                <w:lang w:eastAsia="zh-CN"/>
              </w:rPr>
            </w:pPr>
            <w:r>
              <w:rPr>
                <w:position w:val="1"/>
                <w:highlight w:val="none"/>
              </w:rPr>
              <w:t>10.1</w:t>
            </w:r>
            <w:r>
              <w:rPr>
                <w:rFonts w:hint="eastAsia"/>
                <w:position w:val="1"/>
                <w:highlight w:val="none"/>
                <w:lang w:val="en-US" w:eastAsia="zh-CN"/>
              </w:rPr>
              <w:t>4</w:t>
            </w:r>
          </w:p>
        </w:tc>
        <w:tc>
          <w:tcPr>
            <w:tcW w:w="1638" w:type="dxa"/>
            <w:vAlign w:val="top"/>
          </w:tcPr>
          <w:p w14:paraId="0B53DC2E">
            <w:pPr>
              <w:pStyle w:val="31"/>
              <w:keepNext w:val="0"/>
              <w:keepLines w:val="0"/>
              <w:pageBreakBefore w:val="0"/>
              <w:kinsoku/>
              <w:wordWrap/>
              <w:overflowPunct/>
              <w:topLinePunct w:val="0"/>
              <w:bidi w:val="0"/>
              <w:spacing w:before="136" w:line="227" w:lineRule="auto"/>
              <w:ind w:left="182"/>
              <w:rPr>
                <w:color w:val="000000" w:themeColor="text1"/>
                <w:highlight w:val="none"/>
                <w14:textFill>
                  <w14:solidFill>
                    <w14:schemeClr w14:val="tx1"/>
                  </w14:solidFill>
                </w14:textFill>
              </w:rPr>
            </w:pPr>
            <w:r>
              <w:rPr>
                <w:color w:val="000000" w:themeColor="text1"/>
                <w:spacing w:val="11"/>
                <w:highlight w:val="none"/>
                <w14:textFill>
                  <w14:solidFill>
                    <w14:schemeClr w14:val="tx1"/>
                  </w14:solidFill>
                </w14:textFill>
              </w:rPr>
              <w:t>采购标的对应</w:t>
            </w:r>
            <w:r>
              <w:rPr>
                <w:color w:val="000000" w:themeColor="text1"/>
                <w:spacing w:val="8"/>
                <w:highlight w:val="none"/>
                <w14:textFill>
                  <w14:solidFill>
                    <w14:schemeClr w14:val="tx1"/>
                  </w14:solidFill>
                </w14:textFill>
              </w:rPr>
              <w:t>的中小</w:t>
            </w:r>
            <w:r>
              <w:rPr>
                <w:rFonts w:hint="eastAsia"/>
                <w:color w:val="000000" w:themeColor="text1"/>
                <w:spacing w:val="8"/>
                <w:highlight w:val="none"/>
                <w:lang w:val="en-US" w:eastAsia="zh-CN"/>
                <w14:textFill>
                  <w14:solidFill>
                    <w14:schemeClr w14:val="tx1"/>
                  </w14:solidFill>
                </w14:textFill>
              </w:rPr>
              <w:t>微</w:t>
            </w:r>
            <w:r>
              <w:rPr>
                <w:color w:val="000000" w:themeColor="text1"/>
                <w:spacing w:val="8"/>
                <w:highlight w:val="none"/>
                <w14:textFill>
                  <w14:solidFill>
                    <w14:schemeClr w14:val="tx1"/>
                  </w14:solidFill>
                </w14:textFill>
              </w:rPr>
              <w:t>企业划</w:t>
            </w:r>
            <w:r>
              <w:rPr>
                <w:color w:val="000000" w:themeColor="text1"/>
                <w:spacing w:val="10"/>
                <w:highlight w:val="none"/>
                <w14:textFill>
                  <w14:solidFill>
                    <w14:schemeClr w14:val="tx1"/>
                  </w14:solidFill>
                </w14:textFill>
              </w:rPr>
              <w:t>分标准所属行</w:t>
            </w:r>
            <w:r>
              <w:rPr>
                <w:color w:val="000000" w:themeColor="text1"/>
                <w:spacing w:val="1"/>
                <w:highlight w:val="none"/>
                <w14:textFill>
                  <w14:solidFill>
                    <w14:schemeClr w14:val="tx1"/>
                  </w14:solidFill>
                </w14:textFill>
              </w:rPr>
              <w:t>业</w:t>
            </w:r>
          </w:p>
        </w:tc>
        <w:tc>
          <w:tcPr>
            <w:tcW w:w="6466" w:type="dxa"/>
            <w:vAlign w:val="top"/>
          </w:tcPr>
          <w:p w14:paraId="0EBFF155">
            <w:pPr>
              <w:keepNext w:val="0"/>
              <w:keepLines w:val="0"/>
              <w:pageBreakBefore w:val="0"/>
              <w:kinsoku/>
              <w:wordWrap/>
              <w:overflowPunct/>
              <w:topLinePunct w:val="0"/>
              <w:bidi w:val="0"/>
              <w:spacing w:line="272" w:lineRule="auto"/>
              <w:rPr>
                <w:rFonts w:ascii="Arial"/>
                <w:color w:val="000000" w:themeColor="text1"/>
                <w:sz w:val="21"/>
                <w:highlight w:val="none"/>
                <w14:textFill>
                  <w14:solidFill>
                    <w14:schemeClr w14:val="tx1"/>
                  </w14:solidFill>
                </w14:textFill>
              </w:rPr>
            </w:pPr>
          </w:p>
          <w:p w14:paraId="4BB35AEC">
            <w:pPr>
              <w:pStyle w:val="31"/>
              <w:keepNext w:val="0"/>
              <w:keepLines w:val="0"/>
              <w:pageBreakBefore w:val="0"/>
              <w:kinsoku/>
              <w:wordWrap/>
              <w:overflowPunct/>
              <w:topLinePunct w:val="0"/>
              <w:bidi w:val="0"/>
              <w:spacing w:before="65" w:line="227" w:lineRule="auto"/>
              <w:ind w:left="113"/>
              <w:rPr>
                <w:color w:val="000000" w:themeColor="text1"/>
                <w:highlight w:val="none"/>
                <w14:textFill>
                  <w14:solidFill>
                    <w14:schemeClr w14:val="tx1"/>
                  </w14:solidFill>
                </w14:textFill>
              </w:rPr>
            </w:pPr>
            <w:r>
              <w:rPr>
                <w:color w:val="000000" w:themeColor="text1"/>
                <w:spacing w:val="12"/>
                <w:highlight w:val="none"/>
                <w14:textFill>
                  <w14:solidFill>
                    <w14:schemeClr w14:val="tx1"/>
                  </w14:solidFill>
                </w14:textFill>
              </w:rPr>
              <w:t>本次采购标的对应的中小</w:t>
            </w:r>
            <w:r>
              <w:rPr>
                <w:rFonts w:hint="eastAsia"/>
                <w:color w:val="000000" w:themeColor="text1"/>
                <w:spacing w:val="8"/>
                <w:highlight w:val="none"/>
                <w:lang w:val="en-US" w:eastAsia="zh-CN"/>
                <w14:textFill>
                  <w14:solidFill>
                    <w14:schemeClr w14:val="tx1"/>
                  </w14:solidFill>
                </w14:textFill>
              </w:rPr>
              <w:t>微</w:t>
            </w:r>
            <w:r>
              <w:rPr>
                <w:color w:val="000000" w:themeColor="text1"/>
                <w:spacing w:val="12"/>
                <w:highlight w:val="none"/>
                <w14:textFill>
                  <w14:solidFill>
                    <w14:schemeClr w14:val="tx1"/>
                  </w14:solidFill>
                </w14:textFill>
              </w:rPr>
              <w:t>企业划分标准所属行业为：</w:t>
            </w:r>
            <w:r>
              <w:rPr>
                <w:b/>
                <w:bCs/>
                <w:color w:val="000000" w:themeColor="text1"/>
                <w:spacing w:val="12"/>
                <w:highlight w:val="none"/>
                <w14:textFill>
                  <w14:solidFill>
                    <w14:schemeClr w14:val="tx1"/>
                  </w14:solidFill>
                </w14:textFill>
              </w:rPr>
              <w:t>其他未列明行</w:t>
            </w:r>
            <w:bookmarkStart w:id="8" w:name="_Toc6055"/>
            <w:r>
              <w:rPr>
                <w:b/>
                <w:bCs/>
                <w:color w:val="000000" w:themeColor="text1"/>
                <w:spacing w:val="-1"/>
                <w:highlight w:val="none"/>
                <w14:textFill>
                  <w14:solidFill>
                    <w14:schemeClr w14:val="tx1"/>
                  </w14:solidFill>
                </w14:textFill>
              </w:rPr>
              <w:t>业</w:t>
            </w:r>
            <w:bookmarkEnd w:id="8"/>
          </w:p>
        </w:tc>
      </w:tr>
    </w:tbl>
    <w:p w14:paraId="1A4E2F96">
      <w:pPr>
        <w:pStyle w:val="4"/>
        <w:keepNext w:val="0"/>
        <w:keepLines w:val="0"/>
        <w:pageBreakBefore w:val="0"/>
        <w:kinsoku/>
        <w:wordWrap/>
        <w:overflowPunct/>
        <w:topLinePunct w:val="0"/>
        <w:bidi w:val="0"/>
      </w:pPr>
    </w:p>
    <w:p w14:paraId="59BA837B">
      <w:pPr>
        <w:keepNext w:val="0"/>
        <w:keepLines w:val="0"/>
        <w:pageBreakBefore w:val="0"/>
        <w:kinsoku/>
        <w:wordWrap/>
        <w:overflowPunct/>
        <w:topLinePunct w:val="0"/>
        <w:bidi w:val="0"/>
        <w:spacing w:before="219" w:line="221" w:lineRule="auto"/>
        <w:ind w:left="4176"/>
        <w:outlineLvl w:val="1"/>
        <w:rPr>
          <w:rFonts w:ascii="宋体" w:hAnsi="宋体" w:eastAsia="宋体" w:cs="宋体"/>
          <w:sz w:val="28"/>
          <w:szCs w:val="28"/>
        </w:rPr>
      </w:pPr>
      <w:bookmarkStart w:id="9" w:name="bookmark17"/>
      <w:bookmarkEnd w:id="9"/>
      <w:bookmarkStart w:id="10" w:name="_Toc11037"/>
      <w:r>
        <w:rPr>
          <w:rFonts w:ascii="宋体" w:hAnsi="宋体" w:eastAsia="宋体" w:cs="宋体"/>
          <w:b/>
          <w:bCs/>
          <w:spacing w:val="-9"/>
          <w:sz w:val="28"/>
          <w:szCs w:val="28"/>
        </w:rPr>
        <w:br w:type="page"/>
      </w:r>
      <w:r>
        <w:rPr>
          <w:rFonts w:ascii="宋体" w:hAnsi="宋体" w:eastAsia="宋体" w:cs="宋体"/>
          <w:b/>
          <w:bCs/>
          <w:spacing w:val="-9"/>
          <w:sz w:val="28"/>
          <w:szCs w:val="28"/>
        </w:rPr>
        <w:t>1.总则</w:t>
      </w:r>
      <w:bookmarkEnd w:id="10"/>
    </w:p>
    <w:p w14:paraId="1E38DD1C">
      <w:pPr>
        <w:keepNext w:val="0"/>
        <w:keepLines w:val="0"/>
        <w:pageBreakBefore w:val="0"/>
        <w:kinsoku/>
        <w:wordWrap/>
        <w:overflowPunct/>
        <w:topLinePunct w:val="0"/>
        <w:bidi w:val="0"/>
        <w:spacing w:before="254" w:line="228" w:lineRule="auto"/>
        <w:ind w:left="16"/>
        <w:rPr>
          <w:rFonts w:ascii="宋体" w:hAnsi="宋体" w:eastAsia="宋体" w:cs="宋体"/>
          <w:sz w:val="20"/>
          <w:szCs w:val="20"/>
        </w:rPr>
      </w:pPr>
      <w:r>
        <w:rPr>
          <w:rFonts w:ascii="宋体" w:hAnsi="宋体" w:eastAsia="宋体" w:cs="宋体"/>
          <w:b/>
          <w:bCs/>
          <w:spacing w:val="1"/>
          <w:sz w:val="20"/>
          <w:szCs w:val="20"/>
        </w:rPr>
        <w:t>1.1</w:t>
      </w:r>
      <w:r>
        <w:rPr>
          <w:rFonts w:ascii="宋体" w:hAnsi="宋体" w:eastAsia="宋体" w:cs="宋体"/>
          <w:spacing w:val="18"/>
          <w:sz w:val="20"/>
          <w:szCs w:val="20"/>
        </w:rPr>
        <w:t xml:space="preserve"> </w:t>
      </w:r>
      <w:r>
        <w:rPr>
          <w:rFonts w:ascii="宋体" w:hAnsi="宋体" w:eastAsia="宋体" w:cs="宋体"/>
          <w:b/>
          <w:bCs/>
          <w:spacing w:val="1"/>
          <w:sz w:val="20"/>
          <w:szCs w:val="20"/>
        </w:rPr>
        <w:t>项目概况</w:t>
      </w:r>
    </w:p>
    <w:p w14:paraId="2F615CF5">
      <w:pPr>
        <w:keepNext w:val="0"/>
        <w:keepLines w:val="0"/>
        <w:pageBreakBefore w:val="0"/>
        <w:kinsoku/>
        <w:wordWrap/>
        <w:overflowPunct/>
        <w:topLinePunct w:val="0"/>
        <w:bidi w:val="0"/>
        <w:spacing w:before="227" w:line="439" w:lineRule="auto"/>
        <w:ind w:firstLine="428"/>
        <w:rPr>
          <w:rFonts w:ascii="宋体" w:hAnsi="宋体" w:eastAsia="宋体" w:cs="宋体"/>
          <w:sz w:val="20"/>
          <w:szCs w:val="20"/>
        </w:rPr>
      </w:pPr>
      <w:r>
        <w:rPr>
          <w:rFonts w:ascii="宋体" w:hAnsi="宋体" w:eastAsia="宋体" w:cs="宋体"/>
          <w:spacing w:val="8"/>
          <w:sz w:val="20"/>
          <w:szCs w:val="20"/>
        </w:rPr>
        <w:t>根据《中华人民共和国政府采购法》等有关法律、法规和规章的</w:t>
      </w:r>
      <w:r>
        <w:rPr>
          <w:rFonts w:ascii="宋体" w:hAnsi="宋体" w:eastAsia="宋体" w:cs="宋体"/>
          <w:spacing w:val="7"/>
          <w:sz w:val="20"/>
          <w:szCs w:val="20"/>
        </w:rPr>
        <w:t>规定，本招标项目已具备招标条</w:t>
      </w:r>
      <w:r>
        <w:rPr>
          <w:rFonts w:ascii="宋体" w:hAnsi="宋体" w:eastAsia="宋体" w:cs="宋体"/>
          <w:spacing w:val="8"/>
          <w:sz w:val="20"/>
          <w:szCs w:val="20"/>
        </w:rPr>
        <w:t>件，现对本项目进行招标。</w:t>
      </w:r>
    </w:p>
    <w:p w14:paraId="40B0BFB0">
      <w:pPr>
        <w:keepNext w:val="0"/>
        <w:keepLines w:val="0"/>
        <w:pageBreakBefore w:val="0"/>
        <w:kinsoku/>
        <w:wordWrap/>
        <w:overflowPunct/>
        <w:topLinePunct w:val="0"/>
        <w:bidi w:val="0"/>
        <w:spacing w:line="226" w:lineRule="auto"/>
        <w:ind w:left="443"/>
        <w:rPr>
          <w:rFonts w:ascii="宋体" w:hAnsi="宋体" w:eastAsia="宋体" w:cs="宋体"/>
          <w:sz w:val="20"/>
          <w:szCs w:val="20"/>
        </w:rPr>
      </w:pPr>
      <w:r>
        <w:rPr>
          <w:rFonts w:ascii="宋体" w:hAnsi="宋体" w:eastAsia="宋体" w:cs="宋体"/>
          <w:spacing w:val="7"/>
          <w:sz w:val="20"/>
          <w:szCs w:val="20"/>
        </w:rPr>
        <w:t>1.1.1 本招标项目采购人：见投标人须知前附表。</w:t>
      </w:r>
    </w:p>
    <w:p w14:paraId="132C0CCD">
      <w:pPr>
        <w:keepNext w:val="0"/>
        <w:keepLines w:val="0"/>
        <w:pageBreakBefore w:val="0"/>
        <w:kinsoku/>
        <w:wordWrap/>
        <w:overflowPunct/>
        <w:topLinePunct w:val="0"/>
        <w:bidi w:val="0"/>
        <w:spacing w:before="232" w:line="227" w:lineRule="auto"/>
        <w:ind w:left="443"/>
        <w:rPr>
          <w:rFonts w:ascii="宋体" w:hAnsi="宋体" w:eastAsia="宋体" w:cs="宋体"/>
          <w:sz w:val="20"/>
          <w:szCs w:val="20"/>
        </w:rPr>
      </w:pPr>
      <w:r>
        <w:rPr>
          <w:rFonts w:ascii="宋体" w:hAnsi="宋体" w:eastAsia="宋体" w:cs="宋体"/>
          <w:spacing w:val="7"/>
          <w:sz w:val="20"/>
          <w:szCs w:val="20"/>
        </w:rPr>
        <w:t>1.1.2 本招标项目采购代理机构：见投标人须知前附表。</w:t>
      </w:r>
    </w:p>
    <w:p w14:paraId="04E28DA7">
      <w:pPr>
        <w:keepNext w:val="0"/>
        <w:keepLines w:val="0"/>
        <w:pageBreakBefore w:val="0"/>
        <w:kinsoku/>
        <w:wordWrap/>
        <w:overflowPunct/>
        <w:topLinePunct w:val="0"/>
        <w:bidi w:val="0"/>
        <w:spacing w:before="229" w:line="227" w:lineRule="auto"/>
        <w:ind w:left="443"/>
        <w:rPr>
          <w:rFonts w:ascii="宋体" w:hAnsi="宋体" w:eastAsia="宋体" w:cs="宋体"/>
          <w:sz w:val="20"/>
          <w:szCs w:val="20"/>
        </w:rPr>
      </w:pPr>
      <w:r>
        <w:rPr>
          <w:rFonts w:ascii="宋体" w:hAnsi="宋体" w:eastAsia="宋体" w:cs="宋体"/>
          <w:spacing w:val="7"/>
          <w:sz w:val="20"/>
          <w:szCs w:val="20"/>
        </w:rPr>
        <w:t>1.1.3 本招标项目名称：见投标人须知前附表。</w:t>
      </w:r>
    </w:p>
    <w:p w14:paraId="0A9E9D28">
      <w:pPr>
        <w:keepNext w:val="0"/>
        <w:keepLines w:val="0"/>
        <w:pageBreakBefore w:val="0"/>
        <w:kinsoku/>
        <w:wordWrap/>
        <w:overflowPunct/>
        <w:topLinePunct w:val="0"/>
        <w:bidi w:val="0"/>
        <w:spacing w:before="229" w:line="227" w:lineRule="auto"/>
        <w:ind w:left="443"/>
        <w:rPr>
          <w:rFonts w:ascii="宋体" w:hAnsi="宋体" w:eastAsia="宋体" w:cs="宋体"/>
          <w:sz w:val="20"/>
          <w:szCs w:val="20"/>
        </w:rPr>
      </w:pPr>
      <w:r>
        <w:rPr>
          <w:rFonts w:ascii="宋体" w:hAnsi="宋体" w:eastAsia="宋体" w:cs="宋体"/>
          <w:spacing w:val="7"/>
          <w:sz w:val="20"/>
          <w:szCs w:val="20"/>
        </w:rPr>
        <w:t>1.1.4 本项目项目编号：见投标人须知前附表。</w:t>
      </w:r>
    </w:p>
    <w:p w14:paraId="2C7C1492">
      <w:pPr>
        <w:keepNext w:val="0"/>
        <w:keepLines w:val="0"/>
        <w:pageBreakBefore w:val="0"/>
        <w:kinsoku/>
        <w:wordWrap/>
        <w:overflowPunct/>
        <w:topLinePunct w:val="0"/>
        <w:bidi w:val="0"/>
        <w:spacing w:before="230" w:line="227" w:lineRule="auto"/>
        <w:ind w:left="443"/>
        <w:rPr>
          <w:rFonts w:ascii="宋体" w:hAnsi="宋体" w:eastAsia="宋体" w:cs="宋体"/>
          <w:sz w:val="20"/>
          <w:szCs w:val="20"/>
        </w:rPr>
      </w:pPr>
      <w:r>
        <w:rPr>
          <w:rFonts w:ascii="宋体" w:hAnsi="宋体" w:eastAsia="宋体" w:cs="宋体"/>
          <w:spacing w:val="7"/>
          <w:sz w:val="20"/>
          <w:szCs w:val="20"/>
        </w:rPr>
        <w:t>1.1.5 本项目标包划分：见投标人须知前附表。</w:t>
      </w:r>
    </w:p>
    <w:p w14:paraId="48F6B75D">
      <w:pPr>
        <w:keepNext w:val="0"/>
        <w:keepLines w:val="0"/>
        <w:pageBreakBefore w:val="0"/>
        <w:kinsoku/>
        <w:wordWrap/>
        <w:overflowPunct/>
        <w:topLinePunct w:val="0"/>
        <w:bidi w:val="0"/>
        <w:spacing w:before="229" w:line="228" w:lineRule="auto"/>
        <w:ind w:left="16"/>
        <w:rPr>
          <w:rFonts w:ascii="宋体" w:hAnsi="宋体" w:eastAsia="宋体" w:cs="宋体"/>
          <w:sz w:val="20"/>
          <w:szCs w:val="20"/>
        </w:rPr>
      </w:pPr>
      <w:r>
        <w:rPr>
          <w:rFonts w:ascii="宋体" w:hAnsi="宋体" w:eastAsia="宋体" w:cs="宋体"/>
          <w:b/>
          <w:bCs/>
          <w:spacing w:val="5"/>
          <w:sz w:val="20"/>
          <w:szCs w:val="20"/>
        </w:rPr>
        <w:t>1.2</w:t>
      </w:r>
      <w:r>
        <w:rPr>
          <w:rFonts w:ascii="宋体" w:hAnsi="宋体" w:eastAsia="宋体" w:cs="宋体"/>
          <w:spacing w:val="5"/>
          <w:sz w:val="20"/>
          <w:szCs w:val="20"/>
        </w:rPr>
        <w:t xml:space="preserve"> </w:t>
      </w:r>
      <w:r>
        <w:rPr>
          <w:rFonts w:ascii="宋体" w:hAnsi="宋体" w:eastAsia="宋体" w:cs="宋体"/>
          <w:b/>
          <w:bCs/>
          <w:spacing w:val="5"/>
          <w:sz w:val="20"/>
          <w:szCs w:val="20"/>
        </w:rPr>
        <w:t>资金来源和落实情况</w:t>
      </w:r>
    </w:p>
    <w:p w14:paraId="73DCECA2">
      <w:pPr>
        <w:keepNext w:val="0"/>
        <w:keepLines w:val="0"/>
        <w:pageBreakBefore w:val="0"/>
        <w:kinsoku/>
        <w:wordWrap/>
        <w:overflowPunct/>
        <w:topLinePunct w:val="0"/>
        <w:bidi w:val="0"/>
        <w:spacing w:before="228" w:line="227" w:lineRule="auto"/>
        <w:ind w:left="443"/>
        <w:rPr>
          <w:rFonts w:ascii="宋体" w:hAnsi="宋体" w:eastAsia="宋体" w:cs="宋体"/>
          <w:sz w:val="20"/>
          <w:szCs w:val="20"/>
        </w:rPr>
      </w:pPr>
      <w:r>
        <w:rPr>
          <w:rFonts w:ascii="宋体" w:hAnsi="宋体" w:eastAsia="宋体" w:cs="宋体"/>
          <w:spacing w:val="8"/>
          <w:sz w:val="20"/>
          <w:szCs w:val="20"/>
        </w:rPr>
        <w:t>1.2.1 本招标项目的资金来源及比例：见投标</w:t>
      </w:r>
      <w:r>
        <w:rPr>
          <w:rFonts w:ascii="宋体" w:hAnsi="宋体" w:eastAsia="宋体" w:cs="宋体"/>
          <w:spacing w:val="7"/>
          <w:sz w:val="20"/>
          <w:szCs w:val="20"/>
        </w:rPr>
        <w:t>人须知前附表。</w:t>
      </w:r>
    </w:p>
    <w:p w14:paraId="6E1C569C">
      <w:pPr>
        <w:keepNext w:val="0"/>
        <w:keepLines w:val="0"/>
        <w:pageBreakBefore w:val="0"/>
        <w:kinsoku/>
        <w:wordWrap/>
        <w:overflowPunct/>
        <w:topLinePunct w:val="0"/>
        <w:bidi w:val="0"/>
        <w:spacing w:before="232" w:line="227" w:lineRule="auto"/>
        <w:ind w:left="443"/>
        <w:rPr>
          <w:rFonts w:ascii="宋体" w:hAnsi="宋体" w:eastAsia="宋体" w:cs="宋体"/>
          <w:sz w:val="20"/>
          <w:szCs w:val="20"/>
        </w:rPr>
      </w:pPr>
      <w:r>
        <w:rPr>
          <w:rFonts w:ascii="宋体" w:hAnsi="宋体" w:eastAsia="宋体" w:cs="宋体"/>
          <w:spacing w:val="7"/>
          <w:sz w:val="20"/>
          <w:szCs w:val="20"/>
        </w:rPr>
        <w:t>1.2.2 本招标项目的采购预算：见投标人须知前附表。</w:t>
      </w:r>
    </w:p>
    <w:p w14:paraId="6C429602">
      <w:pPr>
        <w:keepNext w:val="0"/>
        <w:keepLines w:val="0"/>
        <w:pageBreakBefore w:val="0"/>
        <w:kinsoku/>
        <w:wordWrap/>
        <w:overflowPunct/>
        <w:topLinePunct w:val="0"/>
        <w:bidi w:val="0"/>
        <w:spacing w:before="227" w:line="226" w:lineRule="auto"/>
        <w:ind w:left="443"/>
        <w:rPr>
          <w:rFonts w:ascii="宋体" w:hAnsi="宋体" w:eastAsia="宋体" w:cs="宋体"/>
          <w:sz w:val="20"/>
          <w:szCs w:val="20"/>
        </w:rPr>
      </w:pPr>
      <w:r>
        <w:rPr>
          <w:rFonts w:ascii="宋体" w:hAnsi="宋体" w:eastAsia="宋体" w:cs="宋体"/>
          <w:spacing w:val="7"/>
          <w:sz w:val="20"/>
          <w:szCs w:val="20"/>
        </w:rPr>
        <w:t>1.2.3 本招标项目的最高限价：见投标人须知前附表。</w:t>
      </w:r>
    </w:p>
    <w:p w14:paraId="00BCB04B">
      <w:pPr>
        <w:keepNext w:val="0"/>
        <w:keepLines w:val="0"/>
        <w:pageBreakBefore w:val="0"/>
        <w:kinsoku/>
        <w:wordWrap/>
        <w:overflowPunct/>
        <w:topLinePunct w:val="0"/>
        <w:bidi w:val="0"/>
        <w:spacing w:before="233" w:line="227" w:lineRule="auto"/>
        <w:ind w:left="16"/>
        <w:rPr>
          <w:rFonts w:ascii="宋体" w:hAnsi="宋体" w:eastAsia="宋体" w:cs="宋体"/>
          <w:sz w:val="20"/>
          <w:szCs w:val="20"/>
        </w:rPr>
      </w:pPr>
      <w:r>
        <w:rPr>
          <w:rFonts w:ascii="宋体" w:hAnsi="宋体" w:eastAsia="宋体" w:cs="宋体"/>
          <w:b/>
          <w:bCs/>
          <w:spacing w:val="7"/>
          <w:sz w:val="20"/>
          <w:szCs w:val="20"/>
        </w:rPr>
        <w:t>1.3</w:t>
      </w:r>
      <w:r>
        <w:rPr>
          <w:rFonts w:ascii="宋体" w:hAnsi="宋体" w:eastAsia="宋体" w:cs="宋体"/>
          <w:spacing w:val="7"/>
          <w:sz w:val="20"/>
          <w:szCs w:val="20"/>
        </w:rPr>
        <w:t xml:space="preserve"> </w:t>
      </w:r>
      <w:r>
        <w:rPr>
          <w:rFonts w:ascii="宋体" w:hAnsi="宋体" w:eastAsia="宋体" w:cs="宋体"/>
          <w:b/>
          <w:bCs/>
          <w:spacing w:val="7"/>
          <w:sz w:val="20"/>
          <w:szCs w:val="20"/>
        </w:rPr>
        <w:t>采购内容、服务期限、服务地点、质量要求和采购需求</w:t>
      </w:r>
    </w:p>
    <w:p w14:paraId="608856C3">
      <w:pPr>
        <w:keepNext w:val="0"/>
        <w:keepLines w:val="0"/>
        <w:pageBreakBefore w:val="0"/>
        <w:kinsoku/>
        <w:wordWrap/>
        <w:overflowPunct/>
        <w:topLinePunct w:val="0"/>
        <w:bidi w:val="0"/>
        <w:spacing w:before="229" w:line="227" w:lineRule="auto"/>
        <w:ind w:left="443"/>
        <w:rPr>
          <w:rFonts w:ascii="宋体" w:hAnsi="宋体" w:eastAsia="宋体" w:cs="宋体"/>
          <w:sz w:val="20"/>
          <w:szCs w:val="20"/>
        </w:rPr>
      </w:pPr>
      <w:r>
        <w:rPr>
          <w:rFonts w:ascii="宋体" w:hAnsi="宋体" w:eastAsia="宋体" w:cs="宋体"/>
          <w:spacing w:val="7"/>
          <w:sz w:val="20"/>
          <w:szCs w:val="20"/>
        </w:rPr>
        <w:t>1.3.1 本次招标的采购内容：见投标人须知前附表。</w:t>
      </w:r>
    </w:p>
    <w:p w14:paraId="3E50C91F">
      <w:pPr>
        <w:keepNext w:val="0"/>
        <w:keepLines w:val="0"/>
        <w:pageBreakBefore w:val="0"/>
        <w:kinsoku/>
        <w:wordWrap/>
        <w:overflowPunct/>
        <w:topLinePunct w:val="0"/>
        <w:bidi w:val="0"/>
        <w:spacing w:before="229" w:line="227" w:lineRule="auto"/>
        <w:ind w:left="443"/>
        <w:rPr>
          <w:rFonts w:ascii="宋体" w:hAnsi="宋体" w:eastAsia="宋体" w:cs="宋体"/>
          <w:sz w:val="20"/>
          <w:szCs w:val="20"/>
        </w:rPr>
      </w:pPr>
      <w:r>
        <w:rPr>
          <w:rFonts w:ascii="宋体" w:hAnsi="宋体" w:eastAsia="宋体" w:cs="宋体"/>
          <w:spacing w:val="7"/>
          <w:sz w:val="20"/>
          <w:szCs w:val="20"/>
        </w:rPr>
        <w:t>1.3.2 本次招标的服务期限：见投标人须知前附表。</w:t>
      </w:r>
    </w:p>
    <w:p w14:paraId="3F1D7555">
      <w:pPr>
        <w:keepNext w:val="0"/>
        <w:keepLines w:val="0"/>
        <w:pageBreakBefore w:val="0"/>
        <w:kinsoku/>
        <w:wordWrap/>
        <w:overflowPunct/>
        <w:topLinePunct w:val="0"/>
        <w:bidi w:val="0"/>
        <w:spacing w:before="229" w:line="227" w:lineRule="auto"/>
        <w:ind w:left="443"/>
        <w:rPr>
          <w:rFonts w:ascii="宋体" w:hAnsi="宋体" w:eastAsia="宋体" w:cs="宋体"/>
          <w:sz w:val="20"/>
          <w:szCs w:val="20"/>
        </w:rPr>
      </w:pPr>
      <w:r>
        <w:rPr>
          <w:rFonts w:ascii="宋体" w:hAnsi="宋体" w:eastAsia="宋体" w:cs="宋体"/>
          <w:spacing w:val="7"/>
          <w:sz w:val="20"/>
          <w:szCs w:val="20"/>
        </w:rPr>
        <w:t>1.3.3 本次招标的服务地点：见投标人须知前附表。</w:t>
      </w:r>
    </w:p>
    <w:p w14:paraId="074610F2">
      <w:pPr>
        <w:keepNext w:val="0"/>
        <w:keepLines w:val="0"/>
        <w:pageBreakBefore w:val="0"/>
        <w:kinsoku/>
        <w:wordWrap/>
        <w:overflowPunct/>
        <w:topLinePunct w:val="0"/>
        <w:bidi w:val="0"/>
        <w:spacing w:before="230" w:line="227" w:lineRule="auto"/>
        <w:ind w:left="443"/>
        <w:rPr>
          <w:rFonts w:ascii="宋体" w:hAnsi="宋体" w:eastAsia="宋体" w:cs="宋体"/>
          <w:sz w:val="20"/>
          <w:szCs w:val="20"/>
        </w:rPr>
      </w:pPr>
      <w:r>
        <w:rPr>
          <w:rFonts w:ascii="宋体" w:hAnsi="宋体" w:eastAsia="宋体" w:cs="宋体"/>
          <w:spacing w:val="7"/>
          <w:sz w:val="20"/>
          <w:szCs w:val="20"/>
        </w:rPr>
        <w:t>1.3.4 本次招标的质量要求：见投标人须知前附表。</w:t>
      </w:r>
    </w:p>
    <w:p w14:paraId="2EE4C99B">
      <w:pPr>
        <w:keepNext w:val="0"/>
        <w:keepLines w:val="0"/>
        <w:pageBreakBefore w:val="0"/>
        <w:kinsoku/>
        <w:wordWrap/>
        <w:overflowPunct/>
        <w:topLinePunct w:val="0"/>
        <w:bidi w:val="0"/>
        <w:spacing w:before="229" w:line="227" w:lineRule="auto"/>
        <w:ind w:left="443"/>
        <w:rPr>
          <w:rFonts w:ascii="宋体" w:hAnsi="宋体" w:eastAsia="宋体" w:cs="宋体"/>
          <w:sz w:val="20"/>
          <w:szCs w:val="20"/>
        </w:rPr>
      </w:pPr>
      <w:r>
        <w:rPr>
          <w:rFonts w:ascii="宋体" w:hAnsi="宋体" w:eastAsia="宋体" w:cs="宋体"/>
          <w:spacing w:val="7"/>
          <w:sz w:val="20"/>
          <w:szCs w:val="20"/>
        </w:rPr>
        <w:t>1.3.5</w:t>
      </w:r>
      <w:r>
        <w:rPr>
          <w:rFonts w:ascii="宋体" w:hAnsi="宋体" w:eastAsia="宋体" w:cs="宋体"/>
          <w:spacing w:val="-39"/>
          <w:sz w:val="20"/>
          <w:szCs w:val="20"/>
        </w:rPr>
        <w:t xml:space="preserve"> </w:t>
      </w:r>
      <w:r>
        <w:rPr>
          <w:rFonts w:ascii="宋体" w:hAnsi="宋体" w:eastAsia="宋体" w:cs="宋体"/>
          <w:spacing w:val="7"/>
          <w:sz w:val="20"/>
          <w:szCs w:val="20"/>
        </w:rPr>
        <w:t>本次招标的采购需求：见第五章相关内容。</w:t>
      </w:r>
    </w:p>
    <w:p w14:paraId="49C7DA9E">
      <w:pPr>
        <w:keepNext w:val="0"/>
        <w:keepLines w:val="0"/>
        <w:pageBreakBefore w:val="0"/>
        <w:kinsoku/>
        <w:wordWrap/>
        <w:overflowPunct/>
        <w:topLinePunct w:val="0"/>
        <w:bidi w:val="0"/>
        <w:spacing w:before="231" w:line="228" w:lineRule="auto"/>
        <w:ind w:left="16"/>
        <w:rPr>
          <w:rFonts w:ascii="宋体" w:hAnsi="宋体" w:eastAsia="宋体" w:cs="宋体"/>
          <w:sz w:val="20"/>
          <w:szCs w:val="20"/>
        </w:rPr>
      </w:pPr>
      <w:r>
        <w:rPr>
          <w:rFonts w:ascii="宋体" w:hAnsi="宋体" w:eastAsia="宋体" w:cs="宋体"/>
          <w:b/>
          <w:bCs/>
          <w:spacing w:val="4"/>
          <w:sz w:val="20"/>
          <w:szCs w:val="20"/>
        </w:rPr>
        <w:t>1.4</w:t>
      </w:r>
      <w:r>
        <w:rPr>
          <w:rFonts w:ascii="宋体" w:hAnsi="宋体" w:eastAsia="宋体" w:cs="宋体"/>
          <w:spacing w:val="4"/>
          <w:sz w:val="20"/>
          <w:szCs w:val="20"/>
        </w:rPr>
        <w:t xml:space="preserve"> </w:t>
      </w:r>
      <w:r>
        <w:rPr>
          <w:rFonts w:ascii="宋体" w:hAnsi="宋体" w:eastAsia="宋体" w:cs="宋体"/>
          <w:b/>
          <w:bCs/>
          <w:spacing w:val="4"/>
          <w:sz w:val="20"/>
          <w:szCs w:val="20"/>
        </w:rPr>
        <w:t>投标人资格要求</w:t>
      </w:r>
    </w:p>
    <w:p w14:paraId="429DAA49">
      <w:pPr>
        <w:keepNext w:val="0"/>
        <w:keepLines w:val="0"/>
        <w:pageBreakBefore w:val="0"/>
        <w:kinsoku/>
        <w:wordWrap/>
        <w:overflowPunct/>
        <w:topLinePunct w:val="0"/>
        <w:bidi w:val="0"/>
        <w:spacing w:before="226" w:line="227" w:lineRule="auto"/>
        <w:ind w:left="443"/>
        <w:rPr>
          <w:rFonts w:ascii="宋体" w:hAnsi="宋体" w:eastAsia="宋体" w:cs="宋体"/>
          <w:sz w:val="20"/>
          <w:szCs w:val="20"/>
        </w:rPr>
      </w:pPr>
      <w:r>
        <w:rPr>
          <w:rFonts w:ascii="宋体" w:hAnsi="宋体" w:eastAsia="宋体" w:cs="宋体"/>
          <w:spacing w:val="8"/>
          <w:sz w:val="20"/>
          <w:szCs w:val="20"/>
        </w:rPr>
        <w:t>1.4.1 投标人应具备承担本项目的资质条件、能力、信誉：见投标人须知前附表。</w:t>
      </w:r>
    </w:p>
    <w:p w14:paraId="5C393B84">
      <w:pPr>
        <w:keepNext w:val="0"/>
        <w:keepLines w:val="0"/>
        <w:pageBreakBefore w:val="0"/>
        <w:kinsoku/>
        <w:wordWrap/>
        <w:overflowPunct/>
        <w:topLinePunct w:val="0"/>
        <w:bidi w:val="0"/>
        <w:spacing w:before="232" w:line="227" w:lineRule="auto"/>
        <w:ind w:left="443"/>
        <w:rPr>
          <w:rFonts w:ascii="宋体" w:hAnsi="宋体" w:eastAsia="宋体" w:cs="宋体"/>
          <w:sz w:val="20"/>
          <w:szCs w:val="20"/>
        </w:rPr>
      </w:pPr>
      <w:r>
        <w:rPr>
          <w:rFonts w:ascii="宋体" w:hAnsi="宋体" w:eastAsia="宋体" w:cs="宋体"/>
          <w:spacing w:val="7"/>
          <w:sz w:val="20"/>
          <w:szCs w:val="20"/>
        </w:rPr>
        <w:t>1.4.2</w:t>
      </w:r>
      <w:r>
        <w:rPr>
          <w:rFonts w:ascii="宋体" w:hAnsi="宋体" w:eastAsia="宋体" w:cs="宋体"/>
          <w:spacing w:val="-27"/>
          <w:sz w:val="20"/>
          <w:szCs w:val="20"/>
        </w:rPr>
        <w:t xml:space="preserve"> </w:t>
      </w:r>
      <w:r>
        <w:rPr>
          <w:rFonts w:ascii="宋体" w:hAnsi="宋体" w:eastAsia="宋体" w:cs="宋体"/>
          <w:spacing w:val="7"/>
          <w:sz w:val="20"/>
          <w:szCs w:val="20"/>
        </w:rPr>
        <w:t>本项目是否接受联合体投标：见投标人须知前附表。</w:t>
      </w:r>
    </w:p>
    <w:p w14:paraId="7018D7EF">
      <w:pPr>
        <w:keepNext w:val="0"/>
        <w:keepLines w:val="0"/>
        <w:pageBreakBefore w:val="0"/>
        <w:kinsoku/>
        <w:wordWrap/>
        <w:overflowPunct/>
        <w:topLinePunct w:val="0"/>
        <w:bidi w:val="0"/>
        <w:spacing w:before="229" w:line="228" w:lineRule="auto"/>
        <w:ind w:left="443"/>
        <w:rPr>
          <w:rFonts w:ascii="宋体" w:hAnsi="宋体" w:eastAsia="宋体" w:cs="宋体"/>
          <w:sz w:val="20"/>
          <w:szCs w:val="20"/>
        </w:rPr>
      </w:pPr>
      <w:r>
        <w:rPr>
          <w:rFonts w:ascii="宋体" w:hAnsi="宋体" w:eastAsia="宋体" w:cs="宋体"/>
          <w:spacing w:val="6"/>
          <w:sz w:val="20"/>
          <w:szCs w:val="20"/>
        </w:rPr>
        <w:t>1.4.3</w:t>
      </w:r>
      <w:r>
        <w:rPr>
          <w:rFonts w:ascii="宋体" w:hAnsi="宋体" w:eastAsia="宋体" w:cs="宋体"/>
          <w:spacing w:val="-34"/>
          <w:sz w:val="20"/>
          <w:szCs w:val="20"/>
        </w:rPr>
        <w:t xml:space="preserve"> </w:t>
      </w:r>
      <w:r>
        <w:rPr>
          <w:rFonts w:ascii="宋体" w:hAnsi="宋体" w:eastAsia="宋体" w:cs="宋体"/>
          <w:spacing w:val="6"/>
          <w:sz w:val="20"/>
          <w:szCs w:val="20"/>
        </w:rPr>
        <w:t>投标人不得存在下列情形之一：</w:t>
      </w:r>
    </w:p>
    <w:p w14:paraId="2B100F62">
      <w:pPr>
        <w:keepNext w:val="0"/>
        <w:keepLines w:val="0"/>
        <w:pageBreakBefore w:val="0"/>
        <w:kinsoku/>
        <w:wordWrap/>
        <w:overflowPunct/>
        <w:topLinePunct w:val="0"/>
        <w:bidi w:val="0"/>
        <w:spacing w:before="229" w:line="227" w:lineRule="auto"/>
        <w:ind w:left="438"/>
        <w:rPr>
          <w:rFonts w:ascii="宋体" w:hAnsi="宋体" w:eastAsia="宋体" w:cs="宋体"/>
          <w:sz w:val="20"/>
          <w:szCs w:val="20"/>
        </w:rPr>
      </w:pPr>
      <w:r>
        <w:rPr>
          <w:rFonts w:ascii="宋体" w:hAnsi="宋体" w:eastAsia="宋体" w:cs="宋体"/>
          <w:spacing w:val="8"/>
          <w:sz w:val="20"/>
          <w:szCs w:val="20"/>
        </w:rPr>
        <w:t>（1）与采购人存在利害关系且可能影响招标公正性；</w:t>
      </w:r>
    </w:p>
    <w:p w14:paraId="56D0BC43">
      <w:pPr>
        <w:keepNext w:val="0"/>
        <w:keepLines w:val="0"/>
        <w:pageBreakBefore w:val="0"/>
        <w:kinsoku/>
        <w:wordWrap/>
        <w:overflowPunct/>
        <w:topLinePunct w:val="0"/>
        <w:bidi w:val="0"/>
        <w:spacing w:before="229" w:line="227" w:lineRule="auto"/>
        <w:ind w:left="438"/>
        <w:rPr>
          <w:rFonts w:ascii="宋体" w:hAnsi="宋体" w:eastAsia="宋体" w:cs="宋体"/>
          <w:sz w:val="20"/>
          <w:szCs w:val="20"/>
        </w:rPr>
      </w:pPr>
      <w:r>
        <w:rPr>
          <w:rFonts w:ascii="宋体" w:hAnsi="宋体" w:eastAsia="宋体" w:cs="宋体"/>
          <w:spacing w:val="8"/>
          <w:sz w:val="20"/>
          <w:szCs w:val="20"/>
        </w:rPr>
        <w:t>（2）与本招标项目的其他投标人为同一个单位负责人；</w:t>
      </w:r>
    </w:p>
    <w:p w14:paraId="45A09D62">
      <w:pPr>
        <w:keepNext w:val="0"/>
        <w:keepLines w:val="0"/>
        <w:pageBreakBefore w:val="0"/>
        <w:kinsoku/>
        <w:wordWrap/>
        <w:overflowPunct/>
        <w:topLinePunct w:val="0"/>
        <w:bidi w:val="0"/>
        <w:spacing w:before="229" w:line="227" w:lineRule="auto"/>
        <w:ind w:left="438"/>
        <w:rPr>
          <w:rFonts w:ascii="宋体" w:hAnsi="宋体" w:eastAsia="宋体" w:cs="宋体"/>
          <w:sz w:val="20"/>
          <w:szCs w:val="20"/>
        </w:rPr>
      </w:pPr>
      <w:r>
        <w:rPr>
          <w:rFonts w:ascii="宋体" w:hAnsi="宋体" w:eastAsia="宋体" w:cs="宋体"/>
          <w:spacing w:val="8"/>
          <w:sz w:val="20"/>
          <w:szCs w:val="20"/>
        </w:rPr>
        <w:t>（3）与本招标项目的其他投标人存在控股、管理关系；</w:t>
      </w:r>
    </w:p>
    <w:p w14:paraId="7E525A91">
      <w:pPr>
        <w:keepNext w:val="0"/>
        <w:keepLines w:val="0"/>
        <w:pageBreakBefore w:val="0"/>
        <w:kinsoku/>
        <w:wordWrap/>
        <w:overflowPunct/>
        <w:topLinePunct w:val="0"/>
        <w:bidi w:val="0"/>
        <w:spacing w:before="229" w:line="227" w:lineRule="auto"/>
        <w:ind w:left="438"/>
        <w:rPr>
          <w:rFonts w:ascii="宋体" w:hAnsi="宋体" w:eastAsia="宋体" w:cs="宋体"/>
          <w:sz w:val="20"/>
          <w:szCs w:val="20"/>
        </w:rPr>
      </w:pPr>
      <w:r>
        <w:rPr>
          <w:rFonts w:ascii="宋体" w:hAnsi="宋体" w:eastAsia="宋体" w:cs="宋体"/>
          <w:spacing w:val="9"/>
          <w:sz w:val="20"/>
          <w:szCs w:val="20"/>
        </w:rPr>
        <w:t>（4）为本招标项目提供过设计、编制技术规范和其他文件的</w:t>
      </w:r>
      <w:r>
        <w:rPr>
          <w:rFonts w:ascii="宋体" w:hAnsi="宋体" w:eastAsia="宋体" w:cs="宋体"/>
          <w:spacing w:val="8"/>
          <w:sz w:val="20"/>
          <w:szCs w:val="20"/>
        </w:rPr>
        <w:t>咨询服务；</w:t>
      </w:r>
    </w:p>
    <w:p w14:paraId="7E745EF2">
      <w:pPr>
        <w:keepNext w:val="0"/>
        <w:keepLines w:val="0"/>
        <w:pageBreakBefore w:val="0"/>
        <w:kinsoku/>
        <w:wordWrap/>
        <w:overflowPunct/>
        <w:topLinePunct w:val="0"/>
        <w:bidi w:val="0"/>
        <w:spacing w:before="232" w:line="227" w:lineRule="auto"/>
        <w:ind w:left="438"/>
        <w:rPr>
          <w:rFonts w:ascii="宋体" w:hAnsi="宋体" w:eastAsia="宋体" w:cs="宋体"/>
          <w:sz w:val="20"/>
          <w:szCs w:val="20"/>
        </w:rPr>
      </w:pPr>
      <w:r>
        <w:rPr>
          <w:rFonts w:ascii="宋体" w:hAnsi="宋体" w:eastAsia="宋体" w:cs="宋体"/>
          <w:spacing w:val="7"/>
          <w:sz w:val="20"/>
          <w:szCs w:val="20"/>
        </w:rPr>
        <w:t>（5）为本招标项目的采购代理机构；</w:t>
      </w:r>
    </w:p>
    <w:p w14:paraId="0E25639A">
      <w:pPr>
        <w:keepNext w:val="0"/>
        <w:keepLines w:val="0"/>
        <w:pageBreakBefore w:val="0"/>
        <w:kinsoku/>
        <w:wordWrap/>
        <w:overflowPunct/>
        <w:topLinePunct w:val="0"/>
        <w:bidi w:val="0"/>
        <w:spacing w:before="227" w:line="227" w:lineRule="auto"/>
        <w:ind w:left="438"/>
        <w:rPr>
          <w:rFonts w:ascii="宋体" w:hAnsi="宋体" w:eastAsia="宋体" w:cs="宋体"/>
          <w:sz w:val="20"/>
          <w:szCs w:val="20"/>
        </w:rPr>
      </w:pPr>
      <w:r>
        <w:rPr>
          <w:rFonts w:ascii="宋体" w:hAnsi="宋体" w:eastAsia="宋体" w:cs="宋体"/>
          <w:spacing w:val="8"/>
          <w:sz w:val="20"/>
          <w:szCs w:val="20"/>
        </w:rPr>
        <w:t>（6）与本招标项目的采购代理机构同为一个法定代表人；</w:t>
      </w:r>
    </w:p>
    <w:p w14:paraId="3EF23304">
      <w:pPr>
        <w:keepNext w:val="0"/>
        <w:keepLines w:val="0"/>
        <w:pageBreakBefore w:val="0"/>
        <w:kinsoku/>
        <w:wordWrap/>
        <w:overflowPunct/>
        <w:topLinePunct w:val="0"/>
        <w:bidi w:val="0"/>
        <w:spacing w:before="175" w:line="227" w:lineRule="auto"/>
        <w:ind w:left="436"/>
        <w:rPr>
          <w:rFonts w:ascii="宋体" w:hAnsi="宋体" w:eastAsia="宋体" w:cs="宋体"/>
          <w:sz w:val="20"/>
          <w:szCs w:val="20"/>
        </w:rPr>
      </w:pPr>
      <w:r>
        <w:rPr>
          <w:rFonts w:ascii="宋体" w:hAnsi="宋体" w:eastAsia="宋体" w:cs="宋体"/>
          <w:spacing w:val="8"/>
          <w:sz w:val="20"/>
          <w:szCs w:val="20"/>
        </w:rPr>
        <w:br w:type="page"/>
      </w:r>
      <w:r>
        <w:rPr>
          <w:rFonts w:ascii="宋体" w:hAnsi="宋体" w:eastAsia="宋体" w:cs="宋体"/>
          <w:spacing w:val="8"/>
          <w:sz w:val="20"/>
          <w:szCs w:val="20"/>
        </w:rPr>
        <w:t>（7）与本招标项目的采购代理机构存在控股或参股关系；</w:t>
      </w:r>
    </w:p>
    <w:p w14:paraId="7309C294">
      <w:pPr>
        <w:keepNext w:val="0"/>
        <w:keepLines w:val="0"/>
        <w:pageBreakBefore w:val="0"/>
        <w:kinsoku/>
        <w:wordWrap/>
        <w:overflowPunct/>
        <w:topLinePunct w:val="0"/>
        <w:bidi w:val="0"/>
        <w:spacing w:before="229" w:line="227" w:lineRule="auto"/>
        <w:ind w:left="436"/>
        <w:rPr>
          <w:rFonts w:ascii="宋体" w:hAnsi="宋体" w:eastAsia="宋体" w:cs="宋体"/>
          <w:sz w:val="20"/>
          <w:szCs w:val="20"/>
        </w:rPr>
      </w:pPr>
      <w:r>
        <w:rPr>
          <w:rFonts w:ascii="宋体" w:hAnsi="宋体" w:eastAsia="宋体" w:cs="宋体"/>
          <w:spacing w:val="7"/>
          <w:sz w:val="20"/>
          <w:szCs w:val="20"/>
        </w:rPr>
        <w:t>（8）被依法暂停或者取消投标资格；</w:t>
      </w:r>
    </w:p>
    <w:p w14:paraId="051BEB74">
      <w:pPr>
        <w:keepNext w:val="0"/>
        <w:keepLines w:val="0"/>
        <w:pageBreakBefore w:val="0"/>
        <w:kinsoku/>
        <w:wordWrap/>
        <w:overflowPunct/>
        <w:topLinePunct w:val="0"/>
        <w:bidi w:val="0"/>
        <w:spacing w:before="229" w:line="227" w:lineRule="auto"/>
        <w:ind w:left="436"/>
        <w:rPr>
          <w:rFonts w:ascii="宋体" w:hAnsi="宋体" w:eastAsia="宋体" w:cs="宋体"/>
          <w:sz w:val="20"/>
          <w:szCs w:val="20"/>
        </w:rPr>
      </w:pPr>
      <w:r>
        <w:rPr>
          <w:rFonts w:ascii="宋体" w:hAnsi="宋体" w:eastAsia="宋体" w:cs="宋体"/>
          <w:spacing w:val="9"/>
          <w:sz w:val="20"/>
          <w:szCs w:val="20"/>
        </w:rPr>
        <w:t>（9）被责令停产停业、暂扣或者吊销许可证、暂扣</w:t>
      </w:r>
      <w:r>
        <w:rPr>
          <w:rFonts w:ascii="宋体" w:hAnsi="宋体" w:eastAsia="宋体" w:cs="宋体"/>
          <w:spacing w:val="8"/>
          <w:sz w:val="20"/>
          <w:szCs w:val="20"/>
        </w:rPr>
        <w:t>或者吊销执照；</w:t>
      </w:r>
    </w:p>
    <w:p w14:paraId="34A04AEE">
      <w:pPr>
        <w:keepNext w:val="0"/>
        <w:keepLines w:val="0"/>
        <w:pageBreakBefore w:val="0"/>
        <w:kinsoku/>
        <w:wordWrap/>
        <w:overflowPunct/>
        <w:topLinePunct w:val="0"/>
        <w:bidi w:val="0"/>
        <w:spacing w:before="228" w:line="228" w:lineRule="auto"/>
        <w:ind w:left="489"/>
        <w:rPr>
          <w:rFonts w:ascii="宋体" w:hAnsi="宋体" w:eastAsia="宋体" w:cs="宋体"/>
          <w:sz w:val="20"/>
          <w:szCs w:val="20"/>
        </w:rPr>
      </w:pPr>
      <w:r>
        <w:rPr>
          <w:rFonts w:ascii="宋体" w:hAnsi="宋体" w:eastAsia="宋体" w:cs="宋体"/>
          <w:spacing w:val="8"/>
          <w:sz w:val="20"/>
          <w:szCs w:val="20"/>
        </w:rPr>
        <w:t>（10）在最近三年内有骗取中标或严重违约或重大质量问题的。</w:t>
      </w:r>
    </w:p>
    <w:p w14:paraId="541D79C6">
      <w:pPr>
        <w:keepNext w:val="0"/>
        <w:keepLines w:val="0"/>
        <w:pageBreakBefore w:val="0"/>
        <w:kinsoku/>
        <w:wordWrap/>
        <w:overflowPunct/>
        <w:topLinePunct w:val="0"/>
        <w:bidi w:val="0"/>
        <w:spacing w:before="231" w:line="226" w:lineRule="auto"/>
        <w:ind w:left="436"/>
        <w:rPr>
          <w:rFonts w:ascii="宋体" w:hAnsi="宋体" w:eastAsia="宋体" w:cs="宋体"/>
          <w:sz w:val="20"/>
          <w:szCs w:val="20"/>
        </w:rPr>
      </w:pPr>
      <w:r>
        <w:rPr>
          <w:rFonts w:ascii="宋体" w:hAnsi="宋体" w:eastAsia="宋体" w:cs="宋体"/>
          <w:spacing w:val="9"/>
          <w:sz w:val="20"/>
          <w:szCs w:val="20"/>
        </w:rPr>
        <w:t>（11）进入清算程序，或被宣告破产，或其他</w:t>
      </w:r>
      <w:r>
        <w:rPr>
          <w:rFonts w:ascii="宋体" w:hAnsi="宋体" w:eastAsia="宋体" w:cs="宋体"/>
          <w:spacing w:val="8"/>
          <w:sz w:val="20"/>
          <w:szCs w:val="20"/>
        </w:rPr>
        <w:t>丧失履约能力的情形；</w:t>
      </w:r>
    </w:p>
    <w:p w14:paraId="3A48F878">
      <w:pPr>
        <w:keepNext w:val="0"/>
        <w:keepLines w:val="0"/>
        <w:pageBreakBefore w:val="0"/>
        <w:kinsoku/>
        <w:wordWrap/>
        <w:overflowPunct/>
        <w:topLinePunct w:val="0"/>
        <w:bidi w:val="0"/>
        <w:spacing w:before="230" w:line="227" w:lineRule="auto"/>
        <w:ind w:left="436"/>
        <w:rPr>
          <w:rFonts w:ascii="宋体" w:hAnsi="宋体" w:eastAsia="宋体" w:cs="宋体"/>
          <w:sz w:val="20"/>
          <w:szCs w:val="20"/>
        </w:rPr>
      </w:pPr>
      <w:r>
        <w:rPr>
          <w:rFonts w:ascii="宋体" w:hAnsi="宋体" w:eastAsia="宋体" w:cs="宋体"/>
          <w:spacing w:val="8"/>
          <w:sz w:val="20"/>
          <w:szCs w:val="20"/>
        </w:rPr>
        <w:t>（12）法律法规或投标人须知前附表规定的其他情形。</w:t>
      </w:r>
    </w:p>
    <w:p w14:paraId="0A3DEB54">
      <w:pPr>
        <w:keepNext w:val="0"/>
        <w:keepLines w:val="0"/>
        <w:pageBreakBefore w:val="0"/>
        <w:kinsoku/>
        <w:wordWrap/>
        <w:overflowPunct/>
        <w:topLinePunct w:val="0"/>
        <w:bidi w:val="0"/>
        <w:spacing w:before="229" w:line="228" w:lineRule="auto"/>
        <w:ind w:left="14"/>
        <w:rPr>
          <w:rFonts w:ascii="宋体" w:hAnsi="宋体" w:eastAsia="宋体" w:cs="宋体"/>
          <w:sz w:val="20"/>
          <w:szCs w:val="20"/>
        </w:rPr>
      </w:pPr>
      <w:r>
        <w:rPr>
          <w:rFonts w:ascii="宋体" w:hAnsi="宋体" w:eastAsia="宋体" w:cs="宋体"/>
          <w:b/>
          <w:bCs/>
          <w:sz w:val="20"/>
          <w:szCs w:val="20"/>
        </w:rPr>
        <w:t>1.5</w:t>
      </w:r>
      <w:r>
        <w:rPr>
          <w:rFonts w:ascii="宋体" w:hAnsi="宋体" w:eastAsia="宋体" w:cs="宋体"/>
          <w:spacing w:val="25"/>
          <w:sz w:val="20"/>
          <w:szCs w:val="20"/>
        </w:rPr>
        <w:t xml:space="preserve"> </w:t>
      </w:r>
      <w:r>
        <w:rPr>
          <w:rFonts w:ascii="宋体" w:hAnsi="宋体" w:eastAsia="宋体" w:cs="宋体"/>
          <w:b/>
          <w:bCs/>
          <w:sz w:val="20"/>
          <w:szCs w:val="20"/>
        </w:rPr>
        <w:t>费用承担</w:t>
      </w:r>
    </w:p>
    <w:p w14:paraId="0C6BD7F7">
      <w:pPr>
        <w:keepNext w:val="0"/>
        <w:keepLines w:val="0"/>
        <w:pageBreakBefore w:val="0"/>
        <w:kinsoku/>
        <w:wordWrap/>
        <w:overflowPunct/>
        <w:topLinePunct w:val="0"/>
        <w:bidi w:val="0"/>
        <w:spacing w:before="229" w:line="228" w:lineRule="auto"/>
        <w:ind w:left="428"/>
        <w:rPr>
          <w:rFonts w:ascii="宋体" w:hAnsi="宋体" w:eastAsia="宋体" w:cs="宋体"/>
          <w:sz w:val="20"/>
          <w:szCs w:val="20"/>
        </w:rPr>
      </w:pPr>
      <w:r>
        <w:rPr>
          <w:rFonts w:ascii="宋体" w:hAnsi="宋体" w:eastAsia="宋体" w:cs="宋体"/>
          <w:spacing w:val="8"/>
          <w:sz w:val="20"/>
          <w:szCs w:val="20"/>
        </w:rPr>
        <w:t>投标人准备和参加投标活动发生的费用自理。</w:t>
      </w:r>
    </w:p>
    <w:p w14:paraId="106BECD4">
      <w:pPr>
        <w:keepNext w:val="0"/>
        <w:keepLines w:val="0"/>
        <w:pageBreakBefore w:val="0"/>
        <w:kinsoku/>
        <w:wordWrap/>
        <w:overflowPunct/>
        <w:topLinePunct w:val="0"/>
        <w:bidi w:val="0"/>
        <w:spacing w:before="228" w:line="228" w:lineRule="auto"/>
        <w:ind w:left="14"/>
        <w:rPr>
          <w:rFonts w:ascii="宋体" w:hAnsi="宋体" w:eastAsia="宋体" w:cs="宋体"/>
          <w:sz w:val="20"/>
          <w:szCs w:val="20"/>
        </w:rPr>
      </w:pPr>
      <w:r>
        <w:rPr>
          <w:rFonts w:ascii="宋体" w:hAnsi="宋体" w:eastAsia="宋体" w:cs="宋体"/>
          <w:b/>
          <w:bCs/>
          <w:spacing w:val="-1"/>
          <w:sz w:val="20"/>
          <w:szCs w:val="20"/>
        </w:rPr>
        <w:t>1.6</w:t>
      </w:r>
      <w:r>
        <w:rPr>
          <w:rFonts w:ascii="宋体" w:hAnsi="宋体" w:eastAsia="宋体" w:cs="宋体"/>
          <w:spacing w:val="13"/>
          <w:sz w:val="20"/>
          <w:szCs w:val="20"/>
        </w:rPr>
        <w:t xml:space="preserve"> </w:t>
      </w:r>
      <w:r>
        <w:rPr>
          <w:rFonts w:ascii="宋体" w:hAnsi="宋体" w:eastAsia="宋体" w:cs="宋体"/>
          <w:b/>
          <w:bCs/>
          <w:spacing w:val="-1"/>
          <w:sz w:val="20"/>
          <w:szCs w:val="20"/>
        </w:rPr>
        <w:t>保密</w:t>
      </w:r>
    </w:p>
    <w:p w14:paraId="52B757E7">
      <w:pPr>
        <w:keepNext w:val="0"/>
        <w:keepLines w:val="0"/>
        <w:pageBreakBefore w:val="0"/>
        <w:kinsoku/>
        <w:wordWrap/>
        <w:overflowPunct/>
        <w:topLinePunct w:val="0"/>
        <w:bidi w:val="0"/>
        <w:spacing w:before="227" w:line="439" w:lineRule="auto"/>
        <w:ind w:left="16" w:right="54" w:firstLine="411"/>
        <w:rPr>
          <w:rFonts w:ascii="宋体" w:hAnsi="宋体" w:eastAsia="宋体" w:cs="宋体"/>
          <w:sz w:val="20"/>
          <w:szCs w:val="20"/>
        </w:rPr>
      </w:pPr>
      <w:r>
        <w:rPr>
          <w:rFonts w:ascii="宋体" w:hAnsi="宋体" w:eastAsia="宋体" w:cs="宋体"/>
          <w:spacing w:val="8"/>
          <w:sz w:val="20"/>
          <w:szCs w:val="20"/>
        </w:rPr>
        <w:t>参与招标投标活动的各方应对招标文件和投标文件中的商业</w:t>
      </w:r>
      <w:r>
        <w:rPr>
          <w:rFonts w:ascii="宋体" w:hAnsi="宋体" w:eastAsia="宋体" w:cs="宋体"/>
          <w:spacing w:val="7"/>
          <w:sz w:val="20"/>
          <w:szCs w:val="20"/>
        </w:rPr>
        <w:t>和技术等秘密保密，否则应承担相应</w:t>
      </w:r>
      <w:r>
        <w:rPr>
          <w:rFonts w:ascii="宋体" w:hAnsi="宋体" w:eastAsia="宋体" w:cs="宋体"/>
          <w:spacing w:val="3"/>
          <w:sz w:val="20"/>
          <w:szCs w:val="20"/>
        </w:rPr>
        <w:t>的法律责任。</w:t>
      </w:r>
    </w:p>
    <w:p w14:paraId="3506F96D">
      <w:pPr>
        <w:keepNext w:val="0"/>
        <w:keepLines w:val="0"/>
        <w:pageBreakBefore w:val="0"/>
        <w:kinsoku/>
        <w:wordWrap/>
        <w:overflowPunct/>
        <w:topLinePunct w:val="0"/>
        <w:bidi w:val="0"/>
        <w:spacing w:before="1" w:line="227" w:lineRule="auto"/>
        <w:ind w:left="14"/>
        <w:rPr>
          <w:rFonts w:ascii="宋体" w:hAnsi="宋体" w:eastAsia="宋体" w:cs="宋体"/>
          <w:sz w:val="20"/>
          <w:szCs w:val="20"/>
        </w:rPr>
      </w:pPr>
      <w:r>
        <w:rPr>
          <w:rFonts w:ascii="宋体" w:hAnsi="宋体" w:eastAsia="宋体" w:cs="宋体"/>
          <w:b/>
          <w:bCs/>
          <w:spacing w:val="3"/>
          <w:sz w:val="20"/>
          <w:szCs w:val="20"/>
        </w:rPr>
        <w:t>1.7</w:t>
      </w:r>
      <w:r>
        <w:rPr>
          <w:rFonts w:ascii="宋体" w:hAnsi="宋体" w:eastAsia="宋体" w:cs="宋体"/>
          <w:spacing w:val="3"/>
          <w:sz w:val="20"/>
          <w:szCs w:val="20"/>
        </w:rPr>
        <w:t xml:space="preserve"> </w:t>
      </w:r>
      <w:r>
        <w:rPr>
          <w:rFonts w:ascii="宋体" w:hAnsi="宋体" w:eastAsia="宋体" w:cs="宋体"/>
          <w:b/>
          <w:bCs/>
          <w:spacing w:val="3"/>
          <w:sz w:val="20"/>
          <w:szCs w:val="20"/>
        </w:rPr>
        <w:t>语言文字</w:t>
      </w:r>
    </w:p>
    <w:p w14:paraId="1E5EE617">
      <w:pPr>
        <w:keepNext w:val="0"/>
        <w:keepLines w:val="0"/>
        <w:pageBreakBefore w:val="0"/>
        <w:kinsoku/>
        <w:wordWrap/>
        <w:overflowPunct/>
        <w:topLinePunct w:val="0"/>
        <w:bidi w:val="0"/>
        <w:spacing w:before="231" w:line="227" w:lineRule="auto"/>
        <w:ind w:left="427"/>
        <w:rPr>
          <w:rFonts w:ascii="宋体" w:hAnsi="宋体" w:eastAsia="宋体" w:cs="宋体"/>
          <w:sz w:val="20"/>
          <w:szCs w:val="20"/>
        </w:rPr>
      </w:pPr>
      <w:r>
        <w:rPr>
          <w:rFonts w:ascii="宋体" w:hAnsi="宋体" w:eastAsia="宋体" w:cs="宋体"/>
          <w:spacing w:val="9"/>
          <w:sz w:val="20"/>
          <w:szCs w:val="20"/>
        </w:rPr>
        <w:t>招标投标文件使用的语言文字为中文。专用术语使用外文的，应附有中文注释。</w:t>
      </w:r>
    </w:p>
    <w:p w14:paraId="44F77EBA">
      <w:pPr>
        <w:keepNext w:val="0"/>
        <w:keepLines w:val="0"/>
        <w:pageBreakBefore w:val="0"/>
        <w:kinsoku/>
        <w:wordWrap/>
        <w:overflowPunct/>
        <w:topLinePunct w:val="0"/>
        <w:bidi w:val="0"/>
        <w:spacing w:before="230" w:line="228" w:lineRule="auto"/>
        <w:ind w:left="14"/>
        <w:rPr>
          <w:rFonts w:ascii="宋体" w:hAnsi="宋体" w:eastAsia="宋体" w:cs="宋体"/>
          <w:sz w:val="20"/>
          <w:szCs w:val="20"/>
        </w:rPr>
      </w:pPr>
      <w:r>
        <w:rPr>
          <w:rFonts w:ascii="宋体" w:hAnsi="宋体" w:eastAsia="宋体" w:cs="宋体"/>
          <w:b/>
          <w:bCs/>
          <w:spacing w:val="3"/>
          <w:sz w:val="20"/>
          <w:szCs w:val="20"/>
        </w:rPr>
        <w:t>1.8</w:t>
      </w:r>
      <w:r>
        <w:rPr>
          <w:rFonts w:ascii="宋体" w:hAnsi="宋体" w:eastAsia="宋体" w:cs="宋体"/>
          <w:spacing w:val="3"/>
          <w:sz w:val="20"/>
          <w:szCs w:val="20"/>
        </w:rPr>
        <w:t xml:space="preserve"> </w:t>
      </w:r>
      <w:r>
        <w:rPr>
          <w:rFonts w:ascii="宋体" w:hAnsi="宋体" w:eastAsia="宋体" w:cs="宋体"/>
          <w:b/>
          <w:bCs/>
          <w:spacing w:val="3"/>
          <w:sz w:val="20"/>
          <w:szCs w:val="20"/>
        </w:rPr>
        <w:t>计量单位</w:t>
      </w:r>
    </w:p>
    <w:p w14:paraId="330D4461">
      <w:pPr>
        <w:keepNext w:val="0"/>
        <w:keepLines w:val="0"/>
        <w:pageBreakBefore w:val="0"/>
        <w:kinsoku/>
        <w:wordWrap/>
        <w:overflowPunct/>
        <w:topLinePunct w:val="0"/>
        <w:bidi w:val="0"/>
        <w:spacing w:before="227" w:line="227" w:lineRule="auto"/>
        <w:ind w:left="426"/>
        <w:rPr>
          <w:rFonts w:ascii="宋体" w:hAnsi="宋体" w:eastAsia="宋体" w:cs="宋体"/>
          <w:sz w:val="20"/>
          <w:szCs w:val="20"/>
        </w:rPr>
      </w:pPr>
      <w:r>
        <w:rPr>
          <w:rFonts w:ascii="宋体" w:hAnsi="宋体" w:eastAsia="宋体" w:cs="宋体"/>
          <w:spacing w:val="9"/>
          <w:sz w:val="20"/>
          <w:szCs w:val="20"/>
        </w:rPr>
        <w:t>所有计量均采用中华人民共和国法定计量单位。</w:t>
      </w:r>
    </w:p>
    <w:p w14:paraId="2CBE12CC">
      <w:pPr>
        <w:keepNext w:val="0"/>
        <w:keepLines w:val="0"/>
        <w:pageBreakBefore w:val="0"/>
        <w:kinsoku/>
        <w:wordWrap/>
        <w:overflowPunct/>
        <w:topLinePunct w:val="0"/>
        <w:bidi w:val="0"/>
        <w:spacing w:before="229" w:line="228" w:lineRule="auto"/>
        <w:ind w:left="14"/>
        <w:rPr>
          <w:rFonts w:ascii="宋体" w:hAnsi="宋体" w:eastAsia="宋体" w:cs="宋体"/>
          <w:sz w:val="20"/>
          <w:szCs w:val="20"/>
        </w:rPr>
      </w:pPr>
      <w:r>
        <w:rPr>
          <w:rFonts w:ascii="宋体" w:hAnsi="宋体" w:eastAsia="宋体" w:cs="宋体"/>
          <w:b/>
          <w:bCs/>
          <w:spacing w:val="3"/>
          <w:sz w:val="20"/>
          <w:szCs w:val="20"/>
        </w:rPr>
        <w:t>1.9</w:t>
      </w:r>
      <w:r>
        <w:rPr>
          <w:rFonts w:ascii="宋体" w:hAnsi="宋体" w:eastAsia="宋体" w:cs="宋体"/>
          <w:spacing w:val="3"/>
          <w:sz w:val="20"/>
          <w:szCs w:val="20"/>
        </w:rPr>
        <w:t xml:space="preserve"> </w:t>
      </w:r>
      <w:r>
        <w:rPr>
          <w:rFonts w:ascii="宋体" w:hAnsi="宋体" w:eastAsia="宋体" w:cs="宋体"/>
          <w:b/>
          <w:bCs/>
          <w:spacing w:val="3"/>
          <w:sz w:val="20"/>
          <w:szCs w:val="20"/>
        </w:rPr>
        <w:t>踏勘现场</w:t>
      </w:r>
    </w:p>
    <w:p w14:paraId="51640262">
      <w:pPr>
        <w:keepNext w:val="0"/>
        <w:keepLines w:val="0"/>
        <w:pageBreakBefore w:val="0"/>
        <w:kinsoku/>
        <w:wordWrap/>
        <w:overflowPunct/>
        <w:topLinePunct w:val="0"/>
        <w:bidi w:val="0"/>
        <w:spacing w:before="228" w:line="439" w:lineRule="auto"/>
        <w:ind w:left="2" w:right="30" w:firstLine="439"/>
        <w:rPr>
          <w:rFonts w:ascii="宋体" w:hAnsi="宋体" w:eastAsia="宋体" w:cs="宋体"/>
          <w:sz w:val="20"/>
          <w:szCs w:val="20"/>
        </w:rPr>
      </w:pPr>
      <w:r>
        <w:rPr>
          <w:rFonts w:ascii="宋体" w:hAnsi="宋体" w:eastAsia="宋体" w:cs="宋体"/>
          <w:spacing w:val="8"/>
          <w:sz w:val="20"/>
          <w:szCs w:val="20"/>
        </w:rPr>
        <w:t>1.9.1</w:t>
      </w:r>
      <w:r>
        <w:rPr>
          <w:rFonts w:ascii="宋体" w:hAnsi="宋体" w:eastAsia="宋体" w:cs="宋体"/>
          <w:spacing w:val="-22"/>
          <w:sz w:val="20"/>
          <w:szCs w:val="20"/>
        </w:rPr>
        <w:t xml:space="preserve"> </w:t>
      </w:r>
      <w:r>
        <w:rPr>
          <w:rFonts w:ascii="宋体" w:hAnsi="宋体" w:eastAsia="宋体" w:cs="宋体"/>
          <w:spacing w:val="8"/>
          <w:sz w:val="20"/>
          <w:szCs w:val="20"/>
        </w:rPr>
        <w:t>投标人须知前附表规定组织踏勘现场的，采购人按投标人须知前附表规定的时间、地点组</w:t>
      </w:r>
      <w:r>
        <w:rPr>
          <w:rFonts w:ascii="宋体" w:hAnsi="宋体" w:eastAsia="宋体" w:cs="宋体"/>
          <w:spacing w:val="7"/>
          <w:sz w:val="20"/>
          <w:szCs w:val="20"/>
        </w:rPr>
        <w:t>织投标人踏勘项目现场。</w:t>
      </w:r>
    </w:p>
    <w:p w14:paraId="7037508F">
      <w:pPr>
        <w:keepNext w:val="0"/>
        <w:keepLines w:val="0"/>
        <w:pageBreakBefore w:val="0"/>
        <w:kinsoku/>
        <w:wordWrap/>
        <w:overflowPunct/>
        <w:topLinePunct w:val="0"/>
        <w:bidi w:val="0"/>
        <w:spacing w:before="1" w:line="227" w:lineRule="auto"/>
        <w:ind w:left="441"/>
        <w:rPr>
          <w:rFonts w:ascii="宋体" w:hAnsi="宋体" w:eastAsia="宋体" w:cs="宋体"/>
          <w:sz w:val="20"/>
          <w:szCs w:val="20"/>
        </w:rPr>
      </w:pPr>
      <w:r>
        <w:rPr>
          <w:rFonts w:ascii="宋体" w:hAnsi="宋体" w:eastAsia="宋体" w:cs="宋体"/>
          <w:spacing w:val="6"/>
          <w:sz w:val="20"/>
          <w:szCs w:val="20"/>
        </w:rPr>
        <w:t>1.9.2</w:t>
      </w:r>
      <w:r>
        <w:rPr>
          <w:rFonts w:ascii="宋体" w:hAnsi="宋体" w:eastAsia="宋体" w:cs="宋体"/>
          <w:spacing w:val="-31"/>
          <w:sz w:val="20"/>
          <w:szCs w:val="20"/>
        </w:rPr>
        <w:t xml:space="preserve"> </w:t>
      </w:r>
      <w:r>
        <w:rPr>
          <w:rFonts w:ascii="宋体" w:hAnsi="宋体" w:eastAsia="宋体" w:cs="宋体"/>
          <w:spacing w:val="6"/>
          <w:sz w:val="20"/>
          <w:szCs w:val="20"/>
        </w:rPr>
        <w:t>投标人踏勘现场发生的费用自理。</w:t>
      </w:r>
    </w:p>
    <w:p w14:paraId="043CB39C">
      <w:pPr>
        <w:keepNext w:val="0"/>
        <w:keepLines w:val="0"/>
        <w:pageBreakBefore w:val="0"/>
        <w:kinsoku/>
        <w:wordWrap/>
        <w:overflowPunct/>
        <w:topLinePunct w:val="0"/>
        <w:bidi w:val="0"/>
        <w:spacing w:before="228" w:line="228" w:lineRule="auto"/>
        <w:ind w:left="441"/>
        <w:rPr>
          <w:rFonts w:ascii="宋体" w:hAnsi="宋体" w:eastAsia="宋体" w:cs="宋体"/>
          <w:sz w:val="20"/>
          <w:szCs w:val="20"/>
        </w:rPr>
      </w:pPr>
      <w:r>
        <w:rPr>
          <w:rFonts w:ascii="宋体" w:hAnsi="宋体" w:eastAsia="宋体" w:cs="宋体"/>
          <w:spacing w:val="8"/>
          <w:sz w:val="20"/>
          <w:szCs w:val="20"/>
        </w:rPr>
        <w:t>1.9.3</w:t>
      </w:r>
      <w:r>
        <w:rPr>
          <w:rFonts w:ascii="宋体" w:hAnsi="宋体" w:eastAsia="宋体" w:cs="宋体"/>
          <w:spacing w:val="-38"/>
          <w:sz w:val="20"/>
          <w:szCs w:val="20"/>
        </w:rPr>
        <w:t xml:space="preserve"> </w:t>
      </w:r>
      <w:r>
        <w:rPr>
          <w:rFonts w:ascii="宋体" w:hAnsi="宋体" w:eastAsia="宋体" w:cs="宋体"/>
          <w:spacing w:val="8"/>
          <w:sz w:val="20"/>
          <w:szCs w:val="20"/>
        </w:rPr>
        <w:t>投标人自行负责在踏勘现场中所发生的</w:t>
      </w:r>
      <w:r>
        <w:rPr>
          <w:rFonts w:ascii="宋体" w:hAnsi="宋体" w:eastAsia="宋体" w:cs="宋体"/>
          <w:spacing w:val="7"/>
          <w:sz w:val="20"/>
          <w:szCs w:val="20"/>
        </w:rPr>
        <w:t>人员伤亡和财产损失。</w:t>
      </w:r>
    </w:p>
    <w:p w14:paraId="6FA073CC">
      <w:pPr>
        <w:keepNext w:val="0"/>
        <w:keepLines w:val="0"/>
        <w:pageBreakBefore w:val="0"/>
        <w:kinsoku/>
        <w:wordWrap/>
        <w:overflowPunct/>
        <w:topLinePunct w:val="0"/>
        <w:bidi w:val="0"/>
        <w:spacing w:before="230" w:line="439" w:lineRule="auto"/>
        <w:ind w:right="32" w:firstLine="440"/>
        <w:rPr>
          <w:rFonts w:ascii="宋体" w:hAnsi="宋体" w:eastAsia="宋体" w:cs="宋体"/>
          <w:sz w:val="20"/>
          <w:szCs w:val="20"/>
        </w:rPr>
      </w:pPr>
      <w:r>
        <w:rPr>
          <w:rFonts w:ascii="宋体" w:hAnsi="宋体" w:eastAsia="宋体" w:cs="宋体"/>
          <w:spacing w:val="8"/>
          <w:sz w:val="20"/>
          <w:szCs w:val="20"/>
        </w:rPr>
        <w:t>1.9.4</w:t>
      </w:r>
      <w:r>
        <w:rPr>
          <w:rFonts w:ascii="宋体" w:hAnsi="宋体" w:eastAsia="宋体" w:cs="宋体"/>
          <w:spacing w:val="-24"/>
          <w:sz w:val="20"/>
          <w:szCs w:val="20"/>
        </w:rPr>
        <w:t xml:space="preserve"> </w:t>
      </w:r>
      <w:r>
        <w:rPr>
          <w:rFonts w:ascii="宋体" w:hAnsi="宋体" w:eastAsia="宋体" w:cs="宋体"/>
          <w:spacing w:val="8"/>
          <w:sz w:val="20"/>
          <w:szCs w:val="20"/>
        </w:rPr>
        <w:t>采购人在踏勘现场中介绍的工程场地和相关的周边环境情况，供投标人在编制投标文件时</w:t>
      </w:r>
      <w:r>
        <w:rPr>
          <w:rFonts w:ascii="宋体" w:hAnsi="宋体" w:eastAsia="宋体" w:cs="宋体"/>
          <w:spacing w:val="9"/>
          <w:sz w:val="20"/>
          <w:szCs w:val="20"/>
        </w:rPr>
        <w:t>参考，采购人不对投标人据此作出的判断和决策负责。</w:t>
      </w:r>
    </w:p>
    <w:p w14:paraId="7A8A407E">
      <w:pPr>
        <w:keepNext w:val="0"/>
        <w:keepLines w:val="0"/>
        <w:pageBreakBefore w:val="0"/>
        <w:kinsoku/>
        <w:wordWrap/>
        <w:overflowPunct/>
        <w:topLinePunct w:val="0"/>
        <w:bidi w:val="0"/>
        <w:spacing w:before="1" w:line="226" w:lineRule="auto"/>
        <w:ind w:left="14"/>
        <w:rPr>
          <w:rFonts w:ascii="宋体" w:hAnsi="宋体" w:eastAsia="宋体" w:cs="宋体"/>
          <w:sz w:val="20"/>
          <w:szCs w:val="20"/>
        </w:rPr>
      </w:pPr>
      <w:r>
        <w:rPr>
          <w:rFonts w:ascii="宋体" w:hAnsi="宋体" w:eastAsia="宋体" w:cs="宋体"/>
          <w:b/>
          <w:bCs/>
          <w:spacing w:val="3"/>
          <w:sz w:val="20"/>
          <w:szCs w:val="20"/>
        </w:rPr>
        <w:t>1.10</w:t>
      </w:r>
      <w:r>
        <w:rPr>
          <w:rFonts w:ascii="宋体" w:hAnsi="宋体" w:eastAsia="宋体" w:cs="宋体"/>
          <w:spacing w:val="3"/>
          <w:sz w:val="20"/>
          <w:szCs w:val="20"/>
        </w:rPr>
        <w:t xml:space="preserve"> </w:t>
      </w:r>
      <w:r>
        <w:rPr>
          <w:rFonts w:ascii="宋体" w:hAnsi="宋体" w:eastAsia="宋体" w:cs="宋体"/>
          <w:b/>
          <w:bCs/>
          <w:spacing w:val="3"/>
          <w:sz w:val="20"/>
          <w:szCs w:val="20"/>
        </w:rPr>
        <w:t>投标预备会</w:t>
      </w:r>
    </w:p>
    <w:p w14:paraId="2D7F42E0">
      <w:pPr>
        <w:keepNext w:val="0"/>
        <w:keepLines w:val="0"/>
        <w:pageBreakBefore w:val="0"/>
        <w:kinsoku/>
        <w:wordWrap/>
        <w:overflowPunct/>
        <w:topLinePunct w:val="0"/>
        <w:bidi w:val="0"/>
        <w:spacing w:before="229" w:line="439" w:lineRule="auto"/>
        <w:ind w:left="9" w:right="54" w:firstLine="432"/>
        <w:rPr>
          <w:rFonts w:ascii="宋体" w:hAnsi="宋体" w:eastAsia="宋体" w:cs="宋体"/>
          <w:sz w:val="20"/>
          <w:szCs w:val="20"/>
        </w:rPr>
      </w:pPr>
      <w:r>
        <w:rPr>
          <w:rFonts w:ascii="宋体" w:hAnsi="宋体" w:eastAsia="宋体" w:cs="宋体"/>
          <w:spacing w:val="10"/>
          <w:sz w:val="20"/>
          <w:szCs w:val="20"/>
        </w:rPr>
        <w:t>1.10.1</w:t>
      </w:r>
      <w:r>
        <w:rPr>
          <w:rFonts w:ascii="宋体" w:hAnsi="宋体" w:eastAsia="宋体" w:cs="宋体"/>
          <w:spacing w:val="-34"/>
          <w:sz w:val="20"/>
          <w:szCs w:val="20"/>
        </w:rPr>
        <w:t xml:space="preserve"> </w:t>
      </w:r>
      <w:r>
        <w:rPr>
          <w:rFonts w:ascii="宋体" w:hAnsi="宋体" w:eastAsia="宋体" w:cs="宋体"/>
          <w:spacing w:val="10"/>
          <w:sz w:val="20"/>
          <w:szCs w:val="20"/>
        </w:rPr>
        <w:t>投标人须知前附表规定召开投标预备会的，采购人按投标人须知前附表规定的时间和地</w:t>
      </w:r>
      <w:r>
        <w:rPr>
          <w:rFonts w:ascii="宋体" w:hAnsi="宋体" w:eastAsia="宋体" w:cs="宋体"/>
          <w:spacing w:val="8"/>
          <w:sz w:val="20"/>
          <w:szCs w:val="20"/>
        </w:rPr>
        <w:t>点召开投标预备会，澄清投标人提出的问题。</w:t>
      </w:r>
    </w:p>
    <w:p w14:paraId="721E3D65">
      <w:pPr>
        <w:keepNext w:val="0"/>
        <w:keepLines w:val="0"/>
        <w:pageBreakBefore w:val="0"/>
        <w:kinsoku/>
        <w:wordWrap/>
        <w:overflowPunct/>
        <w:topLinePunct w:val="0"/>
        <w:bidi w:val="0"/>
        <w:spacing w:before="1" w:line="438" w:lineRule="auto"/>
        <w:ind w:right="54" w:firstLine="441"/>
        <w:rPr>
          <w:rFonts w:ascii="宋体" w:hAnsi="宋体" w:eastAsia="宋体" w:cs="宋体"/>
          <w:sz w:val="20"/>
          <w:szCs w:val="20"/>
        </w:rPr>
      </w:pPr>
      <w:r>
        <w:rPr>
          <w:rFonts w:ascii="宋体" w:hAnsi="宋体" w:eastAsia="宋体" w:cs="宋体"/>
          <w:spacing w:val="8"/>
          <w:sz w:val="20"/>
          <w:szCs w:val="20"/>
        </w:rPr>
        <w:t>1.10.2</w:t>
      </w:r>
      <w:r>
        <w:rPr>
          <w:rFonts w:ascii="宋体" w:hAnsi="宋体" w:eastAsia="宋体" w:cs="宋体"/>
          <w:spacing w:val="-30"/>
          <w:sz w:val="20"/>
          <w:szCs w:val="20"/>
        </w:rPr>
        <w:t xml:space="preserve"> </w:t>
      </w:r>
      <w:r>
        <w:rPr>
          <w:rFonts w:ascii="宋体" w:hAnsi="宋体" w:eastAsia="宋体" w:cs="宋体"/>
          <w:spacing w:val="8"/>
          <w:sz w:val="20"/>
          <w:szCs w:val="20"/>
        </w:rPr>
        <w:t>投标人应在投标人须知前附表规定的时间前，</w:t>
      </w:r>
      <w:r>
        <w:rPr>
          <w:rFonts w:ascii="宋体" w:hAnsi="宋体" w:eastAsia="宋体" w:cs="宋体"/>
          <w:spacing w:val="-57"/>
          <w:sz w:val="20"/>
          <w:szCs w:val="20"/>
        </w:rPr>
        <w:t xml:space="preserve"> </w:t>
      </w:r>
      <w:r>
        <w:rPr>
          <w:rFonts w:ascii="宋体" w:hAnsi="宋体" w:eastAsia="宋体" w:cs="宋体"/>
          <w:spacing w:val="8"/>
          <w:sz w:val="20"/>
          <w:szCs w:val="20"/>
        </w:rPr>
        <w:t>以书面形式将提出的问题送达采购人，</w:t>
      </w:r>
      <w:r>
        <w:rPr>
          <w:rFonts w:ascii="宋体" w:hAnsi="宋体" w:eastAsia="宋体" w:cs="宋体"/>
          <w:spacing w:val="-59"/>
          <w:sz w:val="20"/>
          <w:szCs w:val="20"/>
        </w:rPr>
        <w:t xml:space="preserve"> </w:t>
      </w:r>
      <w:r>
        <w:rPr>
          <w:rFonts w:ascii="宋体" w:hAnsi="宋体" w:eastAsia="宋体" w:cs="宋体"/>
          <w:spacing w:val="8"/>
          <w:sz w:val="20"/>
          <w:szCs w:val="20"/>
        </w:rPr>
        <w:t>以便采购人在会议期间澄清。</w:t>
      </w:r>
    </w:p>
    <w:p w14:paraId="0F404EF9">
      <w:pPr>
        <w:keepNext w:val="0"/>
        <w:keepLines w:val="0"/>
        <w:pageBreakBefore w:val="0"/>
        <w:kinsoku/>
        <w:wordWrap/>
        <w:overflowPunct/>
        <w:topLinePunct w:val="0"/>
        <w:bidi w:val="0"/>
        <w:spacing w:before="2" w:line="441" w:lineRule="auto"/>
        <w:ind w:left="22" w:firstLine="419"/>
        <w:rPr>
          <w:rFonts w:ascii="宋体" w:hAnsi="宋体" w:eastAsia="宋体" w:cs="宋体"/>
          <w:sz w:val="20"/>
          <w:szCs w:val="20"/>
        </w:rPr>
      </w:pPr>
      <w:r>
        <w:rPr>
          <w:rFonts w:ascii="宋体" w:hAnsi="宋体" w:eastAsia="宋体" w:cs="宋体"/>
          <w:spacing w:val="7"/>
          <w:sz w:val="20"/>
          <w:szCs w:val="20"/>
        </w:rPr>
        <w:t>1.10.3</w:t>
      </w:r>
      <w:r>
        <w:rPr>
          <w:rFonts w:ascii="宋体" w:hAnsi="宋体" w:eastAsia="宋体" w:cs="宋体"/>
          <w:spacing w:val="-38"/>
          <w:sz w:val="20"/>
          <w:szCs w:val="20"/>
        </w:rPr>
        <w:t xml:space="preserve"> </w:t>
      </w:r>
      <w:r>
        <w:rPr>
          <w:rFonts w:ascii="宋体" w:hAnsi="宋体" w:eastAsia="宋体" w:cs="宋体"/>
          <w:spacing w:val="7"/>
          <w:sz w:val="20"/>
          <w:szCs w:val="20"/>
        </w:rPr>
        <w:t>投标预备会后，采购人在投标人须知前附表规定的时</w:t>
      </w:r>
      <w:r>
        <w:rPr>
          <w:rFonts w:ascii="宋体" w:hAnsi="宋体" w:eastAsia="宋体" w:cs="宋体"/>
          <w:spacing w:val="6"/>
          <w:sz w:val="20"/>
          <w:szCs w:val="20"/>
        </w:rPr>
        <w:t>间内，将对投标人所提问题的澄清，</w:t>
      </w:r>
      <w:r>
        <w:rPr>
          <w:rFonts w:ascii="宋体" w:hAnsi="宋体" w:eastAsia="宋体" w:cs="宋体"/>
          <w:spacing w:val="9"/>
          <w:sz w:val="20"/>
          <w:szCs w:val="20"/>
        </w:rPr>
        <w:t>以书面方式通知所有购买招标文件的投标人。该澄清内容为招</w:t>
      </w:r>
      <w:r>
        <w:rPr>
          <w:rFonts w:ascii="宋体" w:hAnsi="宋体" w:eastAsia="宋体" w:cs="宋体"/>
          <w:spacing w:val="8"/>
          <w:sz w:val="20"/>
          <w:szCs w:val="20"/>
        </w:rPr>
        <w:t>标文件的组成部分。</w:t>
      </w:r>
      <w:r>
        <w:rPr>
          <w:rFonts w:ascii="宋体" w:hAnsi="宋体" w:eastAsia="宋体" w:cs="宋体"/>
          <w:b/>
          <w:bCs/>
          <w:spacing w:val="-1"/>
          <w:sz w:val="20"/>
          <w:szCs w:val="20"/>
        </w:rPr>
        <w:br w:type="page"/>
      </w:r>
      <w:r>
        <w:rPr>
          <w:rFonts w:ascii="宋体" w:hAnsi="宋体" w:eastAsia="宋体" w:cs="宋体"/>
          <w:b/>
          <w:bCs/>
          <w:spacing w:val="-1"/>
          <w:sz w:val="20"/>
          <w:szCs w:val="20"/>
        </w:rPr>
        <w:t>1.11</w:t>
      </w:r>
      <w:r>
        <w:rPr>
          <w:rFonts w:ascii="宋体" w:hAnsi="宋体" w:eastAsia="宋体" w:cs="宋体"/>
          <w:spacing w:val="16"/>
          <w:sz w:val="20"/>
          <w:szCs w:val="20"/>
        </w:rPr>
        <w:t xml:space="preserve"> </w:t>
      </w:r>
      <w:r>
        <w:rPr>
          <w:rFonts w:ascii="宋体" w:hAnsi="宋体" w:eastAsia="宋体" w:cs="宋体"/>
          <w:b/>
          <w:bCs/>
          <w:spacing w:val="-1"/>
          <w:sz w:val="20"/>
          <w:szCs w:val="20"/>
        </w:rPr>
        <w:t>分包</w:t>
      </w:r>
    </w:p>
    <w:p w14:paraId="42A5CA11">
      <w:pPr>
        <w:keepNext w:val="0"/>
        <w:keepLines w:val="0"/>
        <w:pageBreakBefore w:val="0"/>
        <w:kinsoku/>
        <w:wordWrap/>
        <w:overflowPunct/>
        <w:topLinePunct w:val="0"/>
        <w:bidi w:val="0"/>
        <w:spacing w:before="227" w:line="227" w:lineRule="auto"/>
        <w:ind w:left="428"/>
        <w:rPr>
          <w:rFonts w:ascii="宋体" w:hAnsi="宋体" w:eastAsia="宋体" w:cs="宋体"/>
          <w:sz w:val="20"/>
          <w:szCs w:val="20"/>
        </w:rPr>
      </w:pPr>
      <w:r>
        <w:rPr>
          <w:rFonts w:ascii="宋体" w:hAnsi="宋体" w:eastAsia="宋体" w:cs="宋体"/>
          <w:spacing w:val="7"/>
          <w:sz w:val="20"/>
          <w:szCs w:val="20"/>
        </w:rPr>
        <w:t>详见投标人须知前附表。</w:t>
      </w:r>
    </w:p>
    <w:p w14:paraId="4898C3EF">
      <w:pPr>
        <w:keepNext w:val="0"/>
        <w:keepLines w:val="0"/>
        <w:pageBreakBefore w:val="0"/>
        <w:kinsoku/>
        <w:wordWrap/>
        <w:overflowPunct/>
        <w:topLinePunct w:val="0"/>
        <w:bidi w:val="0"/>
        <w:spacing w:before="228" w:line="228" w:lineRule="auto"/>
        <w:ind w:left="14"/>
        <w:rPr>
          <w:rFonts w:ascii="宋体" w:hAnsi="宋体" w:eastAsia="宋体" w:cs="宋体"/>
          <w:sz w:val="20"/>
          <w:szCs w:val="20"/>
        </w:rPr>
      </w:pPr>
      <w:r>
        <w:rPr>
          <w:rFonts w:ascii="宋体" w:hAnsi="宋体" w:eastAsia="宋体" w:cs="宋体"/>
          <w:b/>
          <w:bCs/>
          <w:spacing w:val="-1"/>
          <w:sz w:val="20"/>
          <w:szCs w:val="20"/>
        </w:rPr>
        <w:t>1.12</w:t>
      </w:r>
      <w:r>
        <w:rPr>
          <w:rFonts w:ascii="宋体" w:hAnsi="宋体" w:eastAsia="宋体" w:cs="宋体"/>
          <w:spacing w:val="-36"/>
          <w:sz w:val="20"/>
          <w:szCs w:val="20"/>
        </w:rPr>
        <w:t xml:space="preserve"> </w:t>
      </w:r>
      <w:r>
        <w:rPr>
          <w:rFonts w:ascii="宋体" w:hAnsi="宋体" w:eastAsia="宋体" w:cs="宋体"/>
          <w:b/>
          <w:bCs/>
          <w:spacing w:val="-1"/>
          <w:sz w:val="20"/>
          <w:szCs w:val="20"/>
        </w:rPr>
        <w:t>偏离</w:t>
      </w:r>
    </w:p>
    <w:p w14:paraId="65737576">
      <w:pPr>
        <w:keepNext w:val="0"/>
        <w:keepLines w:val="0"/>
        <w:pageBreakBefore w:val="0"/>
        <w:kinsoku/>
        <w:wordWrap/>
        <w:overflowPunct/>
        <w:topLinePunct w:val="0"/>
        <w:bidi w:val="0"/>
        <w:spacing w:before="228" w:line="227" w:lineRule="auto"/>
        <w:ind w:left="428"/>
        <w:rPr>
          <w:rFonts w:ascii="宋体" w:hAnsi="宋体" w:eastAsia="宋体" w:cs="宋体"/>
          <w:sz w:val="20"/>
          <w:szCs w:val="20"/>
        </w:rPr>
      </w:pPr>
      <w:r>
        <w:rPr>
          <w:rFonts w:ascii="宋体" w:hAnsi="宋体" w:eastAsia="宋体" w:cs="宋体"/>
          <w:spacing w:val="7"/>
          <w:sz w:val="20"/>
          <w:szCs w:val="20"/>
        </w:rPr>
        <w:t>详见投标人须知前附表。</w:t>
      </w:r>
    </w:p>
    <w:p w14:paraId="4864276A">
      <w:pPr>
        <w:keepNext w:val="0"/>
        <w:keepLines w:val="0"/>
        <w:pageBreakBefore w:val="0"/>
        <w:kinsoku/>
        <w:wordWrap/>
        <w:overflowPunct/>
        <w:topLinePunct w:val="0"/>
        <w:bidi w:val="0"/>
        <w:spacing w:before="273" w:line="220" w:lineRule="auto"/>
        <w:ind w:left="3874"/>
        <w:outlineLvl w:val="1"/>
        <w:rPr>
          <w:rFonts w:ascii="宋体" w:hAnsi="宋体" w:eastAsia="宋体" w:cs="宋体"/>
          <w:sz w:val="28"/>
          <w:szCs w:val="28"/>
        </w:rPr>
      </w:pPr>
      <w:bookmarkStart w:id="11" w:name="bookmark18"/>
      <w:bookmarkEnd w:id="11"/>
      <w:bookmarkStart w:id="12" w:name="_Toc7729"/>
      <w:r>
        <w:rPr>
          <w:rFonts w:ascii="宋体" w:hAnsi="宋体" w:eastAsia="宋体" w:cs="宋体"/>
          <w:b/>
          <w:bCs/>
          <w:spacing w:val="-3"/>
          <w:sz w:val="28"/>
          <w:szCs w:val="28"/>
        </w:rPr>
        <w:t>2.招标文件</w:t>
      </w:r>
      <w:bookmarkEnd w:id="12"/>
    </w:p>
    <w:p w14:paraId="4765C919">
      <w:pPr>
        <w:keepNext w:val="0"/>
        <w:keepLines w:val="0"/>
        <w:pageBreakBefore w:val="0"/>
        <w:kinsoku/>
        <w:wordWrap/>
        <w:overflowPunct/>
        <w:topLinePunct w:val="0"/>
        <w:bidi w:val="0"/>
        <w:spacing w:before="258" w:line="228" w:lineRule="auto"/>
        <w:ind w:left="1"/>
        <w:rPr>
          <w:rFonts w:ascii="宋体" w:hAnsi="宋体" w:eastAsia="宋体" w:cs="宋体"/>
          <w:sz w:val="20"/>
          <w:szCs w:val="20"/>
        </w:rPr>
      </w:pPr>
      <w:r>
        <w:rPr>
          <w:rFonts w:ascii="宋体" w:hAnsi="宋体" w:eastAsia="宋体" w:cs="宋体"/>
          <w:b/>
          <w:bCs/>
          <w:spacing w:val="5"/>
          <w:sz w:val="20"/>
          <w:szCs w:val="20"/>
        </w:rPr>
        <w:t>2.1</w:t>
      </w:r>
      <w:r>
        <w:rPr>
          <w:rFonts w:ascii="宋体" w:hAnsi="宋体" w:eastAsia="宋体" w:cs="宋体"/>
          <w:spacing w:val="-40"/>
          <w:sz w:val="20"/>
          <w:szCs w:val="20"/>
        </w:rPr>
        <w:t xml:space="preserve"> </w:t>
      </w:r>
      <w:r>
        <w:rPr>
          <w:rFonts w:ascii="宋体" w:hAnsi="宋体" w:eastAsia="宋体" w:cs="宋体"/>
          <w:b/>
          <w:bCs/>
          <w:spacing w:val="5"/>
          <w:sz w:val="20"/>
          <w:szCs w:val="20"/>
        </w:rPr>
        <w:t>招标文件的组成</w:t>
      </w:r>
    </w:p>
    <w:p w14:paraId="01EEB959">
      <w:pPr>
        <w:keepNext w:val="0"/>
        <w:keepLines w:val="0"/>
        <w:pageBreakBefore w:val="0"/>
        <w:kinsoku/>
        <w:wordWrap/>
        <w:overflowPunct/>
        <w:topLinePunct w:val="0"/>
        <w:bidi w:val="0"/>
        <w:spacing w:before="229" w:line="227" w:lineRule="auto"/>
        <w:ind w:left="427"/>
        <w:rPr>
          <w:rFonts w:ascii="宋体" w:hAnsi="宋体" w:eastAsia="宋体" w:cs="宋体"/>
          <w:sz w:val="20"/>
          <w:szCs w:val="20"/>
        </w:rPr>
      </w:pPr>
      <w:r>
        <w:rPr>
          <w:rFonts w:ascii="宋体" w:hAnsi="宋体" w:eastAsia="宋体" w:cs="宋体"/>
          <w:spacing w:val="7"/>
          <w:sz w:val="20"/>
          <w:szCs w:val="20"/>
        </w:rPr>
        <w:t>本招标文件包括：</w:t>
      </w:r>
    </w:p>
    <w:p w14:paraId="2215E22C">
      <w:pPr>
        <w:keepNext w:val="0"/>
        <w:keepLines w:val="0"/>
        <w:pageBreakBefore w:val="0"/>
        <w:kinsoku/>
        <w:wordWrap/>
        <w:overflowPunct/>
        <w:topLinePunct w:val="0"/>
        <w:bidi w:val="0"/>
        <w:spacing w:before="229" w:line="226" w:lineRule="auto"/>
        <w:ind w:left="436"/>
        <w:rPr>
          <w:rFonts w:ascii="宋体" w:hAnsi="宋体" w:eastAsia="宋体" w:cs="宋体"/>
          <w:sz w:val="20"/>
          <w:szCs w:val="20"/>
        </w:rPr>
      </w:pPr>
      <w:r>
        <w:rPr>
          <w:rFonts w:ascii="宋体" w:hAnsi="宋体" w:eastAsia="宋体" w:cs="宋体"/>
          <w:spacing w:val="5"/>
          <w:sz w:val="20"/>
          <w:szCs w:val="20"/>
        </w:rPr>
        <w:t>（1）招标公告；</w:t>
      </w:r>
    </w:p>
    <w:p w14:paraId="092C4DFF">
      <w:pPr>
        <w:keepNext w:val="0"/>
        <w:keepLines w:val="0"/>
        <w:pageBreakBefore w:val="0"/>
        <w:kinsoku/>
        <w:wordWrap/>
        <w:overflowPunct/>
        <w:topLinePunct w:val="0"/>
        <w:bidi w:val="0"/>
        <w:spacing w:before="231" w:line="228" w:lineRule="auto"/>
        <w:ind w:left="436"/>
        <w:rPr>
          <w:rFonts w:ascii="宋体" w:hAnsi="宋体" w:eastAsia="宋体" w:cs="宋体"/>
          <w:sz w:val="20"/>
          <w:szCs w:val="20"/>
        </w:rPr>
      </w:pPr>
      <w:r>
        <w:rPr>
          <w:rFonts w:ascii="宋体" w:hAnsi="宋体" w:eastAsia="宋体" w:cs="宋体"/>
          <w:spacing w:val="5"/>
          <w:sz w:val="20"/>
          <w:szCs w:val="20"/>
        </w:rPr>
        <w:t>（2）投标人须知；</w:t>
      </w:r>
    </w:p>
    <w:p w14:paraId="429E1281">
      <w:pPr>
        <w:keepNext w:val="0"/>
        <w:keepLines w:val="0"/>
        <w:pageBreakBefore w:val="0"/>
        <w:kinsoku/>
        <w:wordWrap/>
        <w:overflowPunct/>
        <w:topLinePunct w:val="0"/>
        <w:bidi w:val="0"/>
        <w:spacing w:before="227" w:line="228" w:lineRule="auto"/>
        <w:ind w:left="436"/>
        <w:rPr>
          <w:rFonts w:ascii="宋体" w:hAnsi="宋体" w:eastAsia="宋体" w:cs="宋体"/>
          <w:sz w:val="20"/>
          <w:szCs w:val="20"/>
        </w:rPr>
      </w:pPr>
      <w:r>
        <w:rPr>
          <w:rFonts w:ascii="宋体" w:hAnsi="宋体" w:eastAsia="宋体" w:cs="宋体"/>
          <w:spacing w:val="5"/>
          <w:sz w:val="20"/>
          <w:szCs w:val="20"/>
        </w:rPr>
        <w:t>（3）评标办法；</w:t>
      </w:r>
    </w:p>
    <w:p w14:paraId="298E229A">
      <w:pPr>
        <w:keepNext w:val="0"/>
        <w:keepLines w:val="0"/>
        <w:pageBreakBefore w:val="0"/>
        <w:kinsoku/>
        <w:wordWrap/>
        <w:overflowPunct/>
        <w:topLinePunct w:val="0"/>
        <w:bidi w:val="0"/>
        <w:spacing w:before="228" w:line="228" w:lineRule="auto"/>
        <w:ind w:left="436"/>
        <w:rPr>
          <w:rFonts w:ascii="宋体" w:hAnsi="宋体" w:eastAsia="宋体" w:cs="宋体"/>
          <w:sz w:val="20"/>
          <w:szCs w:val="20"/>
        </w:rPr>
      </w:pPr>
      <w:r>
        <w:rPr>
          <w:rFonts w:ascii="宋体" w:hAnsi="宋体" w:eastAsia="宋体" w:cs="宋体"/>
          <w:spacing w:val="6"/>
          <w:sz w:val="20"/>
          <w:szCs w:val="20"/>
        </w:rPr>
        <w:t>（4）合同条款及格式；</w:t>
      </w:r>
    </w:p>
    <w:p w14:paraId="376C885A">
      <w:pPr>
        <w:keepNext w:val="0"/>
        <w:keepLines w:val="0"/>
        <w:pageBreakBefore w:val="0"/>
        <w:kinsoku/>
        <w:wordWrap/>
        <w:overflowPunct/>
        <w:topLinePunct w:val="0"/>
        <w:bidi w:val="0"/>
        <w:spacing w:before="231" w:line="227" w:lineRule="auto"/>
        <w:ind w:left="436"/>
        <w:rPr>
          <w:rFonts w:ascii="宋体" w:hAnsi="宋体" w:eastAsia="宋体" w:cs="宋体"/>
          <w:sz w:val="20"/>
          <w:szCs w:val="20"/>
        </w:rPr>
      </w:pPr>
      <w:r>
        <w:rPr>
          <w:rFonts w:ascii="宋体" w:hAnsi="宋体" w:eastAsia="宋体" w:cs="宋体"/>
          <w:spacing w:val="5"/>
          <w:sz w:val="20"/>
          <w:szCs w:val="20"/>
        </w:rPr>
        <w:t>（5）采购需求；</w:t>
      </w:r>
    </w:p>
    <w:p w14:paraId="7B4C8E7D">
      <w:pPr>
        <w:keepNext w:val="0"/>
        <w:keepLines w:val="0"/>
        <w:pageBreakBefore w:val="0"/>
        <w:kinsoku/>
        <w:wordWrap/>
        <w:overflowPunct/>
        <w:topLinePunct w:val="0"/>
        <w:bidi w:val="0"/>
        <w:spacing w:before="227" w:line="228" w:lineRule="auto"/>
        <w:ind w:left="436"/>
        <w:rPr>
          <w:rFonts w:ascii="宋体" w:hAnsi="宋体" w:eastAsia="宋体" w:cs="宋体"/>
          <w:sz w:val="20"/>
          <w:szCs w:val="20"/>
        </w:rPr>
      </w:pPr>
      <w:r>
        <w:rPr>
          <w:rFonts w:ascii="宋体" w:hAnsi="宋体" w:eastAsia="宋体" w:cs="宋体"/>
          <w:spacing w:val="6"/>
          <w:sz w:val="20"/>
          <w:szCs w:val="20"/>
        </w:rPr>
        <w:t>（6）投标文件格式；</w:t>
      </w:r>
    </w:p>
    <w:p w14:paraId="42868F9C">
      <w:pPr>
        <w:keepNext w:val="0"/>
        <w:keepLines w:val="0"/>
        <w:pageBreakBefore w:val="0"/>
        <w:kinsoku/>
        <w:wordWrap/>
        <w:overflowPunct/>
        <w:topLinePunct w:val="0"/>
        <w:bidi w:val="0"/>
        <w:spacing w:before="230" w:line="439" w:lineRule="auto"/>
        <w:ind w:firstLine="425"/>
        <w:rPr>
          <w:rFonts w:ascii="宋体" w:hAnsi="宋体" w:eastAsia="宋体" w:cs="宋体"/>
          <w:sz w:val="20"/>
          <w:szCs w:val="20"/>
        </w:rPr>
      </w:pPr>
      <w:r>
        <w:rPr>
          <w:rFonts w:ascii="宋体" w:hAnsi="宋体" w:eastAsia="宋体" w:cs="宋体"/>
          <w:spacing w:val="9"/>
          <w:sz w:val="20"/>
          <w:szCs w:val="20"/>
        </w:rPr>
        <w:t>根据本章第</w:t>
      </w:r>
      <w:r>
        <w:rPr>
          <w:rFonts w:ascii="宋体" w:hAnsi="宋体" w:eastAsia="宋体" w:cs="宋体"/>
          <w:spacing w:val="-22"/>
          <w:sz w:val="20"/>
          <w:szCs w:val="20"/>
        </w:rPr>
        <w:t xml:space="preserve"> </w:t>
      </w:r>
      <w:r>
        <w:rPr>
          <w:rFonts w:ascii="宋体" w:hAnsi="宋体" w:eastAsia="宋体" w:cs="宋体"/>
          <w:spacing w:val="9"/>
          <w:sz w:val="20"/>
          <w:szCs w:val="20"/>
        </w:rPr>
        <w:t>1.10 款、第</w:t>
      </w:r>
      <w:r>
        <w:rPr>
          <w:rFonts w:ascii="宋体" w:hAnsi="宋体" w:eastAsia="宋体" w:cs="宋体"/>
          <w:spacing w:val="-34"/>
          <w:sz w:val="20"/>
          <w:szCs w:val="20"/>
        </w:rPr>
        <w:t xml:space="preserve"> </w:t>
      </w:r>
      <w:r>
        <w:rPr>
          <w:rFonts w:ascii="宋体" w:hAnsi="宋体" w:eastAsia="宋体" w:cs="宋体"/>
          <w:spacing w:val="9"/>
          <w:sz w:val="20"/>
          <w:szCs w:val="20"/>
        </w:rPr>
        <w:t>2.2 款和第</w:t>
      </w:r>
      <w:r>
        <w:rPr>
          <w:rFonts w:ascii="宋体" w:hAnsi="宋体" w:eastAsia="宋体" w:cs="宋体"/>
          <w:spacing w:val="-34"/>
          <w:sz w:val="20"/>
          <w:szCs w:val="20"/>
        </w:rPr>
        <w:t xml:space="preserve"> </w:t>
      </w:r>
      <w:r>
        <w:rPr>
          <w:rFonts w:ascii="宋体" w:hAnsi="宋体" w:eastAsia="宋体" w:cs="宋体"/>
          <w:spacing w:val="9"/>
          <w:sz w:val="20"/>
          <w:szCs w:val="20"/>
        </w:rPr>
        <w:t>2.3 款对招标文件所作的澄清、</w:t>
      </w:r>
      <w:r>
        <w:rPr>
          <w:rFonts w:ascii="宋体" w:hAnsi="宋体" w:eastAsia="宋体" w:cs="宋体"/>
          <w:spacing w:val="8"/>
          <w:sz w:val="20"/>
          <w:szCs w:val="20"/>
        </w:rPr>
        <w:t>修改，构成招标文件的组</w:t>
      </w:r>
      <w:r>
        <w:rPr>
          <w:rFonts w:ascii="宋体" w:hAnsi="宋体" w:eastAsia="宋体" w:cs="宋体"/>
          <w:spacing w:val="4"/>
          <w:sz w:val="20"/>
          <w:szCs w:val="20"/>
        </w:rPr>
        <w:t>成部分。</w:t>
      </w:r>
    </w:p>
    <w:p w14:paraId="7F68E3B4">
      <w:pPr>
        <w:keepNext w:val="0"/>
        <w:keepLines w:val="0"/>
        <w:pageBreakBefore w:val="0"/>
        <w:kinsoku/>
        <w:wordWrap/>
        <w:overflowPunct/>
        <w:topLinePunct w:val="0"/>
        <w:bidi w:val="0"/>
        <w:spacing w:before="1" w:line="227" w:lineRule="auto"/>
        <w:ind w:left="1"/>
        <w:rPr>
          <w:rFonts w:ascii="宋体" w:hAnsi="宋体" w:eastAsia="宋体" w:cs="宋体"/>
          <w:sz w:val="20"/>
          <w:szCs w:val="20"/>
        </w:rPr>
      </w:pPr>
      <w:r>
        <w:rPr>
          <w:rFonts w:ascii="宋体" w:hAnsi="宋体" w:eastAsia="宋体" w:cs="宋体"/>
          <w:b/>
          <w:bCs/>
          <w:spacing w:val="5"/>
          <w:sz w:val="20"/>
          <w:szCs w:val="20"/>
        </w:rPr>
        <w:t>2.2</w:t>
      </w:r>
      <w:r>
        <w:rPr>
          <w:rFonts w:ascii="宋体" w:hAnsi="宋体" w:eastAsia="宋体" w:cs="宋体"/>
          <w:spacing w:val="5"/>
          <w:sz w:val="20"/>
          <w:szCs w:val="20"/>
        </w:rPr>
        <w:t xml:space="preserve"> </w:t>
      </w:r>
      <w:r>
        <w:rPr>
          <w:rFonts w:ascii="宋体" w:hAnsi="宋体" w:eastAsia="宋体" w:cs="宋体"/>
          <w:b/>
          <w:bCs/>
          <w:spacing w:val="5"/>
          <w:sz w:val="20"/>
          <w:szCs w:val="20"/>
        </w:rPr>
        <w:t>招标文件的澄清</w:t>
      </w:r>
    </w:p>
    <w:p w14:paraId="3CD05FA2">
      <w:pPr>
        <w:keepNext w:val="0"/>
        <w:keepLines w:val="0"/>
        <w:pageBreakBefore w:val="0"/>
        <w:kinsoku/>
        <w:wordWrap/>
        <w:overflowPunct/>
        <w:topLinePunct w:val="0"/>
        <w:bidi w:val="0"/>
        <w:spacing w:before="230" w:line="439" w:lineRule="auto"/>
        <w:ind w:firstLine="428"/>
        <w:rPr>
          <w:rFonts w:ascii="宋体" w:hAnsi="宋体" w:eastAsia="宋体" w:cs="宋体"/>
          <w:sz w:val="20"/>
          <w:szCs w:val="20"/>
        </w:rPr>
      </w:pPr>
      <w:r>
        <w:rPr>
          <w:rFonts w:ascii="宋体" w:hAnsi="宋体" w:eastAsia="宋体" w:cs="宋体"/>
          <w:spacing w:val="8"/>
          <w:sz w:val="20"/>
          <w:szCs w:val="20"/>
        </w:rPr>
        <w:t>2.2.1</w:t>
      </w:r>
      <w:r>
        <w:rPr>
          <w:rFonts w:ascii="宋体" w:hAnsi="宋体" w:eastAsia="宋体" w:cs="宋体"/>
          <w:spacing w:val="-33"/>
          <w:sz w:val="20"/>
          <w:szCs w:val="20"/>
        </w:rPr>
        <w:t xml:space="preserve"> </w:t>
      </w:r>
      <w:r>
        <w:rPr>
          <w:rFonts w:ascii="宋体" w:hAnsi="宋体" w:eastAsia="宋体" w:cs="宋体"/>
          <w:spacing w:val="8"/>
          <w:sz w:val="20"/>
          <w:szCs w:val="20"/>
        </w:rPr>
        <w:t>投标人应仔细阅读和检查招标文件的全部内容。如发现缺页或附件不全，应及时向采购人提出，以便补齐。如有疑问，应在投标人须知前附表规定的时间前在交易平台上进行提问，</w:t>
      </w:r>
      <w:r>
        <w:rPr>
          <w:rFonts w:ascii="宋体" w:hAnsi="宋体" w:eastAsia="宋体" w:cs="宋体"/>
          <w:spacing w:val="7"/>
          <w:sz w:val="20"/>
          <w:szCs w:val="20"/>
        </w:rPr>
        <w:t>要求采购</w:t>
      </w:r>
      <w:r>
        <w:rPr>
          <w:rFonts w:ascii="宋体" w:hAnsi="宋体" w:eastAsia="宋体" w:cs="宋体"/>
          <w:spacing w:val="8"/>
          <w:sz w:val="20"/>
          <w:szCs w:val="20"/>
        </w:rPr>
        <w:t>人对招标文件予以澄清。</w:t>
      </w:r>
    </w:p>
    <w:p w14:paraId="5E6CADE1">
      <w:pPr>
        <w:keepNext w:val="0"/>
        <w:keepLines w:val="0"/>
        <w:pageBreakBefore w:val="0"/>
        <w:kinsoku/>
        <w:wordWrap/>
        <w:overflowPunct/>
        <w:topLinePunct w:val="0"/>
        <w:bidi w:val="0"/>
        <w:spacing w:before="2" w:line="437" w:lineRule="auto"/>
        <w:ind w:firstLine="428"/>
        <w:rPr>
          <w:rFonts w:ascii="宋体" w:hAnsi="宋体" w:eastAsia="宋体" w:cs="宋体"/>
          <w:sz w:val="20"/>
          <w:szCs w:val="20"/>
        </w:rPr>
      </w:pPr>
      <w:r>
        <w:rPr>
          <w:rFonts w:ascii="宋体" w:hAnsi="宋体" w:eastAsia="宋体" w:cs="宋体"/>
          <w:spacing w:val="8"/>
          <w:sz w:val="20"/>
          <w:szCs w:val="20"/>
        </w:rPr>
        <w:t>2.2.2 招标文件的澄清将在投标人须知前附表规定的投标截止时间</w:t>
      </w:r>
      <w:r>
        <w:rPr>
          <w:rFonts w:ascii="宋体" w:hAnsi="宋体" w:eastAsia="宋体" w:cs="宋体"/>
          <w:spacing w:val="-5"/>
          <w:sz w:val="20"/>
          <w:szCs w:val="20"/>
        </w:rPr>
        <w:t xml:space="preserve"> </w:t>
      </w:r>
      <w:r>
        <w:rPr>
          <w:rFonts w:ascii="宋体" w:hAnsi="宋体" w:eastAsia="宋体" w:cs="宋体"/>
          <w:spacing w:val="8"/>
          <w:sz w:val="20"/>
          <w:szCs w:val="20"/>
        </w:rPr>
        <w:t>15</w:t>
      </w:r>
      <w:r>
        <w:rPr>
          <w:rFonts w:ascii="宋体" w:hAnsi="宋体" w:eastAsia="宋体" w:cs="宋体"/>
          <w:spacing w:val="-36"/>
          <w:sz w:val="20"/>
          <w:szCs w:val="20"/>
        </w:rPr>
        <w:t xml:space="preserve"> </w:t>
      </w:r>
      <w:r>
        <w:rPr>
          <w:rFonts w:ascii="宋体" w:hAnsi="宋体" w:eastAsia="宋体" w:cs="宋体"/>
          <w:spacing w:val="8"/>
          <w:sz w:val="20"/>
          <w:szCs w:val="20"/>
        </w:rPr>
        <w:t>天前在交易平台上发给所</w:t>
      </w:r>
      <w:r>
        <w:rPr>
          <w:rFonts w:ascii="宋体" w:hAnsi="宋体" w:eastAsia="宋体" w:cs="宋体"/>
          <w:spacing w:val="9"/>
          <w:sz w:val="20"/>
          <w:szCs w:val="20"/>
        </w:rPr>
        <w:t>有购买招标文件的投标人，但不指明澄清问题的来源。</w:t>
      </w:r>
    </w:p>
    <w:p w14:paraId="4327FD00">
      <w:pPr>
        <w:keepNext w:val="0"/>
        <w:keepLines w:val="0"/>
        <w:pageBreakBefore w:val="0"/>
        <w:kinsoku/>
        <w:wordWrap/>
        <w:overflowPunct/>
        <w:topLinePunct w:val="0"/>
        <w:bidi w:val="0"/>
        <w:spacing w:before="1" w:line="439" w:lineRule="auto"/>
        <w:ind w:left="2" w:firstLine="426"/>
        <w:rPr>
          <w:rFonts w:ascii="宋体" w:hAnsi="宋体" w:eastAsia="宋体" w:cs="宋体"/>
          <w:sz w:val="20"/>
          <w:szCs w:val="20"/>
        </w:rPr>
      </w:pPr>
      <w:r>
        <w:rPr>
          <w:rFonts w:ascii="宋体" w:hAnsi="宋体" w:eastAsia="宋体" w:cs="宋体"/>
          <w:spacing w:val="7"/>
          <w:sz w:val="20"/>
          <w:szCs w:val="20"/>
        </w:rPr>
        <w:t>2.2.3 投标人在收到澄清后，应在投标人须知前附表规定的时间内在交易平台上回复确认已收到</w:t>
      </w:r>
      <w:r>
        <w:rPr>
          <w:rFonts w:ascii="宋体" w:hAnsi="宋体" w:eastAsia="宋体" w:cs="宋体"/>
          <w:spacing w:val="4"/>
          <w:sz w:val="20"/>
          <w:szCs w:val="20"/>
        </w:rPr>
        <w:t>该澄清。</w:t>
      </w:r>
    </w:p>
    <w:p w14:paraId="67861A3E">
      <w:pPr>
        <w:keepNext w:val="0"/>
        <w:keepLines w:val="0"/>
        <w:pageBreakBefore w:val="0"/>
        <w:kinsoku/>
        <w:wordWrap/>
        <w:overflowPunct/>
        <w:topLinePunct w:val="0"/>
        <w:bidi w:val="0"/>
        <w:spacing w:line="227" w:lineRule="auto"/>
        <w:ind w:left="1"/>
        <w:rPr>
          <w:rFonts w:ascii="宋体" w:hAnsi="宋体" w:eastAsia="宋体" w:cs="宋体"/>
          <w:sz w:val="20"/>
          <w:szCs w:val="20"/>
        </w:rPr>
      </w:pPr>
      <w:r>
        <w:rPr>
          <w:rFonts w:ascii="宋体" w:hAnsi="宋体" w:eastAsia="宋体" w:cs="宋体"/>
          <w:b/>
          <w:bCs/>
          <w:spacing w:val="5"/>
          <w:sz w:val="20"/>
          <w:szCs w:val="20"/>
        </w:rPr>
        <w:t>2.3</w:t>
      </w:r>
      <w:r>
        <w:rPr>
          <w:rFonts w:ascii="宋体" w:hAnsi="宋体" w:eastAsia="宋体" w:cs="宋体"/>
          <w:spacing w:val="5"/>
          <w:sz w:val="20"/>
          <w:szCs w:val="20"/>
        </w:rPr>
        <w:t xml:space="preserve"> </w:t>
      </w:r>
      <w:r>
        <w:rPr>
          <w:rFonts w:ascii="宋体" w:hAnsi="宋体" w:eastAsia="宋体" w:cs="宋体"/>
          <w:b/>
          <w:bCs/>
          <w:spacing w:val="5"/>
          <w:sz w:val="20"/>
          <w:szCs w:val="20"/>
        </w:rPr>
        <w:t>招标文件的修改</w:t>
      </w:r>
    </w:p>
    <w:p w14:paraId="4862A460">
      <w:pPr>
        <w:keepNext w:val="0"/>
        <w:keepLines w:val="0"/>
        <w:pageBreakBefore w:val="0"/>
        <w:kinsoku/>
        <w:wordWrap/>
        <w:overflowPunct/>
        <w:topLinePunct w:val="0"/>
        <w:bidi w:val="0"/>
        <w:spacing w:before="228" w:line="439" w:lineRule="auto"/>
        <w:ind w:firstLine="428"/>
        <w:rPr>
          <w:rFonts w:ascii="宋体" w:hAnsi="宋体" w:eastAsia="宋体" w:cs="宋体"/>
          <w:sz w:val="20"/>
          <w:szCs w:val="20"/>
        </w:rPr>
      </w:pPr>
      <w:r>
        <w:rPr>
          <w:rFonts w:ascii="宋体" w:hAnsi="宋体" w:eastAsia="宋体" w:cs="宋体"/>
          <w:spacing w:val="8"/>
          <w:sz w:val="20"/>
          <w:szCs w:val="20"/>
        </w:rPr>
        <w:t>2.3.1 在投标截止时间</w:t>
      </w:r>
      <w:r>
        <w:rPr>
          <w:rFonts w:ascii="宋体" w:hAnsi="宋体" w:eastAsia="宋体" w:cs="宋体"/>
          <w:spacing w:val="-5"/>
          <w:sz w:val="20"/>
          <w:szCs w:val="20"/>
        </w:rPr>
        <w:t xml:space="preserve"> </w:t>
      </w:r>
      <w:r>
        <w:rPr>
          <w:rFonts w:ascii="宋体" w:hAnsi="宋体" w:eastAsia="宋体" w:cs="宋体"/>
          <w:spacing w:val="8"/>
          <w:sz w:val="20"/>
          <w:szCs w:val="20"/>
        </w:rPr>
        <w:t>15</w:t>
      </w:r>
      <w:r>
        <w:rPr>
          <w:rFonts w:ascii="宋体" w:hAnsi="宋体" w:eastAsia="宋体" w:cs="宋体"/>
          <w:spacing w:val="-36"/>
          <w:sz w:val="20"/>
          <w:szCs w:val="20"/>
        </w:rPr>
        <w:t xml:space="preserve"> </w:t>
      </w:r>
      <w:r>
        <w:rPr>
          <w:rFonts w:ascii="宋体" w:hAnsi="宋体" w:eastAsia="宋体" w:cs="宋体"/>
          <w:spacing w:val="8"/>
          <w:sz w:val="20"/>
          <w:szCs w:val="20"/>
        </w:rPr>
        <w:t>天前，采购人可以修改招标文件。如有修改，应在交易平台上发给所有购买招标文件的投标人。</w:t>
      </w:r>
    </w:p>
    <w:p w14:paraId="2A31A02C">
      <w:pPr>
        <w:keepNext w:val="0"/>
        <w:keepLines w:val="0"/>
        <w:pageBreakBefore w:val="0"/>
        <w:kinsoku/>
        <w:wordWrap/>
        <w:overflowPunct/>
        <w:topLinePunct w:val="0"/>
        <w:bidi w:val="0"/>
        <w:spacing w:before="1" w:line="442" w:lineRule="auto"/>
        <w:ind w:left="4" w:firstLine="424"/>
        <w:rPr>
          <w:rFonts w:ascii="宋体" w:hAnsi="宋体" w:eastAsia="宋体" w:cs="宋体"/>
          <w:sz w:val="20"/>
          <w:szCs w:val="20"/>
        </w:rPr>
      </w:pPr>
      <w:r>
        <w:rPr>
          <w:rFonts w:ascii="宋体" w:hAnsi="宋体" w:eastAsia="宋体" w:cs="宋体"/>
          <w:spacing w:val="7"/>
          <w:sz w:val="20"/>
          <w:szCs w:val="20"/>
        </w:rPr>
        <w:t>2.3.2 投标人收到修改内容后，应在投标人须知前附表规定的时间内在交易平台上回复确认已收</w:t>
      </w:r>
      <w:r>
        <w:rPr>
          <w:rFonts w:ascii="宋体" w:hAnsi="宋体" w:eastAsia="宋体" w:cs="宋体"/>
          <w:spacing w:val="4"/>
          <w:sz w:val="20"/>
          <w:szCs w:val="20"/>
        </w:rPr>
        <w:t>到该修改。</w:t>
      </w:r>
    </w:p>
    <w:p w14:paraId="3D03F524">
      <w:pPr>
        <w:keepNext w:val="0"/>
        <w:keepLines w:val="0"/>
        <w:pageBreakBefore w:val="0"/>
        <w:kinsoku/>
        <w:wordWrap/>
        <w:overflowPunct/>
        <w:topLinePunct w:val="0"/>
        <w:bidi w:val="0"/>
        <w:spacing w:before="219" w:line="220" w:lineRule="auto"/>
        <w:ind w:left="3876"/>
        <w:outlineLvl w:val="1"/>
        <w:rPr>
          <w:rFonts w:ascii="宋体" w:hAnsi="宋体" w:eastAsia="宋体" w:cs="宋体"/>
          <w:sz w:val="28"/>
          <w:szCs w:val="28"/>
        </w:rPr>
      </w:pPr>
      <w:bookmarkStart w:id="13" w:name="bookmark19"/>
      <w:bookmarkEnd w:id="13"/>
      <w:bookmarkStart w:id="14" w:name="_Toc8118"/>
      <w:r>
        <w:rPr>
          <w:rFonts w:ascii="宋体" w:hAnsi="宋体" w:eastAsia="宋体" w:cs="宋体"/>
          <w:b/>
          <w:bCs/>
          <w:spacing w:val="-3"/>
          <w:sz w:val="28"/>
          <w:szCs w:val="28"/>
        </w:rPr>
        <w:br w:type="page"/>
      </w:r>
      <w:r>
        <w:rPr>
          <w:rFonts w:ascii="宋体" w:hAnsi="宋体" w:eastAsia="宋体" w:cs="宋体"/>
          <w:b/>
          <w:bCs/>
          <w:spacing w:val="-3"/>
          <w:sz w:val="28"/>
          <w:szCs w:val="28"/>
        </w:rPr>
        <w:t>3.投标文件</w:t>
      </w:r>
      <w:bookmarkEnd w:id="14"/>
    </w:p>
    <w:p w14:paraId="63A1D902">
      <w:pPr>
        <w:keepNext w:val="0"/>
        <w:keepLines w:val="0"/>
        <w:pageBreakBefore w:val="0"/>
        <w:kinsoku/>
        <w:wordWrap/>
        <w:overflowPunct/>
        <w:topLinePunct w:val="0"/>
        <w:bidi w:val="0"/>
        <w:spacing w:before="255" w:line="228" w:lineRule="auto"/>
        <w:ind w:left="3"/>
        <w:rPr>
          <w:rFonts w:ascii="宋体" w:hAnsi="宋体" w:eastAsia="宋体" w:cs="宋体"/>
          <w:sz w:val="20"/>
          <w:szCs w:val="20"/>
        </w:rPr>
      </w:pPr>
      <w:r>
        <w:rPr>
          <w:rFonts w:ascii="宋体" w:hAnsi="宋体" w:eastAsia="宋体" w:cs="宋体"/>
          <w:b/>
          <w:bCs/>
          <w:spacing w:val="4"/>
          <w:sz w:val="20"/>
          <w:szCs w:val="20"/>
        </w:rPr>
        <w:t>3.1</w:t>
      </w:r>
      <w:r>
        <w:rPr>
          <w:rFonts w:ascii="宋体" w:hAnsi="宋体" w:eastAsia="宋体" w:cs="宋体"/>
          <w:spacing w:val="-31"/>
          <w:sz w:val="20"/>
          <w:szCs w:val="20"/>
        </w:rPr>
        <w:t xml:space="preserve"> </w:t>
      </w:r>
      <w:r>
        <w:rPr>
          <w:rFonts w:ascii="宋体" w:hAnsi="宋体" w:eastAsia="宋体" w:cs="宋体"/>
          <w:b/>
          <w:bCs/>
          <w:spacing w:val="4"/>
          <w:sz w:val="20"/>
          <w:szCs w:val="20"/>
        </w:rPr>
        <w:t>投标文件的组成</w:t>
      </w:r>
    </w:p>
    <w:p w14:paraId="0CDEC645">
      <w:pPr>
        <w:keepNext w:val="0"/>
        <w:keepLines w:val="0"/>
        <w:pageBreakBefore w:val="0"/>
        <w:kinsoku/>
        <w:wordWrap/>
        <w:overflowPunct/>
        <w:topLinePunct w:val="0"/>
        <w:bidi w:val="0"/>
        <w:spacing w:before="228" w:line="227" w:lineRule="auto"/>
        <w:ind w:left="429"/>
        <w:rPr>
          <w:rFonts w:ascii="宋体" w:hAnsi="宋体" w:eastAsia="宋体" w:cs="宋体"/>
          <w:sz w:val="20"/>
          <w:szCs w:val="20"/>
        </w:rPr>
      </w:pPr>
      <w:r>
        <w:rPr>
          <w:rFonts w:ascii="宋体" w:hAnsi="宋体" w:eastAsia="宋体" w:cs="宋体"/>
          <w:spacing w:val="8"/>
          <w:sz w:val="20"/>
          <w:szCs w:val="20"/>
        </w:rPr>
        <w:t>一、投标函及投标函附录</w:t>
      </w:r>
    </w:p>
    <w:p w14:paraId="12C5A2EE">
      <w:pPr>
        <w:keepNext w:val="0"/>
        <w:keepLines w:val="0"/>
        <w:pageBreakBefore w:val="0"/>
        <w:kinsoku/>
        <w:wordWrap/>
        <w:overflowPunct/>
        <w:topLinePunct w:val="0"/>
        <w:bidi w:val="0"/>
        <w:spacing w:before="231" w:line="227" w:lineRule="auto"/>
        <w:ind w:left="429"/>
        <w:rPr>
          <w:rFonts w:ascii="宋体" w:hAnsi="宋体" w:eastAsia="宋体" w:cs="宋体"/>
          <w:sz w:val="20"/>
          <w:szCs w:val="20"/>
        </w:rPr>
      </w:pPr>
      <w:r>
        <w:rPr>
          <w:rFonts w:ascii="宋体" w:hAnsi="宋体" w:eastAsia="宋体" w:cs="宋体"/>
          <w:spacing w:val="9"/>
          <w:sz w:val="20"/>
          <w:szCs w:val="20"/>
        </w:rPr>
        <w:t>二、法定代表人（单位负责人）身份证明或授权委托书</w:t>
      </w:r>
    </w:p>
    <w:p w14:paraId="546C490A">
      <w:pPr>
        <w:keepNext w:val="0"/>
        <w:keepLines w:val="0"/>
        <w:pageBreakBefore w:val="0"/>
        <w:kinsoku/>
        <w:wordWrap/>
        <w:overflowPunct/>
        <w:topLinePunct w:val="0"/>
        <w:bidi w:val="0"/>
        <w:spacing w:before="227" w:line="228" w:lineRule="auto"/>
        <w:ind w:left="426"/>
        <w:rPr>
          <w:rFonts w:ascii="宋体" w:hAnsi="宋体" w:eastAsia="宋体" w:cs="宋体"/>
          <w:sz w:val="20"/>
          <w:szCs w:val="20"/>
        </w:rPr>
      </w:pPr>
      <w:r>
        <w:rPr>
          <w:rFonts w:ascii="宋体" w:hAnsi="宋体" w:eastAsia="宋体" w:cs="宋体"/>
          <w:spacing w:val="8"/>
          <w:sz w:val="20"/>
          <w:szCs w:val="20"/>
        </w:rPr>
        <w:t>三、投标承诺函</w:t>
      </w:r>
    </w:p>
    <w:p w14:paraId="48A8DBFF">
      <w:pPr>
        <w:keepNext w:val="0"/>
        <w:keepLines w:val="0"/>
        <w:pageBreakBefore w:val="0"/>
        <w:kinsoku/>
        <w:wordWrap/>
        <w:overflowPunct/>
        <w:topLinePunct w:val="0"/>
        <w:bidi w:val="0"/>
        <w:spacing w:before="231" w:line="227" w:lineRule="auto"/>
        <w:ind w:left="446"/>
        <w:rPr>
          <w:rFonts w:ascii="宋体" w:hAnsi="宋体" w:eastAsia="宋体" w:cs="宋体"/>
          <w:sz w:val="20"/>
          <w:szCs w:val="20"/>
        </w:rPr>
      </w:pPr>
      <w:r>
        <w:rPr>
          <w:rFonts w:ascii="宋体" w:hAnsi="宋体" w:eastAsia="宋体" w:cs="宋体"/>
          <w:spacing w:val="7"/>
          <w:sz w:val="20"/>
          <w:szCs w:val="20"/>
        </w:rPr>
        <w:t>四、商务和采购需求响应表</w:t>
      </w:r>
    </w:p>
    <w:p w14:paraId="5492F568">
      <w:pPr>
        <w:keepNext w:val="0"/>
        <w:keepLines w:val="0"/>
        <w:pageBreakBefore w:val="0"/>
        <w:kinsoku/>
        <w:wordWrap/>
        <w:overflowPunct/>
        <w:topLinePunct w:val="0"/>
        <w:bidi w:val="0"/>
        <w:spacing w:before="229" w:line="228" w:lineRule="auto"/>
        <w:ind w:left="429"/>
        <w:rPr>
          <w:rFonts w:ascii="宋体" w:hAnsi="宋体" w:eastAsia="宋体" w:cs="宋体"/>
          <w:sz w:val="20"/>
          <w:szCs w:val="20"/>
        </w:rPr>
      </w:pPr>
      <w:r>
        <w:rPr>
          <w:rFonts w:ascii="宋体" w:hAnsi="宋体" w:eastAsia="宋体" w:cs="宋体"/>
          <w:spacing w:val="8"/>
          <w:sz w:val="20"/>
          <w:szCs w:val="20"/>
        </w:rPr>
        <w:t>五、资格证明文件</w:t>
      </w:r>
    </w:p>
    <w:p w14:paraId="0F1D70B9">
      <w:pPr>
        <w:keepNext w:val="0"/>
        <w:keepLines w:val="0"/>
        <w:pageBreakBefore w:val="0"/>
        <w:kinsoku/>
        <w:wordWrap/>
        <w:overflowPunct/>
        <w:topLinePunct w:val="0"/>
        <w:bidi w:val="0"/>
        <w:spacing w:before="228" w:line="227" w:lineRule="auto"/>
        <w:ind w:left="428"/>
        <w:rPr>
          <w:rFonts w:ascii="宋体" w:hAnsi="宋体" w:eastAsia="宋体" w:cs="宋体"/>
          <w:sz w:val="20"/>
          <w:szCs w:val="20"/>
        </w:rPr>
      </w:pPr>
      <w:r>
        <w:rPr>
          <w:rFonts w:ascii="宋体" w:hAnsi="宋体" w:eastAsia="宋体" w:cs="宋体"/>
          <w:spacing w:val="9"/>
          <w:sz w:val="20"/>
          <w:szCs w:val="20"/>
        </w:rPr>
        <w:t>六、技术标部分证明材料</w:t>
      </w:r>
    </w:p>
    <w:p w14:paraId="44DCE8E2">
      <w:pPr>
        <w:keepNext w:val="0"/>
        <w:keepLines w:val="0"/>
        <w:pageBreakBefore w:val="0"/>
        <w:kinsoku/>
        <w:wordWrap/>
        <w:overflowPunct/>
        <w:topLinePunct w:val="0"/>
        <w:bidi w:val="0"/>
        <w:spacing w:before="229" w:line="227" w:lineRule="auto"/>
        <w:ind w:left="425"/>
        <w:rPr>
          <w:rFonts w:ascii="宋体" w:hAnsi="宋体" w:eastAsia="宋体" w:cs="宋体"/>
          <w:sz w:val="20"/>
          <w:szCs w:val="20"/>
        </w:rPr>
      </w:pPr>
      <w:r>
        <w:rPr>
          <w:rFonts w:ascii="宋体" w:hAnsi="宋体" w:eastAsia="宋体" w:cs="宋体"/>
          <w:spacing w:val="9"/>
          <w:sz w:val="20"/>
          <w:szCs w:val="20"/>
        </w:rPr>
        <w:t>七、综合标部分证明材料</w:t>
      </w:r>
    </w:p>
    <w:p w14:paraId="2DD2529A">
      <w:pPr>
        <w:keepNext w:val="0"/>
        <w:keepLines w:val="0"/>
        <w:pageBreakBefore w:val="0"/>
        <w:kinsoku/>
        <w:wordWrap/>
        <w:overflowPunct/>
        <w:topLinePunct w:val="0"/>
        <w:bidi w:val="0"/>
        <w:spacing w:before="230" w:line="227" w:lineRule="auto"/>
        <w:ind w:left="429"/>
        <w:rPr>
          <w:rFonts w:ascii="宋体" w:hAnsi="宋体" w:eastAsia="宋体" w:cs="宋体"/>
          <w:sz w:val="20"/>
          <w:szCs w:val="20"/>
        </w:rPr>
      </w:pPr>
      <w:r>
        <w:rPr>
          <w:rFonts w:ascii="宋体" w:hAnsi="宋体" w:eastAsia="宋体" w:cs="宋体"/>
          <w:spacing w:val="8"/>
          <w:sz w:val="20"/>
          <w:szCs w:val="20"/>
        </w:rPr>
        <w:t>八、反商业贿赂承诺书</w:t>
      </w:r>
    </w:p>
    <w:p w14:paraId="41ECDBDF">
      <w:pPr>
        <w:keepNext w:val="0"/>
        <w:keepLines w:val="0"/>
        <w:pageBreakBefore w:val="0"/>
        <w:kinsoku/>
        <w:wordWrap/>
        <w:overflowPunct/>
        <w:topLinePunct w:val="0"/>
        <w:bidi w:val="0"/>
        <w:spacing w:before="229" w:line="227" w:lineRule="auto"/>
        <w:ind w:left="431"/>
        <w:rPr>
          <w:rFonts w:ascii="宋体" w:hAnsi="宋体" w:eastAsia="宋体" w:cs="宋体"/>
          <w:sz w:val="20"/>
          <w:szCs w:val="20"/>
        </w:rPr>
      </w:pPr>
      <w:r>
        <w:rPr>
          <w:rFonts w:ascii="宋体" w:hAnsi="宋体" w:eastAsia="宋体" w:cs="宋体"/>
          <w:spacing w:val="9"/>
          <w:sz w:val="20"/>
          <w:szCs w:val="20"/>
        </w:rPr>
        <w:t>九、投标人认为需要提交的其他证明材料</w:t>
      </w:r>
    </w:p>
    <w:p w14:paraId="2013EADD">
      <w:pPr>
        <w:keepNext w:val="0"/>
        <w:keepLines w:val="0"/>
        <w:pageBreakBefore w:val="0"/>
        <w:kinsoku/>
        <w:wordWrap/>
        <w:overflowPunct/>
        <w:topLinePunct w:val="0"/>
        <w:bidi w:val="0"/>
        <w:spacing w:before="232" w:line="438" w:lineRule="auto"/>
        <w:ind w:left="1" w:right="68" w:firstLine="427"/>
        <w:rPr>
          <w:rFonts w:ascii="宋体" w:hAnsi="宋体" w:eastAsia="宋体" w:cs="宋体"/>
          <w:sz w:val="20"/>
          <w:szCs w:val="20"/>
        </w:rPr>
      </w:pPr>
      <w:r>
        <w:rPr>
          <w:rFonts w:ascii="宋体" w:hAnsi="宋体" w:eastAsia="宋体" w:cs="宋体"/>
          <w:spacing w:val="13"/>
          <w:sz w:val="20"/>
          <w:szCs w:val="20"/>
        </w:rPr>
        <w:t>投标人在评标过程中作出的符合法律法规和招标文件规定的澄清确</w:t>
      </w:r>
      <w:r>
        <w:rPr>
          <w:rFonts w:ascii="宋体" w:hAnsi="宋体" w:eastAsia="宋体" w:cs="宋体"/>
          <w:spacing w:val="12"/>
          <w:sz w:val="20"/>
          <w:szCs w:val="20"/>
        </w:rPr>
        <w:t>认，构成投标文件的组成部</w:t>
      </w:r>
      <w:r>
        <w:rPr>
          <w:rFonts w:ascii="宋体" w:hAnsi="宋体" w:eastAsia="宋体" w:cs="宋体"/>
          <w:spacing w:val="-1"/>
          <w:sz w:val="20"/>
          <w:szCs w:val="20"/>
        </w:rPr>
        <w:t>分。</w:t>
      </w:r>
    </w:p>
    <w:p w14:paraId="3719AF55">
      <w:pPr>
        <w:keepNext w:val="0"/>
        <w:keepLines w:val="0"/>
        <w:pageBreakBefore w:val="0"/>
        <w:kinsoku/>
        <w:wordWrap/>
        <w:overflowPunct/>
        <w:topLinePunct w:val="0"/>
        <w:bidi w:val="0"/>
        <w:spacing w:before="1" w:line="226" w:lineRule="auto"/>
        <w:ind w:left="3"/>
        <w:rPr>
          <w:rFonts w:ascii="宋体" w:hAnsi="宋体" w:eastAsia="宋体" w:cs="宋体"/>
          <w:sz w:val="20"/>
          <w:szCs w:val="20"/>
        </w:rPr>
      </w:pPr>
      <w:r>
        <w:rPr>
          <w:rFonts w:ascii="宋体" w:hAnsi="宋体" w:eastAsia="宋体" w:cs="宋体"/>
          <w:b/>
          <w:bCs/>
          <w:spacing w:val="3"/>
          <w:sz w:val="20"/>
          <w:szCs w:val="20"/>
        </w:rPr>
        <w:t>3.2</w:t>
      </w:r>
      <w:r>
        <w:rPr>
          <w:rFonts w:ascii="宋体" w:hAnsi="宋体" w:eastAsia="宋体" w:cs="宋体"/>
          <w:spacing w:val="15"/>
          <w:sz w:val="20"/>
          <w:szCs w:val="20"/>
        </w:rPr>
        <w:t xml:space="preserve"> </w:t>
      </w:r>
      <w:r>
        <w:rPr>
          <w:rFonts w:ascii="宋体" w:hAnsi="宋体" w:eastAsia="宋体" w:cs="宋体"/>
          <w:b/>
          <w:bCs/>
          <w:spacing w:val="3"/>
          <w:sz w:val="20"/>
          <w:szCs w:val="20"/>
        </w:rPr>
        <w:t>投标报价</w:t>
      </w:r>
    </w:p>
    <w:p w14:paraId="73E65E70">
      <w:pPr>
        <w:keepNext w:val="0"/>
        <w:keepLines w:val="0"/>
        <w:pageBreakBefore w:val="0"/>
        <w:kinsoku/>
        <w:wordWrap/>
        <w:overflowPunct/>
        <w:topLinePunct w:val="0"/>
        <w:bidi w:val="0"/>
        <w:spacing w:before="229" w:line="439" w:lineRule="auto"/>
        <w:ind w:left="1" w:firstLine="428"/>
        <w:rPr>
          <w:rFonts w:ascii="宋体" w:hAnsi="宋体" w:eastAsia="宋体" w:cs="宋体"/>
          <w:sz w:val="20"/>
          <w:szCs w:val="20"/>
        </w:rPr>
      </w:pPr>
      <w:r>
        <w:rPr>
          <w:rFonts w:ascii="宋体" w:hAnsi="宋体" w:eastAsia="宋体" w:cs="宋体"/>
          <w:spacing w:val="7"/>
          <w:sz w:val="20"/>
          <w:szCs w:val="20"/>
        </w:rPr>
        <w:t>3.2.1 投标报价应包括国家规定的增值税税金，除投标人须知前附表另有规定外，增值税税金按</w:t>
      </w:r>
      <w:r>
        <w:rPr>
          <w:rFonts w:ascii="宋体" w:hAnsi="宋体" w:eastAsia="宋体" w:cs="宋体"/>
          <w:spacing w:val="4"/>
          <w:sz w:val="20"/>
          <w:szCs w:val="20"/>
        </w:rPr>
        <w:t>一般计税方法计算。投标人应按第六章“投标文件格式</w:t>
      </w:r>
      <w:r>
        <w:rPr>
          <w:rFonts w:ascii="宋体" w:hAnsi="宋体" w:eastAsia="宋体" w:cs="宋体"/>
          <w:spacing w:val="-63"/>
          <w:sz w:val="20"/>
          <w:szCs w:val="20"/>
        </w:rPr>
        <w:t xml:space="preserve"> </w:t>
      </w:r>
      <w:r>
        <w:rPr>
          <w:rFonts w:ascii="宋体" w:hAnsi="宋体" w:eastAsia="宋体" w:cs="宋体"/>
          <w:spacing w:val="4"/>
          <w:sz w:val="20"/>
          <w:szCs w:val="20"/>
        </w:rPr>
        <w:t>”的要求在投标函中进行报价。</w:t>
      </w:r>
      <w:r>
        <w:rPr>
          <w:rFonts w:ascii="宋体" w:hAnsi="宋体" w:eastAsia="宋体" w:cs="宋体"/>
          <w:spacing w:val="9"/>
          <w:sz w:val="20"/>
          <w:szCs w:val="20"/>
        </w:rPr>
        <w:t>投标货币投标文件中投标报价全部采用人民币表</w:t>
      </w:r>
      <w:r>
        <w:rPr>
          <w:rFonts w:ascii="宋体" w:hAnsi="宋体" w:eastAsia="宋体" w:cs="宋体"/>
          <w:spacing w:val="8"/>
          <w:sz w:val="20"/>
          <w:szCs w:val="20"/>
        </w:rPr>
        <w:t>示。</w:t>
      </w:r>
    </w:p>
    <w:p w14:paraId="47E20C54">
      <w:pPr>
        <w:keepNext w:val="0"/>
        <w:keepLines w:val="0"/>
        <w:pageBreakBefore w:val="0"/>
        <w:kinsoku/>
        <w:wordWrap/>
        <w:overflowPunct/>
        <w:topLinePunct w:val="0"/>
        <w:bidi w:val="0"/>
        <w:spacing w:line="226" w:lineRule="auto"/>
        <w:ind w:left="430"/>
        <w:rPr>
          <w:rFonts w:ascii="宋体" w:hAnsi="宋体" w:eastAsia="宋体" w:cs="宋体"/>
          <w:sz w:val="20"/>
          <w:szCs w:val="20"/>
        </w:rPr>
      </w:pPr>
      <w:r>
        <w:rPr>
          <w:rFonts w:ascii="宋体" w:hAnsi="宋体" w:eastAsia="宋体" w:cs="宋体"/>
          <w:spacing w:val="4"/>
          <w:sz w:val="20"/>
          <w:szCs w:val="20"/>
        </w:rPr>
        <w:t>3.2.2</w:t>
      </w:r>
      <w:r>
        <w:rPr>
          <w:rFonts w:ascii="宋体" w:hAnsi="宋体" w:eastAsia="宋体" w:cs="宋体"/>
          <w:spacing w:val="-36"/>
          <w:sz w:val="20"/>
          <w:szCs w:val="20"/>
        </w:rPr>
        <w:t xml:space="preserve"> </w:t>
      </w:r>
      <w:r>
        <w:rPr>
          <w:rFonts w:ascii="宋体" w:hAnsi="宋体" w:eastAsia="宋体" w:cs="宋体"/>
          <w:spacing w:val="4"/>
          <w:sz w:val="20"/>
          <w:szCs w:val="20"/>
        </w:rPr>
        <w:t>投标报价</w:t>
      </w:r>
    </w:p>
    <w:p w14:paraId="0F3F29E4">
      <w:pPr>
        <w:keepNext w:val="0"/>
        <w:keepLines w:val="0"/>
        <w:pageBreakBefore w:val="0"/>
        <w:kinsoku/>
        <w:wordWrap/>
        <w:overflowPunct/>
        <w:topLinePunct w:val="0"/>
        <w:bidi w:val="0"/>
        <w:spacing w:before="232" w:line="439" w:lineRule="auto"/>
        <w:ind w:right="70" w:firstLine="436"/>
        <w:rPr>
          <w:rFonts w:ascii="宋体" w:hAnsi="宋体" w:eastAsia="宋体" w:cs="宋体"/>
          <w:sz w:val="20"/>
          <w:szCs w:val="20"/>
        </w:rPr>
      </w:pPr>
      <w:r>
        <w:rPr>
          <w:rFonts w:ascii="宋体" w:hAnsi="宋体" w:eastAsia="宋体" w:cs="宋体"/>
          <w:spacing w:val="10"/>
          <w:sz w:val="20"/>
          <w:szCs w:val="20"/>
        </w:rPr>
        <w:t>（1）投标人的投标报价应当包括完成</w:t>
      </w:r>
      <w:r>
        <w:rPr>
          <w:rFonts w:hint="eastAsia" w:ascii="宋体" w:hAnsi="宋体" w:eastAsia="宋体" w:cs="宋体"/>
          <w:spacing w:val="10"/>
          <w:sz w:val="20"/>
          <w:szCs w:val="20"/>
        </w:rPr>
        <w:t>该项目的人员工资、管理费、其他成本、利润、税金等所有伴随的其他费用。</w:t>
      </w:r>
      <w:r>
        <w:rPr>
          <w:rFonts w:ascii="宋体" w:hAnsi="宋体" w:eastAsia="宋体" w:cs="宋体"/>
          <w:spacing w:val="8"/>
          <w:sz w:val="20"/>
          <w:szCs w:val="20"/>
        </w:rPr>
        <w:t>投标人应结合自身条件，充分考虑本项目实际情况以及市场因素</w:t>
      </w:r>
      <w:r>
        <w:rPr>
          <w:rFonts w:ascii="宋体" w:hAnsi="宋体" w:eastAsia="宋体" w:cs="宋体"/>
          <w:spacing w:val="7"/>
          <w:sz w:val="20"/>
          <w:szCs w:val="20"/>
        </w:rPr>
        <w:t>、现场环</w:t>
      </w:r>
      <w:r>
        <w:rPr>
          <w:rFonts w:ascii="宋体" w:hAnsi="宋体" w:eastAsia="宋体" w:cs="宋体"/>
          <w:spacing w:val="8"/>
          <w:sz w:val="20"/>
          <w:szCs w:val="20"/>
        </w:rPr>
        <w:t>境因素、社会因素等各方面的风险因素，投标报价将被认为已综合考虑可能发生的全部不可</w:t>
      </w:r>
      <w:r>
        <w:rPr>
          <w:rFonts w:ascii="宋体" w:hAnsi="宋体" w:eastAsia="宋体" w:cs="宋体"/>
          <w:spacing w:val="7"/>
          <w:sz w:val="20"/>
          <w:szCs w:val="20"/>
        </w:rPr>
        <w:t>预见的风</w:t>
      </w:r>
      <w:r>
        <w:rPr>
          <w:rFonts w:ascii="宋体" w:hAnsi="宋体" w:eastAsia="宋体" w:cs="宋体"/>
          <w:spacing w:val="10"/>
          <w:sz w:val="20"/>
          <w:szCs w:val="20"/>
        </w:rPr>
        <w:t>险费用。中标人无权再以估计不足为由提出</w:t>
      </w:r>
      <w:r>
        <w:rPr>
          <w:rFonts w:ascii="宋体" w:hAnsi="宋体" w:eastAsia="宋体" w:cs="宋体"/>
          <w:spacing w:val="9"/>
          <w:sz w:val="20"/>
          <w:szCs w:val="20"/>
        </w:rPr>
        <w:t>任何延长服务期限、增加价款或索赔等要求。</w:t>
      </w:r>
    </w:p>
    <w:p w14:paraId="31B1D331">
      <w:pPr>
        <w:keepNext w:val="0"/>
        <w:keepLines w:val="0"/>
        <w:pageBreakBefore w:val="0"/>
        <w:kinsoku/>
        <w:wordWrap/>
        <w:overflowPunct/>
        <w:topLinePunct w:val="0"/>
        <w:bidi w:val="0"/>
        <w:spacing w:line="226" w:lineRule="auto"/>
        <w:ind w:left="436"/>
        <w:rPr>
          <w:rFonts w:ascii="宋体" w:hAnsi="宋体" w:eastAsia="宋体" w:cs="宋体"/>
          <w:sz w:val="20"/>
          <w:szCs w:val="20"/>
        </w:rPr>
      </w:pPr>
      <w:r>
        <w:rPr>
          <w:rFonts w:ascii="宋体" w:hAnsi="宋体" w:eastAsia="宋体" w:cs="宋体"/>
          <w:spacing w:val="7"/>
          <w:sz w:val="20"/>
          <w:szCs w:val="20"/>
        </w:rPr>
        <w:t>（2）投标报价不得低于企业成本。</w:t>
      </w:r>
    </w:p>
    <w:p w14:paraId="76AC7AA3">
      <w:pPr>
        <w:keepNext w:val="0"/>
        <w:keepLines w:val="0"/>
        <w:pageBreakBefore w:val="0"/>
        <w:kinsoku/>
        <w:wordWrap/>
        <w:overflowPunct/>
        <w:topLinePunct w:val="0"/>
        <w:bidi w:val="0"/>
        <w:spacing w:before="230" w:line="226" w:lineRule="auto"/>
        <w:ind w:left="436"/>
        <w:rPr>
          <w:rFonts w:ascii="宋体" w:hAnsi="宋体" w:eastAsia="宋体" w:cs="宋体"/>
          <w:sz w:val="20"/>
          <w:szCs w:val="20"/>
        </w:rPr>
      </w:pPr>
      <w:r>
        <w:rPr>
          <w:rFonts w:ascii="宋体" w:hAnsi="宋体" w:eastAsia="宋体" w:cs="宋体"/>
          <w:spacing w:val="9"/>
          <w:sz w:val="20"/>
          <w:szCs w:val="20"/>
        </w:rPr>
        <w:t>（3）投标人的投标报价如有漏项，视为已经</w:t>
      </w:r>
      <w:r>
        <w:rPr>
          <w:rFonts w:ascii="宋体" w:hAnsi="宋体" w:eastAsia="宋体" w:cs="宋体"/>
          <w:spacing w:val="8"/>
          <w:sz w:val="20"/>
          <w:szCs w:val="20"/>
        </w:rPr>
        <w:t>包含在投标报价内。</w:t>
      </w:r>
    </w:p>
    <w:p w14:paraId="35D314BF">
      <w:pPr>
        <w:keepNext w:val="0"/>
        <w:keepLines w:val="0"/>
        <w:pageBreakBefore w:val="0"/>
        <w:kinsoku/>
        <w:wordWrap/>
        <w:overflowPunct/>
        <w:topLinePunct w:val="0"/>
        <w:bidi w:val="0"/>
        <w:spacing w:before="229" w:line="439" w:lineRule="auto"/>
        <w:ind w:left="12" w:right="68" w:firstLine="423"/>
        <w:rPr>
          <w:rFonts w:ascii="宋体" w:hAnsi="宋体" w:eastAsia="宋体" w:cs="宋体"/>
          <w:sz w:val="20"/>
          <w:szCs w:val="20"/>
        </w:rPr>
      </w:pPr>
      <w:r>
        <w:rPr>
          <w:rFonts w:ascii="宋体" w:hAnsi="宋体" w:eastAsia="宋体" w:cs="宋体"/>
          <w:spacing w:val="9"/>
          <w:sz w:val="20"/>
          <w:szCs w:val="20"/>
        </w:rPr>
        <w:t>（4）投标文件中凡是与“报价</w:t>
      </w:r>
      <w:r>
        <w:rPr>
          <w:rFonts w:ascii="宋体" w:hAnsi="宋体" w:eastAsia="宋体" w:cs="宋体"/>
          <w:spacing w:val="-72"/>
          <w:sz w:val="20"/>
          <w:szCs w:val="20"/>
        </w:rPr>
        <w:t xml:space="preserve"> </w:t>
      </w:r>
      <w:r>
        <w:rPr>
          <w:rFonts w:ascii="宋体" w:hAnsi="宋体" w:eastAsia="宋体" w:cs="宋体"/>
          <w:spacing w:val="9"/>
          <w:sz w:val="20"/>
          <w:szCs w:val="20"/>
        </w:rPr>
        <w:t>”、“金额</w:t>
      </w:r>
      <w:r>
        <w:rPr>
          <w:rFonts w:ascii="宋体" w:hAnsi="宋体" w:eastAsia="宋体" w:cs="宋体"/>
          <w:spacing w:val="-70"/>
          <w:sz w:val="20"/>
          <w:szCs w:val="20"/>
        </w:rPr>
        <w:t xml:space="preserve"> </w:t>
      </w:r>
      <w:r>
        <w:rPr>
          <w:rFonts w:ascii="宋体" w:hAnsi="宋体" w:eastAsia="宋体" w:cs="宋体"/>
          <w:spacing w:val="9"/>
          <w:sz w:val="20"/>
          <w:szCs w:val="20"/>
        </w:rPr>
        <w:t>”</w:t>
      </w:r>
      <w:r>
        <w:rPr>
          <w:rFonts w:ascii="宋体" w:hAnsi="宋体" w:eastAsia="宋体" w:cs="宋体"/>
          <w:spacing w:val="8"/>
          <w:sz w:val="20"/>
          <w:szCs w:val="20"/>
        </w:rPr>
        <w:t>有关的条款，前后金额数应一致，不一致时以投标</w:t>
      </w:r>
      <w:r>
        <w:rPr>
          <w:rFonts w:ascii="宋体" w:hAnsi="宋体" w:eastAsia="宋体" w:cs="宋体"/>
          <w:spacing w:val="5"/>
          <w:sz w:val="20"/>
          <w:szCs w:val="20"/>
        </w:rPr>
        <w:t>函中的金额为准。</w:t>
      </w:r>
    </w:p>
    <w:p w14:paraId="71AE954E">
      <w:pPr>
        <w:keepNext w:val="0"/>
        <w:keepLines w:val="0"/>
        <w:pageBreakBefore w:val="0"/>
        <w:kinsoku/>
        <w:wordWrap/>
        <w:overflowPunct/>
        <w:topLinePunct w:val="0"/>
        <w:bidi w:val="0"/>
        <w:spacing w:before="1" w:line="226" w:lineRule="auto"/>
        <w:ind w:left="436"/>
        <w:rPr>
          <w:rFonts w:ascii="宋体" w:hAnsi="宋体" w:eastAsia="宋体" w:cs="宋体"/>
          <w:sz w:val="20"/>
          <w:szCs w:val="20"/>
        </w:rPr>
      </w:pPr>
      <w:r>
        <w:rPr>
          <w:rFonts w:ascii="宋体" w:hAnsi="宋体" w:eastAsia="宋体" w:cs="宋体"/>
          <w:spacing w:val="7"/>
          <w:sz w:val="20"/>
          <w:szCs w:val="20"/>
        </w:rPr>
        <w:t>（5）投标人应考虑价格变化风险。</w:t>
      </w:r>
    </w:p>
    <w:p w14:paraId="53350C54">
      <w:pPr>
        <w:keepNext w:val="0"/>
        <w:keepLines w:val="0"/>
        <w:pageBreakBefore w:val="0"/>
        <w:kinsoku/>
        <w:wordWrap/>
        <w:overflowPunct/>
        <w:topLinePunct w:val="0"/>
        <w:bidi w:val="0"/>
        <w:spacing w:before="233" w:line="228" w:lineRule="auto"/>
        <w:ind w:left="3"/>
        <w:rPr>
          <w:rFonts w:ascii="宋体" w:hAnsi="宋体" w:eastAsia="宋体" w:cs="宋体"/>
          <w:sz w:val="20"/>
          <w:szCs w:val="20"/>
        </w:rPr>
      </w:pPr>
      <w:r>
        <w:rPr>
          <w:rFonts w:ascii="宋体" w:hAnsi="宋体" w:eastAsia="宋体" w:cs="宋体"/>
          <w:b/>
          <w:bCs/>
          <w:spacing w:val="4"/>
          <w:sz w:val="20"/>
          <w:szCs w:val="20"/>
        </w:rPr>
        <w:t>3.3</w:t>
      </w:r>
      <w:r>
        <w:rPr>
          <w:rFonts w:ascii="宋体" w:hAnsi="宋体" w:eastAsia="宋体" w:cs="宋体"/>
          <w:spacing w:val="4"/>
          <w:sz w:val="20"/>
          <w:szCs w:val="20"/>
        </w:rPr>
        <w:t xml:space="preserve"> </w:t>
      </w:r>
      <w:r>
        <w:rPr>
          <w:rFonts w:ascii="宋体" w:hAnsi="宋体" w:eastAsia="宋体" w:cs="宋体"/>
          <w:b/>
          <w:bCs/>
          <w:spacing w:val="4"/>
          <w:sz w:val="20"/>
          <w:szCs w:val="20"/>
        </w:rPr>
        <w:t>投标有效期</w:t>
      </w:r>
    </w:p>
    <w:p w14:paraId="799CCFD6">
      <w:pPr>
        <w:keepNext w:val="0"/>
        <w:keepLines w:val="0"/>
        <w:pageBreakBefore w:val="0"/>
        <w:kinsoku/>
        <w:wordWrap/>
        <w:overflowPunct/>
        <w:topLinePunct w:val="0"/>
        <w:bidi w:val="0"/>
        <w:spacing w:before="225" w:line="228" w:lineRule="auto"/>
        <w:ind w:left="420"/>
        <w:rPr>
          <w:rFonts w:ascii="宋体" w:hAnsi="宋体" w:eastAsia="宋体" w:cs="宋体"/>
          <w:sz w:val="20"/>
          <w:szCs w:val="20"/>
        </w:rPr>
      </w:pPr>
      <w:r>
        <w:rPr>
          <w:rFonts w:ascii="宋体" w:hAnsi="宋体" w:eastAsia="宋体" w:cs="宋体"/>
          <w:spacing w:val="9"/>
          <w:sz w:val="20"/>
          <w:szCs w:val="20"/>
        </w:rPr>
        <w:t>3.3.1 在投标有效期内，投标人撤销投标文件的，应承</w:t>
      </w:r>
      <w:r>
        <w:rPr>
          <w:rFonts w:ascii="宋体" w:hAnsi="宋体" w:eastAsia="宋体" w:cs="宋体"/>
          <w:spacing w:val="8"/>
          <w:sz w:val="20"/>
          <w:szCs w:val="20"/>
        </w:rPr>
        <w:t>担招标文件和法律规定的责任。</w:t>
      </w:r>
    </w:p>
    <w:p w14:paraId="311A1E77">
      <w:pPr>
        <w:keepNext w:val="0"/>
        <w:keepLines w:val="0"/>
        <w:pageBreakBefore w:val="0"/>
        <w:kinsoku/>
        <w:wordWrap/>
        <w:overflowPunct/>
        <w:topLinePunct w:val="0"/>
        <w:bidi w:val="0"/>
        <w:spacing w:before="175" w:line="439" w:lineRule="auto"/>
        <w:ind w:left="3" w:right="51" w:firstLine="428"/>
        <w:rPr>
          <w:rFonts w:ascii="宋体" w:hAnsi="宋体" w:eastAsia="宋体" w:cs="宋体"/>
          <w:sz w:val="20"/>
          <w:szCs w:val="20"/>
        </w:rPr>
      </w:pPr>
      <w:r>
        <w:rPr>
          <w:rFonts w:ascii="宋体" w:hAnsi="宋体" w:eastAsia="宋体" w:cs="宋体"/>
          <w:spacing w:val="12"/>
          <w:sz w:val="20"/>
          <w:szCs w:val="20"/>
        </w:rPr>
        <w:t>3.3.2 出现特殊情况需要延长投标有效期的，采购人以书面形式通知</w:t>
      </w:r>
      <w:r>
        <w:rPr>
          <w:rFonts w:ascii="宋体" w:hAnsi="宋体" w:eastAsia="宋体" w:cs="宋体"/>
          <w:spacing w:val="11"/>
          <w:sz w:val="20"/>
          <w:szCs w:val="20"/>
        </w:rPr>
        <w:t>所有投标人延长投标有效</w:t>
      </w:r>
      <w:r>
        <w:rPr>
          <w:rFonts w:ascii="宋体" w:hAnsi="宋体" w:eastAsia="宋体" w:cs="宋体"/>
          <w:spacing w:val="8"/>
          <w:sz w:val="20"/>
          <w:szCs w:val="20"/>
        </w:rPr>
        <w:t>期。投标人应予以书面答复。</w:t>
      </w:r>
    </w:p>
    <w:p w14:paraId="15ECE6E6">
      <w:pPr>
        <w:keepNext w:val="0"/>
        <w:keepLines w:val="0"/>
        <w:pageBreakBefore w:val="0"/>
        <w:kinsoku/>
        <w:wordWrap/>
        <w:overflowPunct/>
        <w:topLinePunct w:val="0"/>
        <w:bidi w:val="0"/>
        <w:spacing w:line="228" w:lineRule="auto"/>
        <w:ind w:left="5"/>
        <w:rPr>
          <w:rFonts w:ascii="宋体" w:hAnsi="宋体" w:eastAsia="宋体" w:cs="宋体"/>
          <w:sz w:val="20"/>
          <w:szCs w:val="20"/>
        </w:rPr>
      </w:pPr>
      <w:r>
        <w:rPr>
          <w:rFonts w:ascii="宋体" w:hAnsi="宋体" w:eastAsia="宋体" w:cs="宋体"/>
          <w:b/>
          <w:bCs/>
          <w:spacing w:val="4"/>
          <w:sz w:val="20"/>
          <w:szCs w:val="20"/>
        </w:rPr>
        <w:t>3.4</w:t>
      </w:r>
      <w:r>
        <w:rPr>
          <w:rFonts w:ascii="宋体" w:hAnsi="宋体" w:eastAsia="宋体" w:cs="宋体"/>
          <w:spacing w:val="4"/>
          <w:sz w:val="20"/>
          <w:szCs w:val="20"/>
        </w:rPr>
        <w:t xml:space="preserve"> </w:t>
      </w:r>
      <w:r>
        <w:rPr>
          <w:rFonts w:ascii="宋体" w:hAnsi="宋体" w:eastAsia="宋体" w:cs="宋体"/>
          <w:b/>
          <w:bCs/>
          <w:spacing w:val="4"/>
          <w:sz w:val="20"/>
          <w:szCs w:val="20"/>
        </w:rPr>
        <w:t>投标保证金</w:t>
      </w:r>
    </w:p>
    <w:p w14:paraId="06080B22">
      <w:pPr>
        <w:keepNext w:val="0"/>
        <w:keepLines w:val="0"/>
        <w:pageBreakBefore w:val="0"/>
        <w:kinsoku/>
        <w:wordWrap/>
        <w:overflowPunct/>
        <w:topLinePunct w:val="0"/>
        <w:bidi w:val="0"/>
        <w:spacing w:before="227" w:line="227" w:lineRule="auto"/>
        <w:ind w:left="428"/>
        <w:rPr>
          <w:rFonts w:ascii="宋体" w:hAnsi="宋体" w:eastAsia="宋体" w:cs="宋体"/>
          <w:sz w:val="20"/>
          <w:szCs w:val="20"/>
        </w:rPr>
      </w:pPr>
      <w:r>
        <w:rPr>
          <w:rFonts w:ascii="宋体" w:hAnsi="宋体" w:eastAsia="宋体" w:cs="宋体"/>
          <w:spacing w:val="7"/>
          <w:sz w:val="20"/>
          <w:szCs w:val="20"/>
        </w:rPr>
        <w:t>根据豫财购{2019}4</w:t>
      </w:r>
      <w:r>
        <w:rPr>
          <w:rFonts w:ascii="宋体" w:hAnsi="宋体" w:eastAsia="宋体" w:cs="宋体"/>
          <w:spacing w:val="-21"/>
          <w:sz w:val="20"/>
          <w:szCs w:val="20"/>
        </w:rPr>
        <w:t xml:space="preserve"> </w:t>
      </w:r>
      <w:r>
        <w:rPr>
          <w:rFonts w:ascii="宋体" w:hAnsi="宋体" w:eastAsia="宋体" w:cs="宋体"/>
          <w:spacing w:val="7"/>
          <w:sz w:val="20"/>
          <w:szCs w:val="20"/>
        </w:rPr>
        <w:t>号文规定，本项目不再收取保证金。</w:t>
      </w:r>
    </w:p>
    <w:p w14:paraId="6B110B4C">
      <w:pPr>
        <w:keepNext w:val="0"/>
        <w:keepLines w:val="0"/>
        <w:pageBreakBefore w:val="0"/>
        <w:kinsoku/>
        <w:wordWrap/>
        <w:overflowPunct/>
        <w:topLinePunct w:val="0"/>
        <w:bidi w:val="0"/>
        <w:spacing w:before="231" w:line="228" w:lineRule="auto"/>
        <w:ind w:left="5"/>
        <w:rPr>
          <w:rFonts w:ascii="宋体" w:hAnsi="宋体" w:eastAsia="宋体" w:cs="宋体"/>
          <w:sz w:val="20"/>
          <w:szCs w:val="20"/>
        </w:rPr>
      </w:pPr>
      <w:r>
        <w:rPr>
          <w:rFonts w:ascii="宋体" w:hAnsi="宋体" w:eastAsia="宋体" w:cs="宋体"/>
          <w:b/>
          <w:bCs/>
          <w:spacing w:val="3"/>
          <w:sz w:val="20"/>
          <w:szCs w:val="20"/>
        </w:rPr>
        <w:t>3.5</w:t>
      </w:r>
      <w:r>
        <w:rPr>
          <w:rFonts w:ascii="宋体" w:hAnsi="宋体" w:eastAsia="宋体" w:cs="宋体"/>
          <w:spacing w:val="25"/>
          <w:sz w:val="20"/>
          <w:szCs w:val="20"/>
        </w:rPr>
        <w:t xml:space="preserve"> </w:t>
      </w:r>
      <w:r>
        <w:rPr>
          <w:rFonts w:ascii="宋体" w:hAnsi="宋体" w:eastAsia="宋体" w:cs="宋体"/>
          <w:b/>
          <w:bCs/>
          <w:spacing w:val="3"/>
          <w:sz w:val="20"/>
          <w:szCs w:val="20"/>
        </w:rPr>
        <w:t>资格审查资料</w:t>
      </w:r>
    </w:p>
    <w:p w14:paraId="25EB54A5">
      <w:pPr>
        <w:keepNext w:val="0"/>
        <w:keepLines w:val="0"/>
        <w:pageBreakBefore w:val="0"/>
        <w:kinsoku/>
        <w:wordWrap/>
        <w:overflowPunct/>
        <w:topLinePunct w:val="0"/>
        <w:bidi w:val="0"/>
        <w:spacing w:before="228" w:line="227" w:lineRule="auto"/>
        <w:ind w:left="432"/>
        <w:rPr>
          <w:rFonts w:ascii="宋体" w:hAnsi="宋体" w:eastAsia="宋体" w:cs="宋体"/>
          <w:sz w:val="20"/>
          <w:szCs w:val="20"/>
        </w:rPr>
      </w:pPr>
      <w:r>
        <w:rPr>
          <w:rFonts w:ascii="宋体" w:hAnsi="宋体" w:eastAsia="宋体" w:cs="宋体"/>
          <w:spacing w:val="4"/>
          <w:sz w:val="20"/>
          <w:szCs w:val="20"/>
        </w:rPr>
        <w:t>3.5.1</w:t>
      </w:r>
      <w:r>
        <w:rPr>
          <w:rFonts w:ascii="宋体" w:hAnsi="宋体" w:eastAsia="宋体" w:cs="宋体"/>
          <w:spacing w:val="-23"/>
          <w:sz w:val="20"/>
          <w:szCs w:val="20"/>
        </w:rPr>
        <w:t xml:space="preserve"> </w:t>
      </w:r>
      <w:r>
        <w:rPr>
          <w:rFonts w:ascii="宋体" w:hAnsi="宋体" w:eastAsia="宋体" w:cs="宋体"/>
          <w:spacing w:val="4"/>
          <w:sz w:val="20"/>
          <w:szCs w:val="20"/>
        </w:rPr>
        <w:t>详见投标人须知前附表</w:t>
      </w:r>
      <w:r>
        <w:rPr>
          <w:rFonts w:ascii="宋体" w:hAnsi="宋体" w:eastAsia="宋体" w:cs="宋体"/>
          <w:spacing w:val="-22"/>
          <w:sz w:val="20"/>
          <w:szCs w:val="20"/>
        </w:rPr>
        <w:t xml:space="preserve"> </w:t>
      </w:r>
      <w:r>
        <w:rPr>
          <w:rFonts w:ascii="宋体" w:hAnsi="宋体" w:eastAsia="宋体" w:cs="宋体"/>
          <w:spacing w:val="4"/>
          <w:sz w:val="20"/>
          <w:szCs w:val="20"/>
        </w:rPr>
        <w:t>1.4.1。</w:t>
      </w:r>
    </w:p>
    <w:p w14:paraId="12F1592E">
      <w:pPr>
        <w:keepNext w:val="0"/>
        <w:keepLines w:val="0"/>
        <w:pageBreakBefore w:val="0"/>
        <w:kinsoku/>
        <w:wordWrap/>
        <w:overflowPunct/>
        <w:topLinePunct w:val="0"/>
        <w:bidi w:val="0"/>
        <w:spacing w:before="228" w:line="439" w:lineRule="auto"/>
        <w:ind w:right="51" w:firstLine="432"/>
        <w:rPr>
          <w:rFonts w:ascii="宋体" w:hAnsi="宋体" w:eastAsia="宋体" w:cs="宋体"/>
          <w:sz w:val="20"/>
          <w:szCs w:val="20"/>
        </w:rPr>
      </w:pPr>
      <w:r>
        <w:rPr>
          <w:rFonts w:ascii="宋体" w:hAnsi="宋体" w:eastAsia="宋体" w:cs="宋体"/>
          <w:spacing w:val="8"/>
          <w:sz w:val="20"/>
          <w:szCs w:val="20"/>
        </w:rPr>
        <w:t>3.5.2</w:t>
      </w:r>
      <w:r>
        <w:rPr>
          <w:rFonts w:ascii="宋体" w:hAnsi="宋体" w:eastAsia="宋体" w:cs="宋体"/>
          <w:spacing w:val="-35"/>
          <w:sz w:val="20"/>
          <w:szCs w:val="20"/>
        </w:rPr>
        <w:t xml:space="preserve"> </w:t>
      </w:r>
      <w:r>
        <w:rPr>
          <w:rFonts w:ascii="宋体" w:hAnsi="宋体" w:eastAsia="宋体" w:cs="宋体"/>
          <w:spacing w:val="8"/>
          <w:sz w:val="20"/>
          <w:szCs w:val="20"/>
        </w:rPr>
        <w:t>上述条款所需材料投标人应按前附表规定编入投标文件。投标人应及时更新河南省公共资</w:t>
      </w:r>
      <w:r>
        <w:rPr>
          <w:rFonts w:ascii="宋体" w:hAnsi="宋体" w:eastAsia="宋体" w:cs="宋体"/>
          <w:spacing w:val="9"/>
          <w:sz w:val="20"/>
          <w:szCs w:val="20"/>
        </w:rPr>
        <w:t>源交易中心会员诚信库中的材料，确保相关材料真实有效。</w:t>
      </w:r>
    </w:p>
    <w:p w14:paraId="01682C7B">
      <w:pPr>
        <w:keepNext w:val="0"/>
        <w:keepLines w:val="0"/>
        <w:pageBreakBefore w:val="0"/>
        <w:kinsoku/>
        <w:wordWrap/>
        <w:overflowPunct/>
        <w:topLinePunct w:val="0"/>
        <w:bidi w:val="0"/>
        <w:spacing w:before="1" w:line="228" w:lineRule="auto"/>
        <w:ind w:left="5"/>
        <w:rPr>
          <w:rFonts w:ascii="宋体" w:hAnsi="宋体" w:eastAsia="宋体" w:cs="宋体"/>
          <w:sz w:val="20"/>
          <w:szCs w:val="20"/>
        </w:rPr>
      </w:pPr>
      <w:r>
        <w:rPr>
          <w:rFonts w:ascii="宋体" w:hAnsi="宋体" w:eastAsia="宋体" w:cs="宋体"/>
          <w:b/>
          <w:bCs/>
          <w:spacing w:val="5"/>
          <w:sz w:val="20"/>
          <w:szCs w:val="20"/>
        </w:rPr>
        <w:t>3.6</w:t>
      </w:r>
      <w:r>
        <w:rPr>
          <w:rFonts w:ascii="宋体" w:hAnsi="宋体" w:eastAsia="宋体" w:cs="宋体"/>
          <w:spacing w:val="5"/>
          <w:sz w:val="20"/>
          <w:szCs w:val="20"/>
        </w:rPr>
        <w:t xml:space="preserve"> </w:t>
      </w:r>
      <w:r>
        <w:rPr>
          <w:rFonts w:ascii="宋体" w:hAnsi="宋体" w:eastAsia="宋体" w:cs="宋体"/>
          <w:b/>
          <w:bCs/>
          <w:spacing w:val="5"/>
          <w:sz w:val="20"/>
          <w:szCs w:val="20"/>
        </w:rPr>
        <w:t>备选投标方案</w:t>
      </w:r>
    </w:p>
    <w:p w14:paraId="466EEC00">
      <w:pPr>
        <w:keepNext w:val="0"/>
        <w:keepLines w:val="0"/>
        <w:pageBreakBefore w:val="0"/>
        <w:kinsoku/>
        <w:wordWrap/>
        <w:overflowPunct/>
        <w:topLinePunct w:val="0"/>
        <w:bidi w:val="0"/>
        <w:spacing w:before="227" w:line="227" w:lineRule="auto"/>
        <w:jc w:val="right"/>
        <w:rPr>
          <w:rFonts w:ascii="宋体" w:hAnsi="宋体" w:eastAsia="宋体" w:cs="宋体"/>
          <w:sz w:val="20"/>
          <w:szCs w:val="20"/>
        </w:rPr>
      </w:pPr>
      <w:r>
        <w:rPr>
          <w:rFonts w:ascii="宋体" w:hAnsi="宋体" w:eastAsia="宋体" w:cs="宋体"/>
          <w:spacing w:val="8"/>
          <w:sz w:val="20"/>
          <w:szCs w:val="20"/>
        </w:rPr>
        <w:t>3.6.1 除投标人须知前附表规定允许外，投标人不得递交备选投标方案，否则其投标将被否决。</w:t>
      </w:r>
    </w:p>
    <w:p w14:paraId="19F611AC">
      <w:pPr>
        <w:keepNext w:val="0"/>
        <w:keepLines w:val="0"/>
        <w:pageBreakBefore w:val="0"/>
        <w:kinsoku/>
        <w:wordWrap/>
        <w:overflowPunct/>
        <w:topLinePunct w:val="0"/>
        <w:bidi w:val="0"/>
        <w:spacing w:before="231" w:line="439" w:lineRule="auto"/>
        <w:ind w:right="51" w:firstLine="432"/>
        <w:rPr>
          <w:rFonts w:ascii="宋体" w:hAnsi="宋体" w:eastAsia="宋体" w:cs="宋体"/>
          <w:sz w:val="20"/>
          <w:szCs w:val="20"/>
        </w:rPr>
      </w:pPr>
      <w:r>
        <w:rPr>
          <w:rFonts w:ascii="宋体" w:hAnsi="宋体" w:eastAsia="宋体" w:cs="宋体"/>
          <w:spacing w:val="7"/>
          <w:sz w:val="20"/>
          <w:szCs w:val="20"/>
        </w:rPr>
        <w:t>3.6.2 允许投标人递交备选投标方案的，只有中标人所递交的备选投标方案方可予以考虑。评标</w:t>
      </w:r>
      <w:r>
        <w:rPr>
          <w:rFonts w:ascii="宋体" w:hAnsi="宋体" w:eastAsia="宋体" w:cs="宋体"/>
          <w:spacing w:val="8"/>
          <w:sz w:val="20"/>
          <w:szCs w:val="20"/>
        </w:rPr>
        <w:t>委员会认为中标人的备选投标方案优于其按照招标文件要求编制的投标方案的，投标人可以接受</w:t>
      </w:r>
      <w:r>
        <w:rPr>
          <w:rFonts w:ascii="宋体" w:hAnsi="宋体" w:eastAsia="宋体" w:cs="宋体"/>
          <w:spacing w:val="7"/>
          <w:sz w:val="20"/>
          <w:szCs w:val="20"/>
        </w:rPr>
        <w:t>该备</w:t>
      </w:r>
      <w:r>
        <w:rPr>
          <w:rFonts w:ascii="宋体" w:hAnsi="宋体" w:eastAsia="宋体" w:cs="宋体"/>
          <w:spacing w:val="6"/>
          <w:sz w:val="20"/>
          <w:szCs w:val="20"/>
        </w:rPr>
        <w:t>选投标方案。</w:t>
      </w:r>
    </w:p>
    <w:p w14:paraId="5019FD63">
      <w:pPr>
        <w:keepNext w:val="0"/>
        <w:keepLines w:val="0"/>
        <w:pageBreakBefore w:val="0"/>
        <w:kinsoku/>
        <w:wordWrap/>
        <w:overflowPunct/>
        <w:topLinePunct w:val="0"/>
        <w:bidi w:val="0"/>
        <w:spacing w:before="1" w:line="438" w:lineRule="auto"/>
        <w:ind w:left="3" w:right="51" w:firstLine="428"/>
        <w:rPr>
          <w:rFonts w:ascii="宋体" w:hAnsi="宋体" w:eastAsia="宋体" w:cs="宋体"/>
          <w:sz w:val="20"/>
          <w:szCs w:val="20"/>
        </w:rPr>
      </w:pPr>
      <w:r>
        <w:rPr>
          <w:rFonts w:ascii="宋体" w:hAnsi="宋体" w:eastAsia="宋体" w:cs="宋体"/>
          <w:spacing w:val="7"/>
          <w:sz w:val="20"/>
          <w:szCs w:val="20"/>
        </w:rPr>
        <w:t>3.6.3 投标人提供两个或两个以上投标报价，或者在投标文件中提供一个报价，但同时提供两个</w:t>
      </w:r>
      <w:r>
        <w:rPr>
          <w:rFonts w:ascii="宋体" w:hAnsi="宋体" w:eastAsia="宋体" w:cs="宋体"/>
          <w:spacing w:val="8"/>
          <w:sz w:val="20"/>
          <w:szCs w:val="20"/>
        </w:rPr>
        <w:t>或两个以上供货方案的，视为提供备选方案。</w:t>
      </w:r>
    </w:p>
    <w:p w14:paraId="5869724E">
      <w:pPr>
        <w:keepNext w:val="0"/>
        <w:keepLines w:val="0"/>
        <w:pageBreakBefore w:val="0"/>
        <w:kinsoku/>
        <w:wordWrap/>
        <w:overflowPunct/>
        <w:topLinePunct w:val="0"/>
        <w:bidi w:val="0"/>
        <w:spacing w:before="1" w:line="227" w:lineRule="auto"/>
        <w:ind w:left="5"/>
        <w:rPr>
          <w:rFonts w:ascii="宋体" w:hAnsi="宋体" w:eastAsia="宋体" w:cs="宋体"/>
          <w:sz w:val="20"/>
          <w:szCs w:val="20"/>
        </w:rPr>
      </w:pPr>
      <w:r>
        <w:rPr>
          <w:rFonts w:ascii="宋体" w:hAnsi="宋体" w:eastAsia="宋体" w:cs="宋体"/>
          <w:b/>
          <w:bCs/>
          <w:spacing w:val="5"/>
          <w:sz w:val="20"/>
          <w:szCs w:val="20"/>
        </w:rPr>
        <w:t>3.7</w:t>
      </w:r>
      <w:r>
        <w:rPr>
          <w:rFonts w:ascii="宋体" w:hAnsi="宋体" w:eastAsia="宋体" w:cs="宋体"/>
          <w:spacing w:val="5"/>
          <w:sz w:val="20"/>
          <w:szCs w:val="20"/>
        </w:rPr>
        <w:t xml:space="preserve"> </w:t>
      </w:r>
      <w:r>
        <w:rPr>
          <w:rFonts w:ascii="宋体" w:hAnsi="宋体" w:eastAsia="宋体" w:cs="宋体"/>
          <w:b/>
          <w:bCs/>
          <w:spacing w:val="5"/>
          <w:sz w:val="20"/>
          <w:szCs w:val="20"/>
        </w:rPr>
        <w:t>投标文件的编制</w:t>
      </w:r>
    </w:p>
    <w:p w14:paraId="3940DD44">
      <w:pPr>
        <w:keepNext w:val="0"/>
        <w:keepLines w:val="0"/>
        <w:pageBreakBefore w:val="0"/>
        <w:kinsoku/>
        <w:wordWrap/>
        <w:overflowPunct/>
        <w:topLinePunct w:val="0"/>
        <w:bidi w:val="0"/>
        <w:spacing w:before="227" w:line="439" w:lineRule="auto"/>
        <w:ind w:left="1" w:right="51" w:firstLine="430"/>
        <w:rPr>
          <w:rFonts w:ascii="宋体" w:hAnsi="宋体" w:eastAsia="宋体" w:cs="宋体"/>
          <w:sz w:val="20"/>
          <w:szCs w:val="20"/>
        </w:rPr>
      </w:pPr>
      <w:r>
        <w:rPr>
          <w:rFonts w:ascii="宋体" w:hAnsi="宋体" w:eastAsia="宋体" w:cs="宋体"/>
          <w:spacing w:val="7"/>
          <w:sz w:val="20"/>
          <w:szCs w:val="20"/>
        </w:rPr>
        <w:t>3.7.1</w:t>
      </w:r>
      <w:r>
        <w:rPr>
          <w:rFonts w:ascii="宋体" w:hAnsi="宋体" w:eastAsia="宋体" w:cs="宋体"/>
          <w:spacing w:val="-21"/>
          <w:sz w:val="20"/>
          <w:szCs w:val="20"/>
        </w:rPr>
        <w:t xml:space="preserve"> </w:t>
      </w:r>
      <w:r>
        <w:rPr>
          <w:rFonts w:ascii="宋体" w:hAnsi="宋体" w:eastAsia="宋体" w:cs="宋体"/>
          <w:spacing w:val="7"/>
          <w:sz w:val="20"/>
          <w:szCs w:val="20"/>
        </w:rPr>
        <w:t>投标文件应按第六章“投标文件格式</w:t>
      </w:r>
      <w:r>
        <w:rPr>
          <w:rFonts w:ascii="宋体" w:hAnsi="宋体" w:eastAsia="宋体" w:cs="宋体"/>
          <w:spacing w:val="-70"/>
          <w:sz w:val="20"/>
          <w:szCs w:val="20"/>
        </w:rPr>
        <w:t xml:space="preserve"> </w:t>
      </w:r>
      <w:r>
        <w:rPr>
          <w:rFonts w:ascii="宋体" w:hAnsi="宋体" w:eastAsia="宋体" w:cs="宋体"/>
          <w:spacing w:val="7"/>
          <w:sz w:val="20"/>
          <w:szCs w:val="20"/>
        </w:rPr>
        <w:t>”使用河南省公共资源交易系统投标文件制作专用工</w:t>
      </w:r>
      <w:r>
        <w:rPr>
          <w:rFonts w:ascii="宋体" w:hAnsi="宋体" w:eastAsia="宋体" w:cs="宋体"/>
          <w:spacing w:val="8"/>
          <w:sz w:val="20"/>
          <w:szCs w:val="20"/>
        </w:rPr>
        <w:t>具软件编制。其中，投标函附录在满足招标文件实质性要求的基础上，可以提出比招标文件</w:t>
      </w:r>
      <w:r>
        <w:rPr>
          <w:rFonts w:ascii="宋体" w:hAnsi="宋体" w:eastAsia="宋体" w:cs="宋体"/>
          <w:spacing w:val="7"/>
          <w:sz w:val="20"/>
          <w:szCs w:val="20"/>
        </w:rPr>
        <w:t>要求更有利于采购人的承诺。</w:t>
      </w:r>
    </w:p>
    <w:p w14:paraId="2C1A7671">
      <w:pPr>
        <w:keepNext w:val="0"/>
        <w:keepLines w:val="0"/>
        <w:pageBreakBefore w:val="0"/>
        <w:kinsoku/>
        <w:wordWrap/>
        <w:overflowPunct/>
        <w:topLinePunct w:val="0"/>
        <w:bidi w:val="0"/>
        <w:spacing w:before="2" w:line="439" w:lineRule="auto"/>
        <w:ind w:left="3" w:right="88" w:firstLine="428"/>
        <w:rPr>
          <w:rFonts w:ascii="宋体" w:hAnsi="宋体" w:eastAsia="宋体" w:cs="宋体"/>
          <w:sz w:val="20"/>
          <w:szCs w:val="20"/>
        </w:rPr>
      </w:pPr>
      <w:r>
        <w:rPr>
          <w:rFonts w:ascii="宋体" w:hAnsi="宋体" w:eastAsia="宋体" w:cs="宋体"/>
          <w:spacing w:val="10"/>
          <w:sz w:val="20"/>
          <w:szCs w:val="20"/>
        </w:rPr>
        <w:t>3.7.2 投标文件应当对招标文件有关</w:t>
      </w:r>
      <w:r>
        <w:rPr>
          <w:rFonts w:ascii="宋体" w:hAnsi="宋体" w:eastAsia="宋体" w:cs="宋体"/>
          <w:b/>
          <w:bCs/>
          <w:spacing w:val="10"/>
          <w:sz w:val="20"/>
          <w:szCs w:val="20"/>
        </w:rPr>
        <w:t>服务期限、服务地点、质量要</w:t>
      </w:r>
      <w:r>
        <w:rPr>
          <w:rFonts w:ascii="宋体" w:hAnsi="宋体" w:eastAsia="宋体" w:cs="宋体"/>
          <w:b/>
          <w:bCs/>
          <w:spacing w:val="9"/>
          <w:sz w:val="20"/>
          <w:szCs w:val="20"/>
        </w:rPr>
        <w:t>求、采购需求、采购内容、</w:t>
      </w:r>
      <w:r>
        <w:rPr>
          <w:rFonts w:ascii="宋体" w:hAnsi="宋体" w:eastAsia="宋体" w:cs="宋体"/>
          <w:b/>
          <w:bCs/>
          <w:spacing w:val="7"/>
          <w:sz w:val="20"/>
          <w:szCs w:val="20"/>
        </w:rPr>
        <w:t>投标有效期等实质性内容</w:t>
      </w:r>
      <w:r>
        <w:rPr>
          <w:rFonts w:ascii="宋体" w:hAnsi="宋体" w:eastAsia="宋体" w:cs="宋体"/>
          <w:spacing w:val="7"/>
          <w:sz w:val="20"/>
          <w:szCs w:val="20"/>
        </w:rPr>
        <w:t>作出响应。</w:t>
      </w:r>
    </w:p>
    <w:p w14:paraId="106CA351">
      <w:pPr>
        <w:keepNext w:val="0"/>
        <w:keepLines w:val="0"/>
        <w:pageBreakBefore w:val="0"/>
        <w:kinsoku/>
        <w:wordWrap/>
        <w:overflowPunct/>
        <w:topLinePunct w:val="0"/>
        <w:bidi w:val="0"/>
        <w:spacing w:before="1" w:line="439" w:lineRule="auto"/>
        <w:ind w:left="3" w:right="4" w:firstLine="428"/>
        <w:rPr>
          <w:rFonts w:ascii="宋体" w:hAnsi="宋体" w:eastAsia="宋体" w:cs="宋体"/>
          <w:sz w:val="20"/>
          <w:szCs w:val="20"/>
        </w:rPr>
      </w:pPr>
      <w:r>
        <w:rPr>
          <w:rFonts w:ascii="宋体" w:hAnsi="宋体" w:eastAsia="宋体" w:cs="宋体"/>
          <w:spacing w:val="8"/>
          <w:sz w:val="20"/>
          <w:szCs w:val="20"/>
        </w:rPr>
        <w:t>3.7.3</w:t>
      </w:r>
      <w:r>
        <w:rPr>
          <w:rFonts w:ascii="宋体" w:hAnsi="宋体" w:eastAsia="宋体" w:cs="宋体"/>
          <w:spacing w:val="-35"/>
          <w:sz w:val="20"/>
          <w:szCs w:val="20"/>
        </w:rPr>
        <w:t xml:space="preserve"> </w:t>
      </w:r>
      <w:r>
        <w:rPr>
          <w:rFonts w:ascii="宋体" w:hAnsi="宋体" w:eastAsia="宋体" w:cs="宋体"/>
          <w:spacing w:val="8"/>
          <w:sz w:val="20"/>
          <w:szCs w:val="20"/>
        </w:rPr>
        <w:t>投标文件全部采用电子文档，除投标人须知前附表另有规定外，投标文件所附证书证件均</w:t>
      </w:r>
      <w:r>
        <w:rPr>
          <w:rFonts w:ascii="宋体" w:hAnsi="宋体" w:eastAsia="宋体" w:cs="宋体"/>
          <w:spacing w:val="9"/>
          <w:sz w:val="20"/>
          <w:szCs w:val="20"/>
        </w:rPr>
        <w:t>为原件或复印件的扫描件，并采用单位和个人数字证书，按招标文件要求在相应位置加盖电子</w:t>
      </w:r>
      <w:r>
        <w:rPr>
          <w:rFonts w:ascii="宋体" w:hAnsi="宋体" w:eastAsia="宋体" w:cs="宋体"/>
          <w:spacing w:val="8"/>
          <w:sz w:val="20"/>
          <w:szCs w:val="20"/>
        </w:rPr>
        <w:t>印章。由投标人的法定代表人签字或加盖电子印章的，应附法定代表人身份证明，由代理人签</w:t>
      </w:r>
      <w:r>
        <w:rPr>
          <w:rFonts w:ascii="宋体" w:hAnsi="宋体" w:eastAsia="宋体" w:cs="宋体"/>
          <w:spacing w:val="7"/>
          <w:sz w:val="20"/>
          <w:szCs w:val="20"/>
        </w:rPr>
        <w:t>字或加盖电子</w:t>
      </w:r>
      <w:r>
        <w:rPr>
          <w:rFonts w:ascii="宋体" w:hAnsi="宋体" w:eastAsia="宋体" w:cs="宋体"/>
          <w:spacing w:val="9"/>
          <w:sz w:val="20"/>
          <w:szCs w:val="20"/>
        </w:rPr>
        <w:t>印章的，应附由法定代表人签署的授权委托书。签字或盖章的具体要求见投标人须知前附表。</w:t>
      </w:r>
    </w:p>
    <w:p w14:paraId="18325E56">
      <w:pPr>
        <w:keepNext w:val="0"/>
        <w:keepLines w:val="0"/>
        <w:pageBreakBefore w:val="0"/>
        <w:kinsoku/>
        <w:wordWrap/>
        <w:overflowPunct/>
        <w:topLinePunct w:val="0"/>
        <w:bidi w:val="0"/>
        <w:spacing w:before="41" w:line="221" w:lineRule="auto"/>
        <w:ind w:left="4154"/>
        <w:outlineLvl w:val="1"/>
        <w:rPr>
          <w:rFonts w:ascii="宋体" w:hAnsi="宋体" w:eastAsia="宋体" w:cs="宋体"/>
          <w:sz w:val="28"/>
          <w:szCs w:val="28"/>
        </w:rPr>
      </w:pPr>
      <w:bookmarkStart w:id="15" w:name="bookmark20"/>
      <w:bookmarkEnd w:id="15"/>
      <w:bookmarkStart w:id="16" w:name="_Toc3477"/>
      <w:r>
        <w:rPr>
          <w:rFonts w:ascii="宋体" w:hAnsi="宋体" w:eastAsia="宋体" w:cs="宋体"/>
          <w:b/>
          <w:bCs/>
          <w:spacing w:val="-3"/>
          <w:sz w:val="28"/>
          <w:szCs w:val="28"/>
        </w:rPr>
        <w:t>4.投标</w:t>
      </w:r>
      <w:bookmarkEnd w:id="16"/>
    </w:p>
    <w:p w14:paraId="4672BDE6">
      <w:pPr>
        <w:keepNext w:val="0"/>
        <w:keepLines w:val="0"/>
        <w:pageBreakBefore w:val="0"/>
        <w:kinsoku/>
        <w:wordWrap/>
        <w:overflowPunct/>
        <w:topLinePunct w:val="0"/>
        <w:bidi w:val="0"/>
        <w:spacing w:before="255" w:line="228" w:lineRule="auto"/>
        <w:rPr>
          <w:rFonts w:ascii="宋体" w:hAnsi="宋体" w:eastAsia="宋体" w:cs="宋体"/>
          <w:sz w:val="20"/>
          <w:szCs w:val="20"/>
        </w:rPr>
      </w:pPr>
      <w:r>
        <w:rPr>
          <w:rFonts w:ascii="宋体" w:hAnsi="宋体" w:eastAsia="宋体" w:cs="宋体"/>
          <w:b/>
          <w:bCs/>
          <w:spacing w:val="6"/>
          <w:sz w:val="20"/>
          <w:szCs w:val="20"/>
        </w:rPr>
        <w:t>4.1</w:t>
      </w:r>
      <w:r>
        <w:rPr>
          <w:rFonts w:ascii="宋体" w:hAnsi="宋体" w:eastAsia="宋体" w:cs="宋体"/>
          <w:spacing w:val="6"/>
          <w:sz w:val="20"/>
          <w:szCs w:val="20"/>
        </w:rPr>
        <w:t xml:space="preserve"> </w:t>
      </w:r>
      <w:r>
        <w:rPr>
          <w:rFonts w:ascii="宋体" w:hAnsi="宋体" w:eastAsia="宋体" w:cs="宋体"/>
          <w:b/>
          <w:bCs/>
          <w:spacing w:val="6"/>
          <w:sz w:val="20"/>
          <w:szCs w:val="20"/>
        </w:rPr>
        <w:t>投标文件的加密</w:t>
      </w:r>
    </w:p>
    <w:p w14:paraId="63EA8F09">
      <w:pPr>
        <w:keepNext w:val="0"/>
        <w:keepLines w:val="0"/>
        <w:pageBreakBefore w:val="0"/>
        <w:kinsoku/>
        <w:wordWrap/>
        <w:overflowPunct/>
        <w:topLinePunct w:val="0"/>
        <w:bidi w:val="0"/>
        <w:spacing w:before="230" w:line="227" w:lineRule="auto"/>
        <w:ind w:left="427"/>
        <w:rPr>
          <w:rFonts w:ascii="宋体" w:hAnsi="宋体" w:eastAsia="宋体" w:cs="宋体"/>
          <w:sz w:val="20"/>
          <w:szCs w:val="20"/>
        </w:rPr>
      </w:pPr>
      <w:r>
        <w:rPr>
          <w:rFonts w:ascii="宋体" w:hAnsi="宋体" w:eastAsia="宋体" w:cs="宋体"/>
          <w:spacing w:val="8"/>
          <w:sz w:val="20"/>
          <w:szCs w:val="20"/>
        </w:rPr>
        <w:t>4.1.1 网上上传的电子投标文件应使用数字证书认证并加密。</w:t>
      </w:r>
    </w:p>
    <w:p w14:paraId="64A67E49">
      <w:pPr>
        <w:keepNext w:val="0"/>
        <w:keepLines w:val="0"/>
        <w:pageBreakBefore w:val="0"/>
        <w:kinsoku/>
        <w:wordWrap/>
        <w:overflowPunct/>
        <w:topLinePunct w:val="0"/>
        <w:bidi w:val="0"/>
        <w:spacing w:before="175" w:line="228" w:lineRule="auto"/>
        <w:rPr>
          <w:rFonts w:ascii="宋体" w:hAnsi="宋体" w:eastAsia="宋体" w:cs="宋体"/>
          <w:sz w:val="20"/>
          <w:szCs w:val="20"/>
        </w:rPr>
      </w:pPr>
      <w:r>
        <w:rPr>
          <w:rFonts w:ascii="宋体" w:hAnsi="宋体" w:eastAsia="宋体" w:cs="宋体"/>
          <w:b/>
          <w:bCs/>
          <w:spacing w:val="6"/>
          <w:sz w:val="20"/>
          <w:szCs w:val="20"/>
        </w:rPr>
        <w:t>4.2</w:t>
      </w:r>
      <w:r>
        <w:rPr>
          <w:rFonts w:ascii="宋体" w:hAnsi="宋体" w:eastAsia="宋体" w:cs="宋体"/>
          <w:spacing w:val="6"/>
          <w:sz w:val="20"/>
          <w:szCs w:val="20"/>
        </w:rPr>
        <w:t xml:space="preserve"> </w:t>
      </w:r>
      <w:r>
        <w:rPr>
          <w:rFonts w:ascii="宋体" w:hAnsi="宋体" w:eastAsia="宋体" w:cs="宋体"/>
          <w:b/>
          <w:bCs/>
          <w:spacing w:val="6"/>
          <w:sz w:val="20"/>
          <w:szCs w:val="20"/>
        </w:rPr>
        <w:t>投标文件的递交</w:t>
      </w:r>
    </w:p>
    <w:p w14:paraId="233D10BB">
      <w:pPr>
        <w:keepNext w:val="0"/>
        <w:keepLines w:val="0"/>
        <w:pageBreakBefore w:val="0"/>
        <w:kinsoku/>
        <w:wordWrap/>
        <w:overflowPunct/>
        <w:topLinePunct w:val="0"/>
        <w:bidi w:val="0"/>
        <w:spacing w:before="229" w:line="439" w:lineRule="auto"/>
        <w:ind w:left="1" w:right="2" w:firstLine="425"/>
        <w:rPr>
          <w:rFonts w:ascii="宋体" w:hAnsi="宋体" w:eastAsia="宋体" w:cs="宋体"/>
          <w:sz w:val="20"/>
          <w:szCs w:val="20"/>
        </w:rPr>
      </w:pPr>
      <w:r>
        <w:rPr>
          <w:rFonts w:ascii="宋体" w:hAnsi="宋体" w:eastAsia="宋体" w:cs="宋体"/>
          <w:spacing w:val="9"/>
          <w:sz w:val="20"/>
          <w:szCs w:val="20"/>
        </w:rPr>
        <w:t>4.2.1 投标人应在第二章《投标人须知前附表》</w:t>
      </w:r>
      <w:r>
        <w:rPr>
          <w:rFonts w:ascii="宋体" w:hAnsi="宋体" w:eastAsia="宋体" w:cs="宋体"/>
          <w:spacing w:val="-57"/>
          <w:sz w:val="20"/>
          <w:szCs w:val="20"/>
        </w:rPr>
        <w:t xml:space="preserve"> </w:t>
      </w:r>
      <w:r>
        <w:rPr>
          <w:rFonts w:ascii="宋体" w:hAnsi="宋体" w:eastAsia="宋体" w:cs="宋体"/>
          <w:spacing w:val="9"/>
          <w:sz w:val="20"/>
          <w:szCs w:val="20"/>
        </w:rPr>
        <w:t>中第</w:t>
      </w:r>
      <w:r>
        <w:rPr>
          <w:rFonts w:ascii="宋体" w:hAnsi="宋体" w:eastAsia="宋体" w:cs="宋体"/>
          <w:spacing w:val="-32"/>
          <w:sz w:val="20"/>
          <w:szCs w:val="20"/>
        </w:rPr>
        <w:t xml:space="preserve"> </w:t>
      </w:r>
      <w:r>
        <w:rPr>
          <w:rFonts w:ascii="宋体" w:hAnsi="宋体" w:eastAsia="宋体" w:cs="宋体"/>
          <w:spacing w:val="9"/>
          <w:sz w:val="20"/>
          <w:szCs w:val="20"/>
        </w:rPr>
        <w:t>2.2.2 项规定</w:t>
      </w:r>
      <w:r>
        <w:rPr>
          <w:rFonts w:ascii="宋体" w:hAnsi="宋体" w:eastAsia="宋体" w:cs="宋体"/>
          <w:spacing w:val="8"/>
          <w:sz w:val="20"/>
          <w:szCs w:val="20"/>
        </w:rPr>
        <w:t>的投标截止时间前上传加密</w:t>
      </w:r>
      <w:r>
        <w:rPr>
          <w:rFonts w:ascii="宋体" w:hAnsi="宋体" w:eastAsia="宋体" w:cs="宋体"/>
          <w:spacing w:val="7"/>
          <w:sz w:val="20"/>
          <w:szCs w:val="20"/>
        </w:rPr>
        <w:t>的电子投标文件（*.</w:t>
      </w:r>
      <w:r>
        <w:rPr>
          <w:rFonts w:ascii="宋体" w:hAnsi="宋体" w:eastAsia="宋体" w:cs="宋体"/>
          <w:sz w:val="20"/>
          <w:szCs w:val="20"/>
        </w:rPr>
        <w:t>hntf</w:t>
      </w:r>
      <w:r>
        <w:rPr>
          <w:rFonts w:ascii="宋体" w:hAnsi="宋体" w:eastAsia="宋体" w:cs="宋体"/>
          <w:spacing w:val="7"/>
          <w:sz w:val="20"/>
          <w:szCs w:val="20"/>
        </w:rPr>
        <w:t>）到会员系统的指定位置。上传时必须得到电脑“上传成功</w:t>
      </w:r>
      <w:r>
        <w:rPr>
          <w:rFonts w:ascii="宋体" w:hAnsi="宋体" w:eastAsia="宋体" w:cs="宋体"/>
          <w:spacing w:val="-53"/>
          <w:sz w:val="20"/>
          <w:szCs w:val="20"/>
        </w:rPr>
        <w:t xml:space="preserve"> </w:t>
      </w:r>
      <w:r>
        <w:rPr>
          <w:rFonts w:ascii="宋体" w:hAnsi="宋体" w:eastAsia="宋体" w:cs="宋体"/>
          <w:spacing w:val="7"/>
          <w:sz w:val="20"/>
          <w:szCs w:val="20"/>
        </w:rPr>
        <w:t>”的确认。请投</w:t>
      </w:r>
      <w:r>
        <w:rPr>
          <w:rFonts w:ascii="宋体" w:hAnsi="宋体" w:eastAsia="宋体" w:cs="宋体"/>
          <w:spacing w:val="8"/>
          <w:sz w:val="20"/>
          <w:szCs w:val="20"/>
        </w:rPr>
        <w:t>标人在上传时认真检查上传投标文件是否完整、正确。投标人因交易中心投标系统问题无法</w:t>
      </w:r>
      <w:r>
        <w:rPr>
          <w:rFonts w:ascii="宋体" w:hAnsi="宋体" w:eastAsia="宋体" w:cs="宋体"/>
          <w:spacing w:val="7"/>
          <w:sz w:val="20"/>
          <w:szCs w:val="20"/>
        </w:rPr>
        <w:t>上传电子</w:t>
      </w:r>
      <w:r>
        <w:rPr>
          <w:rFonts w:ascii="宋体" w:hAnsi="宋体" w:eastAsia="宋体" w:cs="宋体"/>
          <w:spacing w:val="9"/>
          <w:sz w:val="20"/>
          <w:szCs w:val="20"/>
        </w:rPr>
        <w:t>投标文件时，请在工作时间与河南省公共资源交易中心联系。</w:t>
      </w:r>
    </w:p>
    <w:p w14:paraId="2C32E808">
      <w:pPr>
        <w:keepNext w:val="0"/>
        <w:keepLines w:val="0"/>
        <w:pageBreakBefore w:val="0"/>
        <w:kinsoku/>
        <w:wordWrap/>
        <w:overflowPunct/>
        <w:topLinePunct w:val="0"/>
        <w:bidi w:val="0"/>
        <w:spacing w:line="226" w:lineRule="auto"/>
        <w:ind w:left="427"/>
        <w:rPr>
          <w:rFonts w:ascii="宋体" w:hAnsi="宋体" w:eastAsia="宋体" w:cs="宋体"/>
          <w:sz w:val="20"/>
          <w:szCs w:val="20"/>
        </w:rPr>
      </w:pPr>
      <w:r>
        <w:rPr>
          <w:rFonts w:ascii="宋体" w:hAnsi="宋体" w:eastAsia="宋体" w:cs="宋体"/>
          <w:spacing w:val="7"/>
          <w:sz w:val="20"/>
          <w:szCs w:val="20"/>
        </w:rPr>
        <w:t>4.2.2</w:t>
      </w:r>
      <w:r>
        <w:rPr>
          <w:rFonts w:ascii="宋体" w:hAnsi="宋体" w:eastAsia="宋体" w:cs="宋体"/>
          <w:spacing w:val="-25"/>
          <w:sz w:val="20"/>
          <w:szCs w:val="20"/>
        </w:rPr>
        <w:t xml:space="preserve"> </w:t>
      </w:r>
      <w:r>
        <w:rPr>
          <w:rFonts w:ascii="宋体" w:hAnsi="宋体" w:eastAsia="宋体" w:cs="宋体"/>
          <w:spacing w:val="7"/>
          <w:sz w:val="20"/>
          <w:szCs w:val="20"/>
        </w:rPr>
        <w:t>远程开标机位：详见投标人须知前附表。</w:t>
      </w:r>
    </w:p>
    <w:p w14:paraId="3435D78C">
      <w:pPr>
        <w:keepNext w:val="0"/>
        <w:keepLines w:val="0"/>
        <w:pageBreakBefore w:val="0"/>
        <w:kinsoku/>
        <w:wordWrap/>
        <w:overflowPunct/>
        <w:topLinePunct w:val="0"/>
        <w:bidi w:val="0"/>
        <w:spacing w:before="229" w:line="227" w:lineRule="auto"/>
        <w:ind w:left="427"/>
        <w:rPr>
          <w:rFonts w:ascii="宋体" w:hAnsi="宋体" w:eastAsia="宋体" w:cs="宋体"/>
          <w:sz w:val="20"/>
          <w:szCs w:val="20"/>
        </w:rPr>
      </w:pPr>
      <w:r>
        <w:rPr>
          <w:rFonts w:ascii="宋体" w:hAnsi="宋体" w:eastAsia="宋体" w:cs="宋体"/>
          <w:spacing w:val="8"/>
          <w:sz w:val="20"/>
          <w:szCs w:val="20"/>
        </w:rPr>
        <w:t>4.2.3</w:t>
      </w:r>
      <w:r>
        <w:rPr>
          <w:rFonts w:ascii="宋体" w:hAnsi="宋体" w:eastAsia="宋体" w:cs="宋体"/>
          <w:spacing w:val="-23"/>
          <w:sz w:val="20"/>
          <w:szCs w:val="20"/>
        </w:rPr>
        <w:t xml:space="preserve"> </w:t>
      </w:r>
      <w:r>
        <w:rPr>
          <w:rFonts w:ascii="宋体" w:hAnsi="宋体" w:eastAsia="宋体" w:cs="宋体"/>
          <w:spacing w:val="8"/>
          <w:sz w:val="20"/>
          <w:szCs w:val="20"/>
        </w:rPr>
        <w:t>除投标人须知前附表另有规定外，投标人所递交的投标文件不予退还。</w:t>
      </w:r>
    </w:p>
    <w:p w14:paraId="5A5F1CD9">
      <w:pPr>
        <w:keepNext w:val="0"/>
        <w:keepLines w:val="0"/>
        <w:pageBreakBefore w:val="0"/>
        <w:kinsoku/>
        <w:wordWrap/>
        <w:overflowPunct/>
        <w:topLinePunct w:val="0"/>
        <w:bidi w:val="0"/>
        <w:spacing w:before="229" w:line="228" w:lineRule="auto"/>
        <w:rPr>
          <w:rFonts w:ascii="宋体" w:hAnsi="宋体" w:eastAsia="宋体" w:cs="宋体"/>
          <w:sz w:val="20"/>
          <w:szCs w:val="20"/>
        </w:rPr>
      </w:pPr>
      <w:r>
        <w:rPr>
          <w:rFonts w:ascii="宋体" w:hAnsi="宋体" w:eastAsia="宋体" w:cs="宋体"/>
          <w:b/>
          <w:bCs/>
          <w:spacing w:val="6"/>
          <w:sz w:val="20"/>
          <w:szCs w:val="20"/>
        </w:rPr>
        <w:t>4.3</w:t>
      </w:r>
      <w:r>
        <w:rPr>
          <w:rFonts w:ascii="宋体" w:hAnsi="宋体" w:eastAsia="宋体" w:cs="宋体"/>
          <w:spacing w:val="6"/>
          <w:sz w:val="20"/>
          <w:szCs w:val="20"/>
        </w:rPr>
        <w:t xml:space="preserve"> </w:t>
      </w:r>
      <w:r>
        <w:rPr>
          <w:rFonts w:ascii="宋体" w:hAnsi="宋体" w:eastAsia="宋体" w:cs="宋体"/>
          <w:b/>
          <w:bCs/>
          <w:spacing w:val="6"/>
          <w:sz w:val="20"/>
          <w:szCs w:val="20"/>
        </w:rPr>
        <w:t>投标文件的修改与撤回</w:t>
      </w:r>
    </w:p>
    <w:p w14:paraId="2CF028A0">
      <w:pPr>
        <w:keepNext w:val="0"/>
        <w:keepLines w:val="0"/>
        <w:pageBreakBefore w:val="0"/>
        <w:kinsoku/>
        <w:wordWrap/>
        <w:overflowPunct/>
        <w:topLinePunct w:val="0"/>
        <w:bidi w:val="0"/>
        <w:spacing w:before="227" w:line="439" w:lineRule="auto"/>
        <w:ind w:left="8" w:right="2" w:firstLine="419"/>
        <w:rPr>
          <w:rFonts w:ascii="宋体" w:hAnsi="宋体" w:eastAsia="宋体" w:cs="宋体"/>
          <w:sz w:val="20"/>
          <w:szCs w:val="20"/>
        </w:rPr>
      </w:pPr>
      <w:r>
        <w:rPr>
          <w:rFonts w:ascii="宋体" w:hAnsi="宋体" w:eastAsia="宋体" w:cs="宋体"/>
          <w:spacing w:val="6"/>
          <w:sz w:val="20"/>
          <w:szCs w:val="20"/>
        </w:rPr>
        <w:t>4.3.1 在第二章《投标人须知前附表》中第</w:t>
      </w:r>
      <w:r>
        <w:rPr>
          <w:rFonts w:ascii="宋体" w:hAnsi="宋体" w:eastAsia="宋体" w:cs="宋体"/>
          <w:spacing w:val="-25"/>
          <w:sz w:val="20"/>
          <w:szCs w:val="20"/>
        </w:rPr>
        <w:t xml:space="preserve"> </w:t>
      </w:r>
      <w:r>
        <w:rPr>
          <w:rFonts w:ascii="宋体" w:hAnsi="宋体" w:eastAsia="宋体" w:cs="宋体"/>
          <w:spacing w:val="6"/>
          <w:sz w:val="20"/>
          <w:szCs w:val="20"/>
        </w:rPr>
        <w:t>2.2.2</w:t>
      </w:r>
      <w:r>
        <w:rPr>
          <w:rFonts w:ascii="宋体" w:hAnsi="宋体" w:eastAsia="宋体" w:cs="宋体"/>
          <w:spacing w:val="-37"/>
          <w:sz w:val="20"/>
          <w:szCs w:val="20"/>
        </w:rPr>
        <w:t xml:space="preserve"> </w:t>
      </w:r>
      <w:r>
        <w:rPr>
          <w:rFonts w:ascii="宋体" w:hAnsi="宋体" w:eastAsia="宋体" w:cs="宋体"/>
          <w:spacing w:val="6"/>
          <w:sz w:val="20"/>
          <w:szCs w:val="20"/>
        </w:rPr>
        <w:t>项规定的投标截止时间前，投标人可以多次修</w:t>
      </w:r>
      <w:r>
        <w:rPr>
          <w:rFonts w:ascii="宋体" w:hAnsi="宋体" w:eastAsia="宋体" w:cs="宋体"/>
          <w:spacing w:val="8"/>
          <w:sz w:val="20"/>
          <w:szCs w:val="20"/>
        </w:rPr>
        <w:t>改或撤回已递交的投标文件，最终投标文件以投标截止时间前完成上传至河</w:t>
      </w:r>
      <w:r>
        <w:rPr>
          <w:rFonts w:ascii="宋体" w:hAnsi="宋体" w:eastAsia="宋体" w:cs="宋体"/>
          <w:spacing w:val="7"/>
          <w:sz w:val="20"/>
          <w:szCs w:val="20"/>
        </w:rPr>
        <w:t>南省公共资源交易中心交</w:t>
      </w:r>
      <w:r>
        <w:rPr>
          <w:rFonts w:ascii="宋体" w:hAnsi="宋体" w:eastAsia="宋体" w:cs="宋体"/>
          <w:spacing w:val="8"/>
          <w:sz w:val="20"/>
          <w:szCs w:val="20"/>
        </w:rPr>
        <w:t>易系统最后一份投标文件为准。</w:t>
      </w:r>
    </w:p>
    <w:p w14:paraId="76A532F4">
      <w:pPr>
        <w:keepNext w:val="0"/>
        <w:keepLines w:val="0"/>
        <w:pageBreakBefore w:val="0"/>
        <w:kinsoku/>
        <w:wordWrap/>
        <w:overflowPunct/>
        <w:topLinePunct w:val="0"/>
        <w:bidi w:val="0"/>
        <w:spacing w:before="1" w:line="226" w:lineRule="auto"/>
        <w:ind w:left="427"/>
        <w:rPr>
          <w:rFonts w:ascii="宋体" w:hAnsi="宋体" w:eastAsia="宋体" w:cs="宋体"/>
          <w:sz w:val="20"/>
          <w:szCs w:val="20"/>
        </w:rPr>
      </w:pPr>
      <w:r>
        <w:rPr>
          <w:rFonts w:ascii="宋体" w:hAnsi="宋体" w:eastAsia="宋体" w:cs="宋体"/>
          <w:spacing w:val="7"/>
          <w:sz w:val="20"/>
          <w:szCs w:val="20"/>
        </w:rPr>
        <w:t>4.3.2</w:t>
      </w:r>
      <w:r>
        <w:rPr>
          <w:rFonts w:ascii="宋体" w:hAnsi="宋体" w:eastAsia="宋体" w:cs="宋体"/>
          <w:spacing w:val="-40"/>
          <w:sz w:val="20"/>
          <w:szCs w:val="20"/>
        </w:rPr>
        <w:t xml:space="preserve"> </w:t>
      </w:r>
      <w:r>
        <w:rPr>
          <w:rFonts w:ascii="宋体" w:hAnsi="宋体" w:eastAsia="宋体" w:cs="宋体"/>
          <w:spacing w:val="7"/>
          <w:sz w:val="20"/>
          <w:szCs w:val="20"/>
        </w:rPr>
        <w:t>修改的投标文件应按照本章第</w:t>
      </w:r>
      <w:r>
        <w:rPr>
          <w:rFonts w:ascii="宋体" w:hAnsi="宋体" w:eastAsia="宋体" w:cs="宋体"/>
          <w:spacing w:val="-33"/>
          <w:sz w:val="20"/>
          <w:szCs w:val="20"/>
        </w:rPr>
        <w:t xml:space="preserve"> </w:t>
      </w:r>
      <w:r>
        <w:rPr>
          <w:rFonts w:ascii="宋体" w:hAnsi="宋体" w:eastAsia="宋体" w:cs="宋体"/>
          <w:spacing w:val="7"/>
          <w:sz w:val="20"/>
          <w:szCs w:val="20"/>
        </w:rPr>
        <w:t>3</w:t>
      </w:r>
      <w:r>
        <w:rPr>
          <w:rFonts w:ascii="宋体" w:hAnsi="宋体" w:eastAsia="宋体" w:cs="宋体"/>
          <w:spacing w:val="-39"/>
          <w:sz w:val="20"/>
          <w:szCs w:val="20"/>
        </w:rPr>
        <w:t xml:space="preserve"> </w:t>
      </w:r>
      <w:r>
        <w:rPr>
          <w:rFonts w:ascii="宋体" w:hAnsi="宋体" w:eastAsia="宋体" w:cs="宋体"/>
          <w:spacing w:val="7"/>
          <w:sz w:val="20"/>
          <w:szCs w:val="20"/>
        </w:rPr>
        <w:t>条、第</w:t>
      </w:r>
      <w:r>
        <w:rPr>
          <w:rFonts w:ascii="宋体" w:hAnsi="宋体" w:eastAsia="宋体" w:cs="宋体"/>
          <w:spacing w:val="-37"/>
          <w:sz w:val="20"/>
          <w:szCs w:val="20"/>
        </w:rPr>
        <w:t xml:space="preserve"> </w:t>
      </w:r>
      <w:r>
        <w:rPr>
          <w:rFonts w:ascii="宋体" w:hAnsi="宋体" w:eastAsia="宋体" w:cs="宋体"/>
          <w:spacing w:val="7"/>
          <w:sz w:val="20"/>
          <w:szCs w:val="20"/>
        </w:rPr>
        <w:t>4</w:t>
      </w:r>
      <w:r>
        <w:rPr>
          <w:rFonts w:ascii="宋体" w:hAnsi="宋体" w:eastAsia="宋体" w:cs="宋体"/>
          <w:spacing w:val="-39"/>
          <w:sz w:val="20"/>
          <w:szCs w:val="20"/>
        </w:rPr>
        <w:t xml:space="preserve"> </w:t>
      </w:r>
      <w:r>
        <w:rPr>
          <w:rFonts w:ascii="宋体" w:hAnsi="宋体" w:eastAsia="宋体" w:cs="宋体"/>
          <w:spacing w:val="7"/>
          <w:sz w:val="20"/>
          <w:szCs w:val="20"/>
        </w:rPr>
        <w:t>条规定进行编</w:t>
      </w:r>
      <w:r>
        <w:rPr>
          <w:rFonts w:ascii="宋体" w:hAnsi="宋体" w:eastAsia="宋体" w:cs="宋体"/>
          <w:spacing w:val="6"/>
          <w:sz w:val="20"/>
          <w:szCs w:val="20"/>
        </w:rPr>
        <w:t>制和递交。</w:t>
      </w:r>
    </w:p>
    <w:p w14:paraId="5ACFC1D3">
      <w:pPr>
        <w:keepNext w:val="0"/>
        <w:keepLines w:val="0"/>
        <w:pageBreakBefore w:val="0"/>
        <w:kinsoku/>
        <w:wordWrap/>
        <w:overflowPunct/>
        <w:topLinePunct w:val="0"/>
        <w:bidi w:val="0"/>
        <w:spacing w:before="273" w:line="221" w:lineRule="auto"/>
        <w:ind w:left="4161"/>
        <w:outlineLvl w:val="1"/>
        <w:rPr>
          <w:rFonts w:ascii="宋体" w:hAnsi="宋体" w:eastAsia="宋体" w:cs="宋体"/>
          <w:sz w:val="28"/>
          <w:szCs w:val="28"/>
        </w:rPr>
      </w:pPr>
      <w:bookmarkStart w:id="17" w:name="bookmark21"/>
      <w:bookmarkEnd w:id="17"/>
      <w:bookmarkStart w:id="18" w:name="_Toc9377"/>
      <w:r>
        <w:rPr>
          <w:rFonts w:ascii="宋体" w:hAnsi="宋体" w:eastAsia="宋体" w:cs="宋体"/>
          <w:b/>
          <w:bCs/>
          <w:spacing w:val="-5"/>
          <w:sz w:val="28"/>
          <w:szCs w:val="28"/>
        </w:rPr>
        <w:t>5.开标</w:t>
      </w:r>
      <w:bookmarkEnd w:id="18"/>
    </w:p>
    <w:p w14:paraId="1C0D34AA">
      <w:pPr>
        <w:keepNext w:val="0"/>
        <w:keepLines w:val="0"/>
        <w:pageBreakBefore w:val="0"/>
        <w:kinsoku/>
        <w:wordWrap/>
        <w:overflowPunct/>
        <w:topLinePunct w:val="0"/>
        <w:bidi w:val="0"/>
        <w:spacing w:before="258" w:line="228" w:lineRule="auto"/>
        <w:ind w:left="5"/>
        <w:rPr>
          <w:rFonts w:ascii="宋体" w:hAnsi="宋体" w:eastAsia="宋体" w:cs="宋体"/>
          <w:sz w:val="20"/>
          <w:szCs w:val="20"/>
        </w:rPr>
      </w:pPr>
      <w:r>
        <w:rPr>
          <w:rFonts w:ascii="宋体" w:hAnsi="宋体" w:eastAsia="宋体" w:cs="宋体"/>
          <w:b/>
          <w:bCs/>
          <w:spacing w:val="5"/>
          <w:sz w:val="20"/>
          <w:szCs w:val="20"/>
        </w:rPr>
        <w:t>5.1</w:t>
      </w:r>
      <w:r>
        <w:rPr>
          <w:rFonts w:ascii="宋体" w:hAnsi="宋体" w:eastAsia="宋体" w:cs="宋体"/>
          <w:spacing w:val="5"/>
          <w:sz w:val="20"/>
          <w:szCs w:val="20"/>
        </w:rPr>
        <w:t xml:space="preserve"> </w:t>
      </w:r>
      <w:r>
        <w:rPr>
          <w:rFonts w:ascii="宋体" w:hAnsi="宋体" w:eastAsia="宋体" w:cs="宋体"/>
          <w:b/>
          <w:bCs/>
          <w:spacing w:val="5"/>
          <w:sz w:val="20"/>
          <w:szCs w:val="20"/>
        </w:rPr>
        <w:t>开标时间和地点</w:t>
      </w:r>
    </w:p>
    <w:p w14:paraId="46996AB4">
      <w:pPr>
        <w:keepNext w:val="0"/>
        <w:keepLines w:val="0"/>
        <w:pageBreakBefore w:val="0"/>
        <w:kinsoku/>
        <w:wordWrap/>
        <w:overflowPunct/>
        <w:topLinePunct w:val="0"/>
        <w:bidi w:val="0"/>
        <w:spacing w:before="225" w:line="439" w:lineRule="auto"/>
        <w:ind w:right="2" w:firstLine="432"/>
        <w:rPr>
          <w:rFonts w:ascii="宋体" w:hAnsi="宋体" w:eastAsia="宋体" w:cs="宋体"/>
          <w:sz w:val="20"/>
          <w:szCs w:val="20"/>
        </w:rPr>
      </w:pPr>
      <w:r>
        <w:rPr>
          <w:rFonts w:ascii="宋体" w:hAnsi="宋体" w:eastAsia="宋体" w:cs="宋体"/>
          <w:spacing w:val="8"/>
          <w:sz w:val="20"/>
          <w:szCs w:val="20"/>
        </w:rPr>
        <w:t>5.1.1 采购人在第二章《投标人须知前附表》中第 2.2.2 项规定的投标截止时间（开标时间）和投标人须知前附表规定的地点通过远程进行公开开标。投标人不需要到开标现场，只需根据要</w:t>
      </w:r>
      <w:r>
        <w:rPr>
          <w:rFonts w:ascii="宋体" w:hAnsi="宋体" w:eastAsia="宋体" w:cs="宋体"/>
          <w:spacing w:val="7"/>
          <w:sz w:val="20"/>
          <w:szCs w:val="20"/>
        </w:rPr>
        <w:t>求进行远程解密。河南省公共资源交易中心现采用“远程不见面</w:t>
      </w:r>
      <w:r>
        <w:rPr>
          <w:rFonts w:ascii="宋体" w:hAnsi="宋体" w:eastAsia="宋体" w:cs="宋体"/>
          <w:spacing w:val="-58"/>
          <w:sz w:val="20"/>
          <w:szCs w:val="20"/>
        </w:rPr>
        <w:t xml:space="preserve"> </w:t>
      </w:r>
      <w:r>
        <w:rPr>
          <w:rFonts w:ascii="宋体" w:hAnsi="宋体" w:eastAsia="宋体" w:cs="宋体"/>
          <w:spacing w:val="7"/>
          <w:sz w:val="20"/>
          <w:szCs w:val="20"/>
        </w:rPr>
        <w:t>”开标方式，投标人须提前进入远程开标</w:t>
      </w:r>
      <w:r>
        <w:rPr>
          <w:rFonts w:ascii="宋体" w:hAnsi="宋体" w:eastAsia="宋体" w:cs="宋体"/>
          <w:spacing w:val="19"/>
          <w:sz w:val="20"/>
          <w:szCs w:val="20"/>
        </w:rPr>
        <w:t>大厅（</w:t>
      </w:r>
      <w:r>
        <w:fldChar w:fldCharType="begin"/>
      </w:r>
      <w:r>
        <w:instrText xml:space="preserve"> HYPERLINK "http://hnsggzyjy.henan.gov.cn/BidOpening/bidopeninghallaction/hall/login" </w:instrText>
      </w:r>
      <w:r>
        <w:fldChar w:fldCharType="separate"/>
      </w:r>
      <w:r>
        <w:rPr>
          <w:rFonts w:ascii="宋体" w:hAnsi="宋体" w:eastAsia="宋体" w:cs="宋体"/>
          <w:sz w:val="20"/>
          <w:szCs w:val="20"/>
        </w:rPr>
        <w:t>http</w:t>
      </w:r>
      <w:r>
        <w:rPr>
          <w:rFonts w:ascii="宋体" w:hAnsi="宋体" w:eastAsia="宋体" w:cs="宋体"/>
          <w:spacing w:val="19"/>
          <w:sz w:val="20"/>
          <w:szCs w:val="20"/>
        </w:rPr>
        <w:t>://</w:t>
      </w:r>
      <w:r>
        <w:rPr>
          <w:rFonts w:ascii="宋体" w:hAnsi="宋体" w:eastAsia="宋体" w:cs="宋体"/>
          <w:sz w:val="20"/>
          <w:szCs w:val="20"/>
        </w:rPr>
        <w:t>hnsggzyjy</w:t>
      </w:r>
      <w:r>
        <w:rPr>
          <w:rFonts w:ascii="宋体" w:hAnsi="宋体" w:eastAsia="宋体" w:cs="宋体"/>
          <w:spacing w:val="19"/>
          <w:sz w:val="20"/>
          <w:szCs w:val="20"/>
        </w:rPr>
        <w:t>.</w:t>
      </w:r>
      <w:r>
        <w:rPr>
          <w:rFonts w:ascii="宋体" w:hAnsi="宋体" w:eastAsia="宋体" w:cs="宋体"/>
          <w:sz w:val="20"/>
          <w:szCs w:val="20"/>
        </w:rPr>
        <w:t>henan</w:t>
      </w:r>
      <w:r>
        <w:rPr>
          <w:rFonts w:ascii="宋体" w:hAnsi="宋体" w:eastAsia="宋体" w:cs="宋体"/>
          <w:spacing w:val="19"/>
          <w:sz w:val="20"/>
          <w:szCs w:val="20"/>
        </w:rPr>
        <w:t>.</w:t>
      </w:r>
      <w:r>
        <w:rPr>
          <w:rFonts w:ascii="宋体" w:hAnsi="宋体" w:eastAsia="宋体" w:cs="宋体"/>
          <w:sz w:val="20"/>
          <w:szCs w:val="20"/>
        </w:rPr>
        <w:t>gov</w:t>
      </w:r>
      <w:r>
        <w:rPr>
          <w:rFonts w:ascii="宋体" w:hAnsi="宋体" w:eastAsia="宋体" w:cs="宋体"/>
          <w:spacing w:val="19"/>
          <w:sz w:val="20"/>
          <w:szCs w:val="20"/>
        </w:rPr>
        <w:t>.</w:t>
      </w:r>
      <w:r>
        <w:rPr>
          <w:rFonts w:ascii="宋体" w:hAnsi="宋体" w:eastAsia="宋体" w:cs="宋体"/>
          <w:sz w:val="20"/>
          <w:szCs w:val="20"/>
        </w:rPr>
        <w:t>cn</w:t>
      </w:r>
      <w:r>
        <w:rPr>
          <w:rFonts w:ascii="宋体" w:hAnsi="宋体" w:eastAsia="宋体" w:cs="宋体"/>
          <w:spacing w:val="19"/>
          <w:sz w:val="20"/>
          <w:szCs w:val="20"/>
        </w:rPr>
        <w:t>/</w:t>
      </w:r>
      <w:r>
        <w:rPr>
          <w:rFonts w:ascii="宋体" w:hAnsi="宋体" w:eastAsia="宋体" w:cs="宋体"/>
          <w:sz w:val="20"/>
          <w:szCs w:val="20"/>
        </w:rPr>
        <w:t>BidOpening</w:t>
      </w:r>
      <w:r>
        <w:rPr>
          <w:rFonts w:ascii="宋体" w:hAnsi="宋体" w:eastAsia="宋体" w:cs="宋体"/>
          <w:spacing w:val="19"/>
          <w:sz w:val="20"/>
          <w:szCs w:val="20"/>
        </w:rPr>
        <w:t>/</w:t>
      </w:r>
      <w:r>
        <w:rPr>
          <w:rFonts w:ascii="宋体" w:hAnsi="宋体" w:eastAsia="宋体" w:cs="宋体"/>
          <w:sz w:val="20"/>
          <w:szCs w:val="20"/>
        </w:rPr>
        <w:t>bidopeninghallaction</w:t>
      </w:r>
      <w:r>
        <w:rPr>
          <w:rFonts w:ascii="宋体" w:hAnsi="宋体" w:eastAsia="宋体" w:cs="宋体"/>
          <w:spacing w:val="19"/>
          <w:sz w:val="20"/>
          <w:szCs w:val="20"/>
        </w:rPr>
        <w:t>/</w:t>
      </w:r>
      <w:r>
        <w:rPr>
          <w:rFonts w:ascii="宋体" w:hAnsi="宋体" w:eastAsia="宋体" w:cs="宋体"/>
          <w:sz w:val="20"/>
          <w:szCs w:val="20"/>
        </w:rPr>
        <w:t>hall</w:t>
      </w:r>
      <w:r>
        <w:rPr>
          <w:rFonts w:ascii="宋体" w:hAnsi="宋体" w:eastAsia="宋体" w:cs="宋体"/>
          <w:spacing w:val="19"/>
          <w:sz w:val="20"/>
          <w:szCs w:val="20"/>
        </w:rPr>
        <w:t>/</w:t>
      </w:r>
      <w:r>
        <w:rPr>
          <w:rFonts w:ascii="宋体" w:hAnsi="宋体" w:eastAsia="宋体" w:cs="宋体"/>
          <w:sz w:val="20"/>
          <w:szCs w:val="20"/>
        </w:rPr>
        <w:t>login</w:t>
      </w:r>
      <w:r>
        <w:rPr>
          <w:rFonts w:ascii="宋体" w:hAnsi="宋体" w:eastAsia="宋体" w:cs="宋体"/>
          <w:sz w:val="20"/>
          <w:szCs w:val="20"/>
        </w:rPr>
        <w:fldChar w:fldCharType="end"/>
      </w:r>
      <w:r>
        <w:rPr>
          <w:rFonts w:ascii="宋体" w:hAnsi="宋体" w:eastAsia="宋体" w:cs="宋体"/>
          <w:spacing w:val="19"/>
          <w:sz w:val="20"/>
          <w:szCs w:val="20"/>
        </w:rPr>
        <w:t>）进行开标</w:t>
      </w:r>
      <w:r>
        <w:rPr>
          <w:rFonts w:ascii="宋体" w:hAnsi="宋体" w:eastAsia="宋体" w:cs="宋体"/>
          <w:spacing w:val="10"/>
          <w:sz w:val="20"/>
          <w:szCs w:val="20"/>
        </w:rPr>
        <w:t>操作和投标文件的解密。具体操作流程及程序，请查阅河南省公共资源交易中心网站公共服务-办事</w:t>
      </w:r>
      <w:r>
        <w:rPr>
          <w:rFonts w:ascii="宋体" w:hAnsi="宋体" w:eastAsia="宋体" w:cs="宋体"/>
          <w:spacing w:val="8"/>
          <w:sz w:val="20"/>
          <w:szCs w:val="20"/>
        </w:rPr>
        <w:t>指南-新交易平台使用手册（培训资料）。</w:t>
      </w:r>
    </w:p>
    <w:p w14:paraId="6A432706">
      <w:pPr>
        <w:keepNext w:val="0"/>
        <w:keepLines w:val="0"/>
        <w:pageBreakBefore w:val="0"/>
        <w:kinsoku/>
        <w:wordWrap/>
        <w:overflowPunct/>
        <w:topLinePunct w:val="0"/>
        <w:bidi w:val="0"/>
        <w:spacing w:before="1" w:line="227" w:lineRule="auto"/>
        <w:ind w:left="432"/>
        <w:rPr>
          <w:rFonts w:ascii="宋体" w:hAnsi="宋体" w:eastAsia="宋体" w:cs="宋体"/>
          <w:sz w:val="20"/>
          <w:szCs w:val="20"/>
        </w:rPr>
      </w:pPr>
      <w:r>
        <w:rPr>
          <w:rFonts w:ascii="宋体" w:hAnsi="宋体" w:eastAsia="宋体" w:cs="宋体"/>
          <w:spacing w:val="8"/>
          <w:sz w:val="20"/>
          <w:szCs w:val="20"/>
        </w:rPr>
        <w:t>5.1.2 投标人须在系统规定的解密时间内完</w:t>
      </w:r>
      <w:r>
        <w:rPr>
          <w:rFonts w:ascii="宋体" w:hAnsi="宋体" w:eastAsia="宋体" w:cs="宋体"/>
          <w:spacing w:val="7"/>
          <w:sz w:val="20"/>
          <w:szCs w:val="20"/>
        </w:rPr>
        <w:t>成解密。</w:t>
      </w:r>
    </w:p>
    <w:p w14:paraId="6EEE94AE">
      <w:pPr>
        <w:keepNext w:val="0"/>
        <w:keepLines w:val="0"/>
        <w:pageBreakBefore w:val="0"/>
        <w:kinsoku/>
        <w:wordWrap/>
        <w:overflowPunct/>
        <w:topLinePunct w:val="0"/>
        <w:bidi w:val="0"/>
        <w:spacing w:before="231" w:line="228" w:lineRule="auto"/>
        <w:ind w:left="5"/>
        <w:rPr>
          <w:rFonts w:ascii="宋体" w:hAnsi="宋体" w:eastAsia="宋体" w:cs="宋体"/>
          <w:sz w:val="20"/>
          <w:szCs w:val="20"/>
        </w:rPr>
      </w:pPr>
      <w:r>
        <w:rPr>
          <w:rFonts w:ascii="宋体" w:hAnsi="宋体" w:eastAsia="宋体" w:cs="宋体"/>
          <w:b/>
          <w:bCs/>
          <w:spacing w:val="4"/>
          <w:sz w:val="20"/>
          <w:szCs w:val="20"/>
        </w:rPr>
        <w:t>5.2</w:t>
      </w:r>
      <w:r>
        <w:rPr>
          <w:rFonts w:ascii="宋体" w:hAnsi="宋体" w:eastAsia="宋体" w:cs="宋体"/>
          <w:spacing w:val="4"/>
          <w:sz w:val="20"/>
          <w:szCs w:val="20"/>
        </w:rPr>
        <w:t xml:space="preserve"> </w:t>
      </w:r>
      <w:r>
        <w:rPr>
          <w:rFonts w:ascii="宋体" w:hAnsi="宋体" w:eastAsia="宋体" w:cs="宋体"/>
          <w:b/>
          <w:bCs/>
          <w:spacing w:val="4"/>
          <w:sz w:val="20"/>
          <w:szCs w:val="20"/>
        </w:rPr>
        <w:t>开标程序</w:t>
      </w:r>
    </w:p>
    <w:p w14:paraId="5CCFF4B6">
      <w:pPr>
        <w:keepNext w:val="0"/>
        <w:keepLines w:val="0"/>
        <w:pageBreakBefore w:val="0"/>
        <w:kinsoku/>
        <w:wordWrap/>
        <w:overflowPunct/>
        <w:topLinePunct w:val="0"/>
        <w:bidi w:val="0"/>
        <w:spacing w:before="227" w:line="440" w:lineRule="auto"/>
        <w:ind w:left="2" w:right="2" w:firstLine="426"/>
        <w:jc w:val="both"/>
        <w:rPr>
          <w:rFonts w:ascii="宋体" w:hAnsi="宋体" w:eastAsia="宋体" w:cs="宋体"/>
          <w:sz w:val="20"/>
          <w:szCs w:val="20"/>
        </w:rPr>
      </w:pPr>
      <w:r>
        <w:rPr>
          <w:rFonts w:ascii="宋体" w:hAnsi="宋体" w:eastAsia="宋体" w:cs="宋体"/>
          <w:spacing w:val="8"/>
          <w:sz w:val="20"/>
          <w:szCs w:val="20"/>
        </w:rPr>
        <w:t>本项目采用电子开标。到投标截止时间止，各投标人对</w:t>
      </w:r>
      <w:r>
        <w:rPr>
          <w:rFonts w:ascii="宋体" w:hAnsi="宋体" w:eastAsia="宋体" w:cs="宋体"/>
          <w:spacing w:val="7"/>
          <w:sz w:val="20"/>
          <w:szCs w:val="20"/>
        </w:rPr>
        <w:t>加密的电子投标文件进行解密。解密完成</w:t>
      </w:r>
      <w:r>
        <w:rPr>
          <w:rFonts w:ascii="宋体" w:hAnsi="宋体" w:eastAsia="宋体" w:cs="宋体"/>
          <w:spacing w:val="8"/>
          <w:sz w:val="20"/>
          <w:szCs w:val="20"/>
        </w:rPr>
        <w:t>后各投标人的电子投标文件的实质性内容将自动显示在网页中。投标人在投标截止时间前</w:t>
      </w:r>
      <w:r>
        <w:rPr>
          <w:rFonts w:ascii="宋体" w:hAnsi="宋体" w:eastAsia="宋体" w:cs="宋体"/>
          <w:spacing w:val="7"/>
          <w:sz w:val="20"/>
          <w:szCs w:val="20"/>
        </w:rPr>
        <w:t>未上传电子</w:t>
      </w:r>
      <w:r>
        <w:rPr>
          <w:rFonts w:ascii="宋体" w:hAnsi="宋体" w:eastAsia="宋体" w:cs="宋体"/>
          <w:spacing w:val="8"/>
          <w:sz w:val="20"/>
          <w:szCs w:val="20"/>
        </w:rPr>
        <w:t>投标文件的将视为放弃投标。</w:t>
      </w:r>
    </w:p>
    <w:p w14:paraId="53950E75">
      <w:pPr>
        <w:keepNext w:val="0"/>
        <w:keepLines w:val="0"/>
        <w:pageBreakBefore w:val="0"/>
        <w:kinsoku/>
        <w:wordWrap/>
        <w:overflowPunct/>
        <w:topLinePunct w:val="0"/>
        <w:bidi w:val="0"/>
        <w:spacing w:before="40" w:line="220" w:lineRule="auto"/>
        <w:ind w:left="3449"/>
        <w:outlineLvl w:val="1"/>
        <w:rPr>
          <w:rFonts w:ascii="宋体" w:hAnsi="宋体" w:eastAsia="宋体" w:cs="宋体"/>
          <w:sz w:val="28"/>
          <w:szCs w:val="28"/>
        </w:rPr>
      </w:pPr>
      <w:bookmarkStart w:id="19" w:name="bookmark22"/>
      <w:bookmarkEnd w:id="19"/>
      <w:bookmarkStart w:id="20" w:name="_Toc21939"/>
      <w:r>
        <w:rPr>
          <w:rFonts w:ascii="宋体" w:hAnsi="宋体" w:eastAsia="宋体" w:cs="宋体"/>
          <w:b/>
          <w:bCs/>
          <w:spacing w:val="-2"/>
          <w:sz w:val="28"/>
          <w:szCs w:val="28"/>
        </w:rPr>
        <w:t>6.资格审查及评标</w:t>
      </w:r>
      <w:bookmarkEnd w:id="20"/>
    </w:p>
    <w:p w14:paraId="69F2C650">
      <w:pPr>
        <w:keepNext w:val="0"/>
        <w:keepLines w:val="0"/>
        <w:pageBreakBefore w:val="0"/>
        <w:kinsoku/>
        <w:wordWrap/>
        <w:overflowPunct/>
        <w:topLinePunct w:val="0"/>
        <w:bidi w:val="0"/>
        <w:spacing w:before="256" w:line="228" w:lineRule="auto"/>
        <w:ind w:left="2"/>
        <w:rPr>
          <w:rFonts w:ascii="宋体" w:hAnsi="宋体" w:eastAsia="宋体" w:cs="宋体"/>
          <w:sz w:val="20"/>
          <w:szCs w:val="20"/>
        </w:rPr>
      </w:pPr>
      <w:r>
        <w:rPr>
          <w:rFonts w:ascii="宋体" w:hAnsi="宋体" w:eastAsia="宋体" w:cs="宋体"/>
          <w:b/>
          <w:bCs/>
          <w:spacing w:val="2"/>
          <w:sz w:val="20"/>
          <w:szCs w:val="20"/>
        </w:rPr>
        <w:t>6.1</w:t>
      </w:r>
      <w:r>
        <w:rPr>
          <w:rFonts w:ascii="宋体" w:hAnsi="宋体" w:eastAsia="宋体" w:cs="宋体"/>
          <w:spacing w:val="25"/>
          <w:sz w:val="20"/>
          <w:szCs w:val="20"/>
        </w:rPr>
        <w:t xml:space="preserve"> </w:t>
      </w:r>
      <w:r>
        <w:rPr>
          <w:rFonts w:ascii="宋体" w:hAnsi="宋体" w:eastAsia="宋体" w:cs="宋体"/>
          <w:b/>
          <w:bCs/>
          <w:spacing w:val="2"/>
          <w:sz w:val="20"/>
          <w:szCs w:val="20"/>
        </w:rPr>
        <w:t>资格审查</w:t>
      </w:r>
    </w:p>
    <w:p w14:paraId="2BD4D9CD">
      <w:pPr>
        <w:keepNext w:val="0"/>
        <w:keepLines w:val="0"/>
        <w:pageBreakBefore w:val="0"/>
        <w:kinsoku/>
        <w:wordWrap/>
        <w:overflowPunct/>
        <w:topLinePunct w:val="0"/>
        <w:bidi w:val="0"/>
        <w:spacing w:before="229" w:line="227" w:lineRule="auto"/>
        <w:ind w:firstLine="448" w:firstLineChars="200"/>
        <w:jc w:val="both"/>
        <w:rPr>
          <w:rFonts w:ascii="宋体" w:hAnsi="宋体" w:eastAsia="宋体" w:cs="宋体"/>
          <w:sz w:val="20"/>
          <w:szCs w:val="20"/>
        </w:rPr>
      </w:pPr>
      <w:r>
        <w:rPr>
          <w:rFonts w:ascii="宋体" w:hAnsi="宋体" w:eastAsia="宋体" w:cs="宋体"/>
          <w:spacing w:val="12"/>
          <w:sz w:val="20"/>
          <w:szCs w:val="20"/>
        </w:rPr>
        <w:t>开标结束后，</w:t>
      </w:r>
      <w:r>
        <w:rPr>
          <w:rFonts w:ascii="宋体" w:hAnsi="宋体" w:eastAsia="宋体" w:cs="宋体"/>
          <w:spacing w:val="-55"/>
          <w:sz w:val="20"/>
          <w:szCs w:val="20"/>
        </w:rPr>
        <w:t xml:space="preserve"> </w:t>
      </w:r>
      <w:r>
        <w:rPr>
          <w:rFonts w:ascii="宋体" w:hAnsi="宋体" w:eastAsia="宋体" w:cs="宋体"/>
          <w:spacing w:val="12"/>
          <w:sz w:val="20"/>
          <w:szCs w:val="20"/>
        </w:rPr>
        <w:t>由采购人或者采购代理机构进行资格审查。资格</w:t>
      </w:r>
      <w:r>
        <w:rPr>
          <w:rFonts w:ascii="宋体" w:hAnsi="宋体" w:eastAsia="宋体" w:cs="宋体"/>
          <w:spacing w:val="11"/>
          <w:sz w:val="20"/>
          <w:szCs w:val="20"/>
        </w:rPr>
        <w:t>审查条件详见投标人须知前附表</w:t>
      </w:r>
    </w:p>
    <w:p w14:paraId="6852A093">
      <w:pPr>
        <w:keepNext w:val="0"/>
        <w:keepLines w:val="0"/>
        <w:pageBreakBefore w:val="0"/>
        <w:kinsoku/>
        <w:wordWrap/>
        <w:overflowPunct/>
        <w:topLinePunct w:val="0"/>
        <w:bidi w:val="0"/>
        <w:spacing w:before="175" w:line="227" w:lineRule="auto"/>
        <w:ind w:left="15"/>
        <w:rPr>
          <w:rFonts w:ascii="宋体" w:hAnsi="宋体" w:eastAsia="宋体" w:cs="宋体"/>
          <w:sz w:val="20"/>
          <w:szCs w:val="20"/>
        </w:rPr>
      </w:pPr>
      <w:r>
        <w:rPr>
          <w:rFonts w:ascii="宋体" w:hAnsi="宋体" w:eastAsia="宋体" w:cs="宋体"/>
          <w:spacing w:val="6"/>
          <w:sz w:val="20"/>
          <w:szCs w:val="20"/>
        </w:rPr>
        <w:t>1.4.1“投标人资质条件、能力和信誉</w:t>
      </w:r>
      <w:r>
        <w:rPr>
          <w:rFonts w:ascii="宋体" w:hAnsi="宋体" w:eastAsia="宋体" w:cs="宋体"/>
          <w:spacing w:val="-70"/>
          <w:sz w:val="20"/>
          <w:szCs w:val="20"/>
        </w:rPr>
        <w:t xml:space="preserve"> </w:t>
      </w:r>
      <w:r>
        <w:rPr>
          <w:rFonts w:ascii="宋体" w:hAnsi="宋体" w:eastAsia="宋体" w:cs="宋体"/>
          <w:spacing w:val="6"/>
          <w:sz w:val="20"/>
          <w:szCs w:val="20"/>
        </w:rPr>
        <w:t>”要求。</w:t>
      </w:r>
    </w:p>
    <w:p w14:paraId="0F5A5EA0">
      <w:pPr>
        <w:keepNext w:val="0"/>
        <w:keepLines w:val="0"/>
        <w:pageBreakBefore w:val="0"/>
        <w:kinsoku/>
        <w:wordWrap/>
        <w:overflowPunct/>
        <w:topLinePunct w:val="0"/>
        <w:bidi w:val="0"/>
        <w:spacing w:before="229" w:line="227" w:lineRule="auto"/>
        <w:ind w:left="1"/>
        <w:rPr>
          <w:rFonts w:ascii="宋体" w:hAnsi="宋体" w:eastAsia="宋体" w:cs="宋体"/>
          <w:sz w:val="20"/>
          <w:szCs w:val="20"/>
        </w:rPr>
      </w:pPr>
      <w:r>
        <w:rPr>
          <w:rFonts w:ascii="宋体" w:hAnsi="宋体" w:eastAsia="宋体" w:cs="宋体"/>
          <w:b/>
          <w:bCs/>
          <w:spacing w:val="4"/>
          <w:sz w:val="20"/>
          <w:szCs w:val="20"/>
        </w:rPr>
        <w:t>6.2</w:t>
      </w:r>
      <w:r>
        <w:rPr>
          <w:rFonts w:ascii="宋体" w:hAnsi="宋体" w:eastAsia="宋体" w:cs="宋体"/>
          <w:spacing w:val="-39"/>
          <w:sz w:val="20"/>
          <w:szCs w:val="20"/>
        </w:rPr>
        <w:t xml:space="preserve"> </w:t>
      </w:r>
      <w:r>
        <w:rPr>
          <w:rFonts w:ascii="宋体" w:hAnsi="宋体" w:eastAsia="宋体" w:cs="宋体"/>
          <w:b/>
          <w:bCs/>
          <w:spacing w:val="4"/>
          <w:sz w:val="20"/>
          <w:szCs w:val="20"/>
        </w:rPr>
        <w:t>评标委员会</w:t>
      </w:r>
    </w:p>
    <w:p w14:paraId="53BA8118">
      <w:pPr>
        <w:keepNext w:val="0"/>
        <w:keepLines w:val="0"/>
        <w:pageBreakBefore w:val="0"/>
        <w:kinsoku/>
        <w:wordWrap/>
        <w:overflowPunct/>
        <w:topLinePunct w:val="0"/>
        <w:bidi w:val="0"/>
        <w:spacing w:before="230" w:line="439" w:lineRule="auto"/>
        <w:ind w:left="1" w:right="51" w:firstLine="427"/>
        <w:rPr>
          <w:rFonts w:ascii="宋体" w:hAnsi="宋体" w:eastAsia="宋体" w:cs="宋体"/>
          <w:sz w:val="20"/>
          <w:szCs w:val="20"/>
        </w:rPr>
      </w:pPr>
      <w:r>
        <w:rPr>
          <w:rFonts w:ascii="宋体" w:hAnsi="宋体" w:eastAsia="宋体" w:cs="宋体"/>
          <w:spacing w:val="7"/>
          <w:sz w:val="20"/>
          <w:szCs w:val="20"/>
        </w:rPr>
        <w:t>6.2.1 评标由采购人依法组建的评标委员会负责。评标委员会由采购人或其委托的采购代理机构</w:t>
      </w:r>
      <w:r>
        <w:rPr>
          <w:rFonts w:ascii="宋体" w:hAnsi="宋体" w:eastAsia="宋体" w:cs="宋体"/>
          <w:spacing w:val="8"/>
          <w:sz w:val="20"/>
          <w:szCs w:val="20"/>
        </w:rPr>
        <w:t>熟悉相关业务的代表，以及有关技术、经济等方面的专家组成。评标委员会成员人数以及</w:t>
      </w:r>
      <w:r>
        <w:rPr>
          <w:rFonts w:ascii="宋体" w:hAnsi="宋体" w:eastAsia="宋体" w:cs="宋体"/>
          <w:spacing w:val="7"/>
          <w:sz w:val="20"/>
          <w:szCs w:val="20"/>
        </w:rPr>
        <w:t>技术、经济</w:t>
      </w:r>
      <w:r>
        <w:rPr>
          <w:rFonts w:ascii="宋体" w:hAnsi="宋体" w:eastAsia="宋体" w:cs="宋体"/>
          <w:spacing w:val="8"/>
          <w:sz w:val="20"/>
          <w:szCs w:val="20"/>
        </w:rPr>
        <w:t>等方面专家的确定方式见投标人须知前附表。</w:t>
      </w:r>
    </w:p>
    <w:p w14:paraId="7D26FB8D">
      <w:pPr>
        <w:keepNext w:val="0"/>
        <w:keepLines w:val="0"/>
        <w:pageBreakBefore w:val="0"/>
        <w:kinsoku/>
        <w:wordWrap/>
        <w:overflowPunct/>
        <w:topLinePunct w:val="0"/>
        <w:bidi w:val="0"/>
        <w:spacing w:line="226" w:lineRule="auto"/>
        <w:ind w:left="428"/>
        <w:rPr>
          <w:rFonts w:ascii="宋体" w:hAnsi="宋体" w:eastAsia="宋体" w:cs="宋体"/>
          <w:sz w:val="20"/>
          <w:szCs w:val="20"/>
        </w:rPr>
      </w:pPr>
      <w:r>
        <w:rPr>
          <w:rFonts w:ascii="宋体" w:hAnsi="宋体" w:eastAsia="宋体" w:cs="宋体"/>
          <w:spacing w:val="8"/>
          <w:sz w:val="20"/>
          <w:szCs w:val="20"/>
        </w:rPr>
        <w:t>6.2.2 评标委员会成员有下列情形之一的，应当回避：</w:t>
      </w:r>
    </w:p>
    <w:p w14:paraId="61844641">
      <w:pPr>
        <w:keepNext w:val="0"/>
        <w:keepLines w:val="0"/>
        <w:pageBreakBefore w:val="0"/>
        <w:kinsoku/>
        <w:wordWrap/>
        <w:overflowPunct/>
        <w:topLinePunct w:val="0"/>
        <w:bidi w:val="0"/>
        <w:spacing w:before="229" w:line="227" w:lineRule="auto"/>
        <w:ind w:left="437"/>
        <w:rPr>
          <w:rFonts w:ascii="宋体" w:hAnsi="宋体" w:eastAsia="宋体" w:cs="宋体"/>
          <w:sz w:val="20"/>
          <w:szCs w:val="20"/>
        </w:rPr>
      </w:pPr>
      <w:r>
        <w:rPr>
          <w:rFonts w:ascii="宋体" w:hAnsi="宋体" w:eastAsia="宋体" w:cs="宋体"/>
          <w:spacing w:val="7"/>
          <w:sz w:val="20"/>
          <w:szCs w:val="20"/>
        </w:rPr>
        <w:t>（一）参加采购活动前</w:t>
      </w:r>
      <w:r>
        <w:rPr>
          <w:rFonts w:ascii="宋体" w:hAnsi="宋体" w:eastAsia="宋体" w:cs="宋体"/>
          <w:spacing w:val="-24"/>
          <w:sz w:val="20"/>
          <w:szCs w:val="20"/>
        </w:rPr>
        <w:t xml:space="preserve"> </w:t>
      </w:r>
      <w:r>
        <w:rPr>
          <w:rFonts w:ascii="宋体" w:hAnsi="宋体" w:eastAsia="宋体" w:cs="宋体"/>
          <w:spacing w:val="7"/>
          <w:sz w:val="20"/>
          <w:szCs w:val="20"/>
        </w:rPr>
        <w:t>3</w:t>
      </w:r>
      <w:r>
        <w:rPr>
          <w:rFonts w:ascii="宋体" w:hAnsi="宋体" w:eastAsia="宋体" w:cs="宋体"/>
          <w:spacing w:val="-37"/>
          <w:sz w:val="20"/>
          <w:szCs w:val="20"/>
        </w:rPr>
        <w:t xml:space="preserve"> </w:t>
      </w:r>
      <w:r>
        <w:rPr>
          <w:rFonts w:ascii="宋体" w:hAnsi="宋体" w:eastAsia="宋体" w:cs="宋体"/>
          <w:spacing w:val="7"/>
          <w:sz w:val="20"/>
          <w:szCs w:val="20"/>
        </w:rPr>
        <w:t>年内与供应商存在劳动关系；</w:t>
      </w:r>
    </w:p>
    <w:p w14:paraId="3DA75C86">
      <w:pPr>
        <w:keepNext w:val="0"/>
        <w:keepLines w:val="0"/>
        <w:pageBreakBefore w:val="0"/>
        <w:kinsoku/>
        <w:wordWrap/>
        <w:overflowPunct/>
        <w:topLinePunct w:val="0"/>
        <w:bidi w:val="0"/>
        <w:spacing w:before="230" w:line="227" w:lineRule="auto"/>
        <w:ind w:left="437"/>
        <w:rPr>
          <w:rFonts w:ascii="宋体" w:hAnsi="宋体" w:eastAsia="宋体" w:cs="宋体"/>
          <w:sz w:val="20"/>
          <w:szCs w:val="20"/>
        </w:rPr>
      </w:pPr>
      <w:r>
        <w:rPr>
          <w:rFonts w:ascii="宋体" w:hAnsi="宋体" w:eastAsia="宋体" w:cs="宋体"/>
          <w:spacing w:val="7"/>
          <w:sz w:val="20"/>
          <w:szCs w:val="20"/>
        </w:rPr>
        <w:t>（二）参加采购活动前</w:t>
      </w:r>
      <w:r>
        <w:rPr>
          <w:rFonts w:ascii="宋体" w:hAnsi="宋体" w:eastAsia="宋体" w:cs="宋体"/>
          <w:spacing w:val="-20"/>
          <w:sz w:val="20"/>
          <w:szCs w:val="20"/>
        </w:rPr>
        <w:t xml:space="preserve"> </w:t>
      </w:r>
      <w:r>
        <w:rPr>
          <w:rFonts w:ascii="宋体" w:hAnsi="宋体" w:eastAsia="宋体" w:cs="宋体"/>
          <w:spacing w:val="7"/>
          <w:sz w:val="20"/>
          <w:szCs w:val="20"/>
        </w:rPr>
        <w:t>3</w:t>
      </w:r>
      <w:r>
        <w:rPr>
          <w:rFonts w:ascii="宋体" w:hAnsi="宋体" w:eastAsia="宋体" w:cs="宋体"/>
          <w:spacing w:val="-37"/>
          <w:sz w:val="20"/>
          <w:szCs w:val="20"/>
        </w:rPr>
        <w:t xml:space="preserve"> </w:t>
      </w:r>
      <w:r>
        <w:rPr>
          <w:rFonts w:ascii="宋体" w:hAnsi="宋体" w:eastAsia="宋体" w:cs="宋体"/>
          <w:spacing w:val="7"/>
          <w:sz w:val="20"/>
          <w:szCs w:val="20"/>
        </w:rPr>
        <w:t>年内担任供应商的董事、监事；</w:t>
      </w:r>
    </w:p>
    <w:p w14:paraId="2CC639E3">
      <w:pPr>
        <w:keepNext w:val="0"/>
        <w:keepLines w:val="0"/>
        <w:pageBreakBefore w:val="0"/>
        <w:kinsoku/>
        <w:wordWrap/>
        <w:overflowPunct/>
        <w:topLinePunct w:val="0"/>
        <w:bidi w:val="0"/>
        <w:spacing w:before="229" w:line="227" w:lineRule="auto"/>
        <w:ind w:left="437"/>
        <w:rPr>
          <w:rFonts w:ascii="宋体" w:hAnsi="宋体" w:eastAsia="宋体" w:cs="宋体"/>
          <w:spacing w:val="8"/>
          <w:sz w:val="20"/>
          <w:szCs w:val="20"/>
        </w:rPr>
      </w:pPr>
      <w:r>
        <w:rPr>
          <w:rFonts w:ascii="宋体" w:hAnsi="宋体" w:eastAsia="宋体" w:cs="宋体"/>
          <w:spacing w:val="8"/>
          <w:sz w:val="20"/>
          <w:szCs w:val="20"/>
        </w:rPr>
        <w:t>（三）参加采购活动前</w:t>
      </w:r>
      <w:r>
        <w:rPr>
          <w:rFonts w:ascii="宋体" w:hAnsi="宋体" w:eastAsia="宋体" w:cs="宋体"/>
          <w:spacing w:val="-36"/>
          <w:sz w:val="20"/>
          <w:szCs w:val="20"/>
        </w:rPr>
        <w:t xml:space="preserve"> </w:t>
      </w:r>
      <w:r>
        <w:rPr>
          <w:rFonts w:ascii="宋体" w:hAnsi="宋体" w:eastAsia="宋体" w:cs="宋体"/>
          <w:spacing w:val="8"/>
          <w:sz w:val="20"/>
          <w:szCs w:val="20"/>
        </w:rPr>
        <w:t>3</w:t>
      </w:r>
      <w:r>
        <w:rPr>
          <w:rFonts w:ascii="宋体" w:hAnsi="宋体" w:eastAsia="宋体" w:cs="宋体"/>
          <w:spacing w:val="-37"/>
          <w:sz w:val="20"/>
          <w:szCs w:val="20"/>
        </w:rPr>
        <w:t xml:space="preserve"> </w:t>
      </w:r>
      <w:r>
        <w:rPr>
          <w:rFonts w:ascii="宋体" w:hAnsi="宋体" w:eastAsia="宋体" w:cs="宋体"/>
          <w:spacing w:val="8"/>
          <w:sz w:val="20"/>
          <w:szCs w:val="20"/>
        </w:rPr>
        <w:t>年内是供应商的控股股东或者实际控制人；</w:t>
      </w:r>
    </w:p>
    <w:p w14:paraId="76CC492C">
      <w:pPr>
        <w:keepNext w:val="0"/>
        <w:keepLines w:val="0"/>
        <w:pageBreakBefore w:val="0"/>
        <w:kinsoku/>
        <w:wordWrap/>
        <w:overflowPunct/>
        <w:topLinePunct w:val="0"/>
        <w:bidi w:val="0"/>
        <w:spacing w:before="229" w:line="227" w:lineRule="auto"/>
        <w:ind w:firstLine="436" w:firstLineChars="200"/>
        <w:rPr>
          <w:rFonts w:ascii="宋体" w:hAnsi="宋体" w:eastAsia="宋体" w:cs="宋体"/>
          <w:sz w:val="20"/>
          <w:szCs w:val="20"/>
        </w:rPr>
      </w:pPr>
      <w:r>
        <w:rPr>
          <w:rFonts w:ascii="宋体" w:hAnsi="宋体" w:eastAsia="宋体" w:cs="宋体"/>
          <w:spacing w:val="9"/>
          <w:sz w:val="20"/>
          <w:szCs w:val="20"/>
        </w:rPr>
        <w:t>（四）与供应商的法定代表人或者负责人有夫妻、直系血亲、三代以内旁系血</w:t>
      </w:r>
      <w:r>
        <w:rPr>
          <w:rFonts w:ascii="宋体" w:hAnsi="宋体" w:eastAsia="宋体" w:cs="宋体"/>
          <w:spacing w:val="7"/>
          <w:sz w:val="20"/>
          <w:szCs w:val="20"/>
        </w:rPr>
        <w:t>亲或者近姻亲关系；</w:t>
      </w:r>
    </w:p>
    <w:p w14:paraId="61DA1069">
      <w:pPr>
        <w:keepNext w:val="0"/>
        <w:keepLines w:val="0"/>
        <w:pageBreakBefore w:val="0"/>
        <w:kinsoku/>
        <w:wordWrap/>
        <w:overflowPunct/>
        <w:topLinePunct w:val="0"/>
        <w:bidi w:val="0"/>
        <w:spacing w:before="1" w:line="226" w:lineRule="auto"/>
        <w:ind w:left="437"/>
        <w:rPr>
          <w:rFonts w:ascii="宋体" w:hAnsi="宋体" w:eastAsia="宋体" w:cs="宋体"/>
          <w:sz w:val="20"/>
          <w:szCs w:val="20"/>
        </w:rPr>
      </w:pPr>
      <w:r>
        <w:rPr>
          <w:rFonts w:ascii="宋体" w:hAnsi="宋体" w:eastAsia="宋体" w:cs="宋体"/>
          <w:spacing w:val="9"/>
          <w:sz w:val="20"/>
          <w:szCs w:val="20"/>
        </w:rPr>
        <w:t>（五）与供应商有其他可能影响政府采购活动公平、公正进行的关系。</w:t>
      </w:r>
    </w:p>
    <w:p w14:paraId="01D9AD77">
      <w:pPr>
        <w:keepNext w:val="0"/>
        <w:keepLines w:val="0"/>
        <w:pageBreakBefore w:val="0"/>
        <w:kinsoku/>
        <w:wordWrap/>
        <w:overflowPunct/>
        <w:topLinePunct w:val="0"/>
        <w:bidi w:val="0"/>
        <w:spacing w:before="232" w:line="228" w:lineRule="auto"/>
        <w:ind w:left="1"/>
        <w:rPr>
          <w:rFonts w:ascii="宋体" w:hAnsi="宋体" w:eastAsia="宋体" w:cs="宋体"/>
          <w:sz w:val="20"/>
          <w:szCs w:val="20"/>
        </w:rPr>
      </w:pPr>
      <w:r>
        <w:rPr>
          <w:rFonts w:ascii="宋体" w:hAnsi="宋体" w:eastAsia="宋体" w:cs="宋体"/>
          <w:b/>
          <w:bCs/>
          <w:spacing w:val="5"/>
          <w:sz w:val="20"/>
          <w:szCs w:val="20"/>
        </w:rPr>
        <w:t>6.3</w:t>
      </w:r>
      <w:r>
        <w:rPr>
          <w:rFonts w:ascii="宋体" w:hAnsi="宋体" w:eastAsia="宋体" w:cs="宋体"/>
          <w:spacing w:val="5"/>
          <w:sz w:val="20"/>
          <w:szCs w:val="20"/>
        </w:rPr>
        <w:t xml:space="preserve"> </w:t>
      </w:r>
      <w:r>
        <w:rPr>
          <w:rFonts w:ascii="宋体" w:hAnsi="宋体" w:eastAsia="宋体" w:cs="宋体"/>
          <w:b/>
          <w:bCs/>
          <w:spacing w:val="5"/>
          <w:sz w:val="20"/>
          <w:szCs w:val="20"/>
        </w:rPr>
        <w:t>评标原则</w:t>
      </w:r>
    </w:p>
    <w:p w14:paraId="101E751A">
      <w:pPr>
        <w:keepNext w:val="0"/>
        <w:keepLines w:val="0"/>
        <w:pageBreakBefore w:val="0"/>
        <w:kinsoku/>
        <w:wordWrap/>
        <w:overflowPunct/>
        <w:topLinePunct w:val="0"/>
        <w:bidi w:val="0"/>
        <w:spacing w:before="227" w:line="227" w:lineRule="auto"/>
        <w:ind w:left="428"/>
        <w:rPr>
          <w:rFonts w:ascii="宋体" w:hAnsi="宋体" w:eastAsia="宋体" w:cs="宋体"/>
          <w:sz w:val="20"/>
          <w:szCs w:val="20"/>
        </w:rPr>
      </w:pPr>
      <w:r>
        <w:rPr>
          <w:rFonts w:ascii="宋体" w:hAnsi="宋体" w:eastAsia="宋体" w:cs="宋体"/>
          <w:spacing w:val="6"/>
          <w:sz w:val="20"/>
          <w:szCs w:val="20"/>
        </w:rPr>
        <w:t>6.3.1</w:t>
      </w:r>
      <w:r>
        <w:rPr>
          <w:rFonts w:ascii="宋体" w:hAnsi="宋体" w:eastAsia="宋体" w:cs="宋体"/>
          <w:spacing w:val="-28"/>
          <w:sz w:val="20"/>
          <w:szCs w:val="20"/>
        </w:rPr>
        <w:t xml:space="preserve"> </w:t>
      </w:r>
      <w:r>
        <w:rPr>
          <w:rFonts w:ascii="宋体" w:hAnsi="宋体" w:eastAsia="宋体" w:cs="宋体"/>
          <w:spacing w:val="6"/>
          <w:sz w:val="20"/>
          <w:szCs w:val="20"/>
        </w:rPr>
        <w:t>公平、公正、科学和择优；</w:t>
      </w:r>
    </w:p>
    <w:p w14:paraId="76A3A13F">
      <w:pPr>
        <w:keepNext w:val="0"/>
        <w:keepLines w:val="0"/>
        <w:pageBreakBefore w:val="0"/>
        <w:kinsoku/>
        <w:wordWrap/>
        <w:overflowPunct/>
        <w:topLinePunct w:val="0"/>
        <w:bidi w:val="0"/>
        <w:spacing w:before="230" w:line="226" w:lineRule="auto"/>
        <w:ind w:left="428"/>
        <w:rPr>
          <w:rFonts w:ascii="宋体" w:hAnsi="宋体" w:eastAsia="宋体" w:cs="宋体"/>
          <w:sz w:val="20"/>
          <w:szCs w:val="20"/>
        </w:rPr>
      </w:pPr>
      <w:r>
        <w:rPr>
          <w:rFonts w:ascii="宋体" w:hAnsi="宋体" w:eastAsia="宋体" w:cs="宋体"/>
          <w:spacing w:val="8"/>
          <w:sz w:val="20"/>
          <w:szCs w:val="20"/>
        </w:rPr>
        <w:t>6.3.2</w:t>
      </w:r>
      <w:r>
        <w:rPr>
          <w:rFonts w:ascii="宋体" w:hAnsi="宋体" w:eastAsia="宋体" w:cs="宋体"/>
          <w:spacing w:val="-35"/>
          <w:sz w:val="20"/>
          <w:szCs w:val="20"/>
        </w:rPr>
        <w:t xml:space="preserve"> </w:t>
      </w:r>
      <w:r>
        <w:rPr>
          <w:rFonts w:ascii="宋体" w:hAnsi="宋体" w:eastAsia="宋体" w:cs="宋体"/>
          <w:spacing w:val="8"/>
          <w:sz w:val="20"/>
          <w:szCs w:val="20"/>
        </w:rPr>
        <w:t>质量好、信誉高、价格合理、使用寿命长、技术先进可行；</w:t>
      </w:r>
    </w:p>
    <w:p w14:paraId="6BA7157D">
      <w:pPr>
        <w:keepNext w:val="0"/>
        <w:keepLines w:val="0"/>
        <w:pageBreakBefore w:val="0"/>
        <w:kinsoku/>
        <w:wordWrap/>
        <w:overflowPunct/>
        <w:topLinePunct w:val="0"/>
        <w:bidi w:val="0"/>
        <w:spacing w:before="230" w:line="227" w:lineRule="auto"/>
        <w:ind w:left="428"/>
        <w:rPr>
          <w:rFonts w:ascii="宋体" w:hAnsi="宋体" w:eastAsia="宋体" w:cs="宋体"/>
          <w:sz w:val="20"/>
          <w:szCs w:val="20"/>
        </w:rPr>
      </w:pPr>
      <w:r>
        <w:rPr>
          <w:rFonts w:ascii="宋体" w:hAnsi="宋体" w:eastAsia="宋体" w:cs="宋体"/>
          <w:spacing w:val="8"/>
          <w:sz w:val="20"/>
          <w:szCs w:val="20"/>
        </w:rPr>
        <w:t>6.3.3</w:t>
      </w:r>
      <w:r>
        <w:rPr>
          <w:rFonts w:ascii="宋体" w:hAnsi="宋体" w:eastAsia="宋体" w:cs="宋体"/>
          <w:spacing w:val="-34"/>
          <w:sz w:val="20"/>
          <w:szCs w:val="20"/>
        </w:rPr>
        <w:t xml:space="preserve"> </w:t>
      </w:r>
      <w:r>
        <w:rPr>
          <w:rFonts w:ascii="宋体" w:hAnsi="宋体" w:eastAsia="宋体" w:cs="宋体"/>
          <w:spacing w:val="8"/>
          <w:sz w:val="20"/>
          <w:szCs w:val="20"/>
        </w:rPr>
        <w:t>本次评标采用的评标方法：本项目采用综合评分法</w:t>
      </w:r>
    </w:p>
    <w:p w14:paraId="4CB63887">
      <w:pPr>
        <w:keepNext w:val="0"/>
        <w:keepLines w:val="0"/>
        <w:pageBreakBefore w:val="0"/>
        <w:kinsoku/>
        <w:wordWrap/>
        <w:overflowPunct/>
        <w:topLinePunct w:val="0"/>
        <w:bidi w:val="0"/>
        <w:spacing w:before="230" w:line="228" w:lineRule="auto"/>
        <w:ind w:left="1"/>
        <w:rPr>
          <w:rFonts w:ascii="宋体" w:hAnsi="宋体" w:eastAsia="宋体" w:cs="宋体"/>
          <w:sz w:val="20"/>
          <w:szCs w:val="20"/>
        </w:rPr>
      </w:pPr>
      <w:r>
        <w:rPr>
          <w:rFonts w:ascii="宋体" w:hAnsi="宋体" w:eastAsia="宋体" w:cs="宋体"/>
          <w:b/>
          <w:bCs/>
          <w:spacing w:val="2"/>
          <w:sz w:val="20"/>
          <w:szCs w:val="20"/>
        </w:rPr>
        <w:t>6.4</w:t>
      </w:r>
      <w:r>
        <w:rPr>
          <w:rFonts w:ascii="宋体" w:hAnsi="宋体" w:eastAsia="宋体" w:cs="宋体"/>
          <w:spacing w:val="11"/>
          <w:sz w:val="20"/>
          <w:szCs w:val="20"/>
        </w:rPr>
        <w:t xml:space="preserve"> </w:t>
      </w:r>
      <w:r>
        <w:rPr>
          <w:rFonts w:ascii="宋体" w:hAnsi="宋体" w:eastAsia="宋体" w:cs="宋体"/>
          <w:b/>
          <w:bCs/>
          <w:spacing w:val="2"/>
          <w:sz w:val="20"/>
          <w:szCs w:val="20"/>
        </w:rPr>
        <w:t>评标</w:t>
      </w:r>
    </w:p>
    <w:p w14:paraId="33A87758">
      <w:pPr>
        <w:keepNext w:val="0"/>
        <w:keepLines w:val="0"/>
        <w:pageBreakBefore w:val="0"/>
        <w:kinsoku/>
        <w:wordWrap/>
        <w:overflowPunct/>
        <w:topLinePunct w:val="0"/>
        <w:bidi w:val="0"/>
        <w:spacing w:before="228" w:line="227" w:lineRule="auto"/>
        <w:jc w:val="right"/>
        <w:rPr>
          <w:rFonts w:ascii="宋体" w:hAnsi="宋体" w:eastAsia="宋体" w:cs="宋体"/>
          <w:sz w:val="20"/>
          <w:szCs w:val="20"/>
        </w:rPr>
      </w:pPr>
      <w:r>
        <w:rPr>
          <w:rFonts w:ascii="宋体" w:hAnsi="宋体" w:eastAsia="宋体" w:cs="宋体"/>
          <w:spacing w:val="8"/>
          <w:sz w:val="20"/>
          <w:szCs w:val="20"/>
        </w:rPr>
        <w:t>评标委员会按照第三章“评标办法</w:t>
      </w:r>
      <w:r>
        <w:rPr>
          <w:rFonts w:ascii="宋体" w:hAnsi="宋体" w:eastAsia="宋体" w:cs="宋体"/>
          <w:spacing w:val="-62"/>
          <w:sz w:val="20"/>
          <w:szCs w:val="20"/>
        </w:rPr>
        <w:t xml:space="preserve"> </w:t>
      </w:r>
      <w:r>
        <w:rPr>
          <w:rFonts w:ascii="宋体" w:hAnsi="宋体" w:eastAsia="宋体" w:cs="宋体"/>
          <w:spacing w:val="8"/>
          <w:sz w:val="20"/>
          <w:szCs w:val="20"/>
        </w:rPr>
        <w:t>”规定的方法、评审因素、标准和程序对投标文件进行评审。</w:t>
      </w:r>
    </w:p>
    <w:p w14:paraId="43DB7068">
      <w:pPr>
        <w:keepNext w:val="0"/>
        <w:keepLines w:val="0"/>
        <w:pageBreakBefore w:val="0"/>
        <w:kinsoku/>
        <w:wordWrap/>
        <w:overflowPunct/>
        <w:topLinePunct w:val="0"/>
        <w:bidi w:val="0"/>
        <w:spacing w:before="229" w:line="227" w:lineRule="auto"/>
        <w:rPr>
          <w:rFonts w:ascii="宋体" w:hAnsi="宋体" w:eastAsia="宋体" w:cs="宋体"/>
          <w:sz w:val="20"/>
          <w:szCs w:val="20"/>
        </w:rPr>
      </w:pPr>
      <w:r>
        <w:rPr>
          <w:rFonts w:ascii="宋体" w:hAnsi="宋体" w:eastAsia="宋体" w:cs="宋体"/>
          <w:spacing w:val="8"/>
          <w:sz w:val="20"/>
          <w:szCs w:val="20"/>
        </w:rPr>
        <w:t>第三章“评标办法</w:t>
      </w:r>
      <w:r>
        <w:rPr>
          <w:rFonts w:ascii="宋体" w:hAnsi="宋体" w:eastAsia="宋体" w:cs="宋体"/>
          <w:spacing w:val="-54"/>
          <w:sz w:val="20"/>
          <w:szCs w:val="20"/>
        </w:rPr>
        <w:t xml:space="preserve"> </w:t>
      </w:r>
      <w:r>
        <w:rPr>
          <w:rFonts w:ascii="宋体" w:hAnsi="宋体" w:eastAsia="宋体" w:cs="宋体"/>
          <w:spacing w:val="8"/>
          <w:sz w:val="20"/>
          <w:szCs w:val="20"/>
        </w:rPr>
        <w:t>”没有规定的方法、评审因素和标准，不作为评标依据。</w:t>
      </w:r>
    </w:p>
    <w:p w14:paraId="0F3BE873">
      <w:pPr>
        <w:keepNext w:val="0"/>
        <w:keepLines w:val="0"/>
        <w:pageBreakBefore w:val="0"/>
        <w:kinsoku/>
        <w:wordWrap/>
        <w:overflowPunct/>
        <w:topLinePunct w:val="0"/>
        <w:bidi w:val="0"/>
        <w:spacing w:before="274" w:line="221" w:lineRule="auto"/>
        <w:ind w:left="3878"/>
        <w:outlineLvl w:val="1"/>
        <w:rPr>
          <w:rFonts w:ascii="宋体" w:hAnsi="宋体" w:eastAsia="宋体" w:cs="宋体"/>
          <w:sz w:val="28"/>
          <w:szCs w:val="28"/>
        </w:rPr>
      </w:pPr>
      <w:bookmarkStart w:id="21" w:name="bookmark23"/>
      <w:bookmarkEnd w:id="21"/>
      <w:bookmarkStart w:id="22" w:name="_Toc22345"/>
      <w:r>
        <w:rPr>
          <w:rFonts w:ascii="宋体" w:hAnsi="宋体" w:eastAsia="宋体" w:cs="宋体"/>
          <w:b/>
          <w:bCs/>
          <w:spacing w:val="-3"/>
          <w:sz w:val="28"/>
          <w:szCs w:val="28"/>
        </w:rPr>
        <w:t>7.合同授予</w:t>
      </w:r>
      <w:bookmarkEnd w:id="22"/>
    </w:p>
    <w:p w14:paraId="26044BF8">
      <w:pPr>
        <w:keepNext w:val="0"/>
        <w:keepLines w:val="0"/>
        <w:pageBreakBefore w:val="0"/>
        <w:kinsoku/>
        <w:wordWrap/>
        <w:overflowPunct/>
        <w:topLinePunct w:val="0"/>
        <w:bidi w:val="0"/>
        <w:spacing w:before="254" w:line="228" w:lineRule="auto"/>
        <w:ind w:left="5"/>
        <w:rPr>
          <w:rFonts w:ascii="宋体" w:hAnsi="宋体" w:eastAsia="宋体" w:cs="宋体"/>
          <w:sz w:val="20"/>
          <w:szCs w:val="20"/>
        </w:rPr>
      </w:pPr>
      <w:r>
        <w:rPr>
          <w:rFonts w:ascii="宋体" w:hAnsi="宋体" w:eastAsia="宋体" w:cs="宋体"/>
          <w:b/>
          <w:bCs/>
          <w:spacing w:val="2"/>
          <w:sz w:val="20"/>
          <w:szCs w:val="20"/>
        </w:rPr>
        <w:t>7.1</w:t>
      </w:r>
      <w:r>
        <w:rPr>
          <w:rFonts w:ascii="宋体" w:hAnsi="宋体" w:eastAsia="宋体" w:cs="宋体"/>
          <w:spacing w:val="22"/>
          <w:sz w:val="20"/>
          <w:szCs w:val="20"/>
        </w:rPr>
        <w:t xml:space="preserve"> </w:t>
      </w:r>
      <w:r>
        <w:rPr>
          <w:rFonts w:ascii="宋体" w:hAnsi="宋体" w:eastAsia="宋体" w:cs="宋体"/>
          <w:b/>
          <w:bCs/>
          <w:spacing w:val="2"/>
          <w:sz w:val="20"/>
          <w:szCs w:val="20"/>
        </w:rPr>
        <w:t>定标方式</w:t>
      </w:r>
    </w:p>
    <w:p w14:paraId="1EED4C32">
      <w:pPr>
        <w:keepNext w:val="0"/>
        <w:keepLines w:val="0"/>
        <w:pageBreakBefore w:val="0"/>
        <w:kinsoku/>
        <w:wordWrap/>
        <w:overflowPunct/>
        <w:topLinePunct w:val="0"/>
        <w:bidi w:val="0"/>
        <w:spacing w:before="229" w:line="439" w:lineRule="auto"/>
        <w:ind w:right="51" w:firstLine="438"/>
        <w:jc w:val="both"/>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投标人须知前附表规定评标委员会直接确定中标人，采购人依据评标委员会推荐的中标候选</w:t>
      </w:r>
      <w:r>
        <w:rPr>
          <w:rFonts w:ascii="宋体" w:hAnsi="宋体" w:eastAsia="宋体" w:cs="宋体"/>
          <w:color w:val="000000" w:themeColor="text1"/>
          <w:spacing w:val="8"/>
          <w:sz w:val="20"/>
          <w:szCs w:val="20"/>
          <w14:textFill>
            <w14:solidFill>
              <w14:schemeClr w14:val="tx1"/>
            </w14:solidFill>
          </w14:textFill>
        </w:rPr>
        <w:t>人确定中标人</w:t>
      </w:r>
      <w:r>
        <w:rPr>
          <w:rFonts w:ascii="宋体" w:hAnsi="宋体" w:eastAsia="宋体" w:cs="宋体"/>
          <w:color w:val="000000" w:themeColor="text1"/>
          <w:spacing w:val="9"/>
          <w:sz w:val="20"/>
          <w:szCs w:val="20"/>
          <w14:textFill>
            <w14:solidFill>
              <w14:schemeClr w14:val="tx1"/>
            </w14:solidFill>
          </w14:textFill>
        </w:rPr>
        <w:t>。评标委员会推荐中标候选人的人数见投标人须知前附表。</w:t>
      </w:r>
    </w:p>
    <w:p w14:paraId="54CD2D4A">
      <w:pPr>
        <w:keepNext w:val="0"/>
        <w:keepLines w:val="0"/>
        <w:pageBreakBefore w:val="0"/>
        <w:kinsoku/>
        <w:wordWrap/>
        <w:overflowPunct/>
        <w:topLinePunct w:val="0"/>
        <w:bidi w:val="0"/>
        <w:spacing w:before="1" w:line="226" w:lineRule="auto"/>
        <w:ind w:left="5"/>
        <w:rPr>
          <w:rFonts w:ascii="宋体" w:hAnsi="宋体" w:eastAsia="宋体" w:cs="宋体"/>
          <w:sz w:val="20"/>
          <w:szCs w:val="20"/>
        </w:rPr>
      </w:pPr>
      <w:r>
        <w:rPr>
          <w:rFonts w:ascii="宋体" w:hAnsi="宋体" w:eastAsia="宋体" w:cs="宋体"/>
          <w:b/>
          <w:bCs/>
          <w:spacing w:val="1"/>
          <w:sz w:val="20"/>
          <w:szCs w:val="20"/>
        </w:rPr>
        <w:t>7.2</w:t>
      </w:r>
      <w:r>
        <w:rPr>
          <w:rFonts w:ascii="宋体" w:hAnsi="宋体" w:eastAsia="宋体" w:cs="宋体"/>
          <w:spacing w:val="34"/>
          <w:sz w:val="20"/>
          <w:szCs w:val="20"/>
        </w:rPr>
        <w:t xml:space="preserve"> </w:t>
      </w:r>
      <w:r>
        <w:rPr>
          <w:rFonts w:ascii="宋体" w:hAnsi="宋体" w:eastAsia="宋体" w:cs="宋体"/>
          <w:b/>
          <w:bCs/>
          <w:spacing w:val="1"/>
          <w:sz w:val="20"/>
          <w:szCs w:val="20"/>
        </w:rPr>
        <w:t>中标通知书</w:t>
      </w:r>
    </w:p>
    <w:p w14:paraId="36C894F5">
      <w:pPr>
        <w:keepNext w:val="0"/>
        <w:keepLines w:val="0"/>
        <w:pageBreakBefore w:val="0"/>
        <w:kinsoku/>
        <w:wordWrap/>
        <w:overflowPunct/>
        <w:topLinePunct w:val="0"/>
        <w:bidi w:val="0"/>
        <w:spacing w:before="229" w:line="226" w:lineRule="auto"/>
        <w:ind w:firstLine="436" w:firstLineChars="200"/>
        <w:jc w:val="both"/>
        <w:rPr>
          <w:rFonts w:ascii="宋体" w:hAnsi="宋体" w:eastAsia="宋体" w:cs="宋体"/>
          <w:sz w:val="20"/>
          <w:szCs w:val="20"/>
        </w:rPr>
      </w:pPr>
      <w:r>
        <w:rPr>
          <w:rFonts w:ascii="宋体" w:hAnsi="宋体" w:eastAsia="宋体" w:cs="宋体"/>
          <w:spacing w:val="9"/>
          <w:sz w:val="20"/>
          <w:szCs w:val="20"/>
        </w:rPr>
        <w:t>在中标公告发布之日，采购人向中标人发出中标通知书，同时将中标结果通知未中标的</w:t>
      </w:r>
      <w:r>
        <w:rPr>
          <w:rFonts w:ascii="宋体" w:hAnsi="宋体" w:eastAsia="宋体" w:cs="宋体"/>
          <w:spacing w:val="8"/>
          <w:sz w:val="20"/>
          <w:szCs w:val="20"/>
        </w:rPr>
        <w:t>投标人。</w:t>
      </w:r>
    </w:p>
    <w:p w14:paraId="0E51BF2F">
      <w:pPr>
        <w:keepNext w:val="0"/>
        <w:keepLines w:val="0"/>
        <w:pageBreakBefore w:val="0"/>
        <w:kinsoku/>
        <w:wordWrap/>
        <w:overflowPunct/>
        <w:topLinePunct w:val="0"/>
        <w:bidi w:val="0"/>
        <w:spacing w:before="233" w:line="230" w:lineRule="auto"/>
        <w:ind w:left="5"/>
        <w:rPr>
          <w:rFonts w:ascii="宋体" w:hAnsi="宋体" w:eastAsia="宋体" w:cs="宋体"/>
          <w:sz w:val="20"/>
          <w:szCs w:val="20"/>
        </w:rPr>
      </w:pPr>
      <w:r>
        <w:rPr>
          <w:rFonts w:ascii="宋体" w:hAnsi="宋体" w:eastAsia="宋体" w:cs="宋体"/>
          <w:b/>
          <w:bCs/>
          <w:spacing w:val="3"/>
          <w:sz w:val="20"/>
          <w:szCs w:val="20"/>
        </w:rPr>
        <w:t>7.3</w:t>
      </w:r>
      <w:r>
        <w:rPr>
          <w:rFonts w:ascii="宋体" w:hAnsi="宋体" w:eastAsia="宋体" w:cs="宋体"/>
          <w:spacing w:val="-38"/>
          <w:sz w:val="20"/>
          <w:szCs w:val="20"/>
        </w:rPr>
        <w:t xml:space="preserve"> </w:t>
      </w:r>
      <w:r>
        <w:rPr>
          <w:rFonts w:ascii="宋体" w:hAnsi="宋体" w:eastAsia="宋体" w:cs="宋体"/>
          <w:b/>
          <w:bCs/>
          <w:spacing w:val="3"/>
          <w:sz w:val="20"/>
          <w:szCs w:val="20"/>
        </w:rPr>
        <w:t>签订合同</w:t>
      </w:r>
    </w:p>
    <w:p w14:paraId="0945A036">
      <w:pPr>
        <w:keepNext w:val="0"/>
        <w:keepLines w:val="0"/>
        <w:pageBreakBefore w:val="0"/>
        <w:kinsoku/>
        <w:wordWrap/>
        <w:overflowPunct/>
        <w:topLinePunct w:val="0"/>
        <w:bidi w:val="0"/>
        <w:spacing w:before="223" w:line="227" w:lineRule="auto"/>
        <w:ind w:firstLine="432" w:firstLineChars="200"/>
        <w:rPr>
          <w:rFonts w:ascii="宋体" w:hAnsi="宋体" w:eastAsia="宋体" w:cs="宋体"/>
          <w:sz w:val="20"/>
          <w:szCs w:val="20"/>
        </w:rPr>
      </w:pPr>
      <w:r>
        <w:rPr>
          <w:rFonts w:ascii="宋体" w:hAnsi="宋体" w:eastAsia="宋体" w:cs="宋体"/>
          <w:spacing w:val="8"/>
          <w:sz w:val="20"/>
          <w:szCs w:val="20"/>
        </w:rPr>
        <w:t>7.3.1</w:t>
      </w:r>
      <w:r>
        <w:rPr>
          <w:rFonts w:ascii="宋体" w:hAnsi="宋体" w:eastAsia="宋体" w:cs="宋体"/>
          <w:spacing w:val="-22"/>
          <w:sz w:val="20"/>
          <w:szCs w:val="20"/>
        </w:rPr>
        <w:t xml:space="preserve"> </w:t>
      </w:r>
      <w:r>
        <w:rPr>
          <w:rFonts w:ascii="宋体" w:hAnsi="宋体" w:eastAsia="宋体" w:cs="宋体"/>
          <w:spacing w:val="8"/>
          <w:sz w:val="20"/>
          <w:szCs w:val="20"/>
        </w:rPr>
        <w:t>采购人应在中标通知书发出</w:t>
      </w:r>
      <w:r>
        <w:rPr>
          <w:rFonts w:ascii="宋体" w:hAnsi="宋体" w:eastAsia="宋体" w:cs="宋体"/>
          <w:spacing w:val="-21"/>
          <w:sz w:val="20"/>
          <w:szCs w:val="20"/>
        </w:rPr>
        <w:t xml:space="preserve"> </w:t>
      </w:r>
      <w:r>
        <w:rPr>
          <w:rFonts w:ascii="宋体" w:hAnsi="宋体" w:eastAsia="宋体" w:cs="宋体"/>
          <w:spacing w:val="8"/>
          <w:sz w:val="20"/>
          <w:szCs w:val="20"/>
        </w:rPr>
        <w:t>15 日历天内与中标人签订政府采购合同（合同模板详见“第</w:t>
      </w:r>
      <w:r>
        <w:rPr>
          <w:rFonts w:ascii="宋体" w:hAnsi="宋体" w:eastAsia="宋体" w:cs="宋体"/>
          <w:spacing w:val="4"/>
          <w:sz w:val="20"/>
          <w:szCs w:val="20"/>
        </w:rPr>
        <w:t>四章 合同条款及格式</w:t>
      </w:r>
      <w:r>
        <w:rPr>
          <w:rFonts w:ascii="宋体" w:hAnsi="宋体" w:eastAsia="宋体" w:cs="宋体"/>
          <w:spacing w:val="-72"/>
          <w:sz w:val="20"/>
          <w:szCs w:val="20"/>
        </w:rPr>
        <w:t xml:space="preserve"> </w:t>
      </w:r>
      <w:r>
        <w:rPr>
          <w:rFonts w:ascii="宋体" w:hAnsi="宋体" w:eastAsia="宋体" w:cs="宋体"/>
          <w:spacing w:val="4"/>
          <w:sz w:val="20"/>
          <w:szCs w:val="20"/>
        </w:rPr>
        <w:t>”）。</w:t>
      </w:r>
    </w:p>
    <w:p w14:paraId="2EFC1B82">
      <w:pPr>
        <w:keepNext w:val="0"/>
        <w:keepLines w:val="0"/>
        <w:pageBreakBefore w:val="0"/>
        <w:kinsoku/>
        <w:wordWrap/>
        <w:overflowPunct/>
        <w:topLinePunct w:val="0"/>
        <w:bidi w:val="0"/>
        <w:spacing w:before="228" w:line="439" w:lineRule="auto"/>
        <w:ind w:left="12" w:right="70" w:firstLine="419"/>
        <w:rPr>
          <w:rFonts w:ascii="宋体" w:hAnsi="宋体" w:eastAsia="宋体" w:cs="宋体"/>
          <w:sz w:val="20"/>
          <w:szCs w:val="20"/>
        </w:rPr>
      </w:pPr>
      <w:r>
        <w:rPr>
          <w:rFonts w:ascii="宋体" w:hAnsi="宋体" w:eastAsia="宋体" w:cs="宋体"/>
          <w:spacing w:val="7"/>
          <w:sz w:val="20"/>
          <w:szCs w:val="20"/>
        </w:rPr>
        <w:t>7.3.2</w:t>
      </w:r>
      <w:r>
        <w:rPr>
          <w:rFonts w:ascii="宋体" w:hAnsi="宋体" w:eastAsia="宋体" w:cs="宋体"/>
          <w:spacing w:val="32"/>
          <w:sz w:val="20"/>
          <w:szCs w:val="20"/>
        </w:rPr>
        <w:t xml:space="preserve"> </w:t>
      </w:r>
      <w:r>
        <w:rPr>
          <w:rFonts w:ascii="宋体" w:hAnsi="宋体" w:eastAsia="宋体" w:cs="宋体"/>
          <w:spacing w:val="7"/>
          <w:sz w:val="20"/>
          <w:szCs w:val="20"/>
        </w:rPr>
        <w:t>中标人无正当理由拒签合同的，采购</w:t>
      </w:r>
      <w:r>
        <w:rPr>
          <w:rFonts w:ascii="宋体" w:hAnsi="宋体" w:eastAsia="宋体" w:cs="宋体"/>
          <w:spacing w:val="6"/>
          <w:sz w:val="20"/>
          <w:szCs w:val="20"/>
        </w:rPr>
        <w:t>人取消其中标资格；给采购人造成的损失，中标人应</w:t>
      </w:r>
      <w:r>
        <w:rPr>
          <w:rFonts w:ascii="宋体" w:hAnsi="宋体" w:eastAsia="宋体" w:cs="宋体"/>
          <w:spacing w:val="4"/>
          <w:sz w:val="20"/>
          <w:szCs w:val="20"/>
        </w:rPr>
        <w:t>当予以赔偿。</w:t>
      </w:r>
    </w:p>
    <w:p w14:paraId="0B84B9D7">
      <w:pPr>
        <w:keepNext w:val="0"/>
        <w:keepLines w:val="0"/>
        <w:pageBreakBefore w:val="0"/>
        <w:kinsoku/>
        <w:wordWrap/>
        <w:overflowPunct/>
        <w:topLinePunct w:val="0"/>
        <w:bidi w:val="0"/>
        <w:spacing w:line="226" w:lineRule="auto"/>
        <w:ind w:firstLine="416" w:firstLineChars="200"/>
        <w:jc w:val="both"/>
        <w:rPr>
          <w:rFonts w:ascii="宋体" w:hAnsi="宋体" w:eastAsia="宋体" w:cs="宋体"/>
          <w:sz w:val="20"/>
          <w:szCs w:val="20"/>
        </w:rPr>
      </w:pPr>
      <w:r>
        <w:rPr>
          <w:rFonts w:ascii="宋体" w:hAnsi="宋体" w:eastAsia="宋体" w:cs="宋体"/>
          <w:spacing w:val="4"/>
          <w:sz w:val="20"/>
          <w:szCs w:val="20"/>
        </w:rPr>
        <w:t>7.3.3 发出中标通知书后，采购人无正当理由拒签合同的，给中标人造成损失的，应当赔偿损失。</w:t>
      </w:r>
    </w:p>
    <w:p w14:paraId="458E7EE6">
      <w:pPr>
        <w:keepNext w:val="0"/>
        <w:keepLines w:val="0"/>
        <w:pageBreakBefore w:val="0"/>
        <w:kinsoku/>
        <w:wordWrap/>
        <w:overflowPunct/>
        <w:topLinePunct w:val="0"/>
        <w:bidi w:val="0"/>
        <w:spacing w:before="273" w:line="221" w:lineRule="auto"/>
        <w:ind w:left="3447"/>
        <w:outlineLvl w:val="1"/>
        <w:rPr>
          <w:rFonts w:ascii="宋体" w:hAnsi="宋体" w:eastAsia="宋体" w:cs="宋体"/>
          <w:sz w:val="28"/>
          <w:szCs w:val="28"/>
        </w:rPr>
      </w:pPr>
      <w:bookmarkStart w:id="23" w:name="bookmark24"/>
      <w:bookmarkEnd w:id="23"/>
      <w:bookmarkStart w:id="24" w:name="_Toc28118"/>
      <w:r>
        <w:rPr>
          <w:rFonts w:ascii="宋体" w:hAnsi="宋体" w:eastAsia="宋体" w:cs="宋体"/>
          <w:b/>
          <w:bCs/>
          <w:spacing w:val="-2"/>
          <w:sz w:val="28"/>
          <w:szCs w:val="28"/>
        </w:rPr>
        <w:t>8.废标和重新招标</w:t>
      </w:r>
      <w:bookmarkEnd w:id="24"/>
    </w:p>
    <w:p w14:paraId="774BF7E8">
      <w:pPr>
        <w:keepNext w:val="0"/>
        <w:keepLines w:val="0"/>
        <w:pageBreakBefore w:val="0"/>
        <w:kinsoku/>
        <w:wordWrap/>
        <w:overflowPunct/>
        <w:topLinePunct w:val="0"/>
        <w:bidi w:val="0"/>
        <w:spacing w:before="257" w:line="228" w:lineRule="auto"/>
        <w:rPr>
          <w:rFonts w:ascii="宋体" w:hAnsi="宋体" w:eastAsia="宋体" w:cs="宋体"/>
          <w:sz w:val="20"/>
          <w:szCs w:val="20"/>
        </w:rPr>
      </w:pPr>
      <w:r>
        <w:rPr>
          <w:rFonts w:ascii="宋体" w:hAnsi="宋体" w:eastAsia="宋体" w:cs="宋体"/>
          <w:b/>
          <w:bCs/>
          <w:spacing w:val="6"/>
          <w:sz w:val="20"/>
          <w:szCs w:val="20"/>
        </w:rPr>
        <w:t>8.1</w:t>
      </w:r>
      <w:r>
        <w:rPr>
          <w:rFonts w:ascii="宋体" w:hAnsi="宋体" w:eastAsia="宋体" w:cs="宋体"/>
          <w:spacing w:val="6"/>
          <w:sz w:val="20"/>
          <w:szCs w:val="20"/>
        </w:rPr>
        <w:t xml:space="preserve"> </w:t>
      </w:r>
      <w:r>
        <w:rPr>
          <w:rFonts w:ascii="宋体" w:hAnsi="宋体" w:eastAsia="宋体" w:cs="宋体"/>
          <w:b/>
          <w:bCs/>
          <w:spacing w:val="6"/>
          <w:sz w:val="20"/>
          <w:szCs w:val="20"/>
        </w:rPr>
        <w:t>有出现下列情形之一，将导致项目废标：</w:t>
      </w:r>
    </w:p>
    <w:p w14:paraId="16BB7B16">
      <w:pPr>
        <w:keepNext w:val="0"/>
        <w:keepLines w:val="0"/>
        <w:pageBreakBefore w:val="0"/>
        <w:kinsoku/>
        <w:wordWrap/>
        <w:overflowPunct/>
        <w:topLinePunct w:val="0"/>
        <w:bidi w:val="0"/>
        <w:spacing w:before="228" w:line="228" w:lineRule="auto"/>
        <w:ind w:left="436"/>
        <w:rPr>
          <w:rFonts w:ascii="宋体" w:hAnsi="宋体" w:eastAsia="宋体" w:cs="宋体"/>
          <w:sz w:val="20"/>
          <w:szCs w:val="20"/>
        </w:rPr>
      </w:pPr>
      <w:r>
        <w:rPr>
          <w:rFonts w:ascii="宋体" w:hAnsi="宋体" w:eastAsia="宋体" w:cs="宋体"/>
          <w:spacing w:val="9"/>
          <w:sz w:val="20"/>
          <w:szCs w:val="20"/>
        </w:rPr>
        <w:t>（1）符合专业条件的投标人或者对招标文件做实质性响应的投标人不足</w:t>
      </w:r>
      <w:r>
        <w:rPr>
          <w:rFonts w:ascii="宋体" w:hAnsi="宋体" w:eastAsia="宋体" w:cs="宋体"/>
          <w:spacing w:val="8"/>
          <w:sz w:val="20"/>
          <w:szCs w:val="20"/>
        </w:rPr>
        <w:t>三家；</w:t>
      </w:r>
    </w:p>
    <w:p w14:paraId="0C90D24B">
      <w:pPr>
        <w:keepNext w:val="0"/>
        <w:keepLines w:val="0"/>
        <w:pageBreakBefore w:val="0"/>
        <w:kinsoku/>
        <w:wordWrap/>
        <w:overflowPunct/>
        <w:topLinePunct w:val="0"/>
        <w:bidi w:val="0"/>
        <w:spacing w:before="228" w:line="227" w:lineRule="auto"/>
        <w:ind w:left="436"/>
        <w:rPr>
          <w:rFonts w:ascii="宋体" w:hAnsi="宋体" w:eastAsia="宋体" w:cs="宋体"/>
          <w:sz w:val="20"/>
          <w:szCs w:val="20"/>
        </w:rPr>
      </w:pPr>
      <w:r>
        <w:rPr>
          <w:rFonts w:ascii="宋体" w:hAnsi="宋体" w:eastAsia="宋体" w:cs="宋体"/>
          <w:spacing w:val="8"/>
          <w:sz w:val="20"/>
          <w:szCs w:val="20"/>
        </w:rPr>
        <w:t>（2）出现影响采购公正的违法、违规行为的；</w:t>
      </w:r>
    </w:p>
    <w:p w14:paraId="10D5CF0A">
      <w:pPr>
        <w:keepNext w:val="0"/>
        <w:keepLines w:val="0"/>
        <w:pageBreakBefore w:val="0"/>
        <w:kinsoku/>
        <w:wordWrap/>
        <w:overflowPunct/>
        <w:topLinePunct w:val="0"/>
        <w:bidi w:val="0"/>
        <w:spacing w:before="230" w:line="226" w:lineRule="auto"/>
        <w:ind w:left="436"/>
        <w:rPr>
          <w:rFonts w:ascii="宋体" w:hAnsi="宋体" w:eastAsia="宋体" w:cs="宋体"/>
          <w:sz w:val="20"/>
          <w:szCs w:val="20"/>
        </w:rPr>
      </w:pPr>
      <w:r>
        <w:rPr>
          <w:rFonts w:ascii="宋体" w:hAnsi="宋体" w:eastAsia="宋体" w:cs="宋体"/>
          <w:spacing w:val="8"/>
          <w:sz w:val="20"/>
          <w:szCs w:val="20"/>
        </w:rPr>
        <w:t>（3）投标人的报价均超过了采购预算，采购人不能支付的；</w:t>
      </w:r>
    </w:p>
    <w:p w14:paraId="7BF87E5B">
      <w:pPr>
        <w:keepNext w:val="0"/>
        <w:keepLines w:val="0"/>
        <w:pageBreakBefore w:val="0"/>
        <w:kinsoku/>
        <w:wordWrap/>
        <w:overflowPunct/>
        <w:topLinePunct w:val="0"/>
        <w:bidi w:val="0"/>
        <w:spacing w:before="230" w:line="227" w:lineRule="auto"/>
        <w:ind w:left="436"/>
        <w:rPr>
          <w:rFonts w:ascii="宋体" w:hAnsi="宋体" w:eastAsia="宋体" w:cs="宋体"/>
          <w:sz w:val="20"/>
          <w:szCs w:val="20"/>
        </w:rPr>
      </w:pPr>
      <w:r>
        <w:rPr>
          <w:rFonts w:ascii="宋体" w:hAnsi="宋体" w:eastAsia="宋体" w:cs="宋体"/>
          <w:spacing w:val="7"/>
          <w:sz w:val="20"/>
          <w:szCs w:val="20"/>
        </w:rPr>
        <w:t>（4）因重大变故，采购任务取消的。</w:t>
      </w:r>
    </w:p>
    <w:p w14:paraId="28D91776">
      <w:pPr>
        <w:keepNext w:val="0"/>
        <w:keepLines w:val="0"/>
        <w:pageBreakBefore w:val="0"/>
        <w:kinsoku/>
        <w:wordWrap/>
        <w:overflowPunct/>
        <w:topLinePunct w:val="0"/>
        <w:bidi w:val="0"/>
        <w:spacing w:before="230" w:line="228" w:lineRule="auto"/>
        <w:rPr>
          <w:rFonts w:ascii="宋体" w:hAnsi="宋体" w:eastAsia="宋体" w:cs="宋体"/>
          <w:sz w:val="20"/>
          <w:szCs w:val="20"/>
        </w:rPr>
      </w:pPr>
      <w:r>
        <w:rPr>
          <w:rFonts w:ascii="宋体" w:hAnsi="宋体" w:eastAsia="宋体" w:cs="宋体"/>
          <w:b/>
          <w:bCs/>
          <w:spacing w:val="5"/>
          <w:sz w:val="20"/>
          <w:szCs w:val="20"/>
        </w:rPr>
        <w:t>8.2</w:t>
      </w:r>
      <w:r>
        <w:rPr>
          <w:rFonts w:ascii="宋体" w:hAnsi="宋体" w:eastAsia="宋体" w:cs="宋体"/>
          <w:spacing w:val="5"/>
          <w:sz w:val="20"/>
          <w:szCs w:val="20"/>
        </w:rPr>
        <w:t xml:space="preserve"> </w:t>
      </w:r>
      <w:r>
        <w:rPr>
          <w:rFonts w:ascii="宋体" w:hAnsi="宋体" w:eastAsia="宋体" w:cs="宋体"/>
          <w:b/>
          <w:bCs/>
          <w:spacing w:val="5"/>
          <w:sz w:val="20"/>
          <w:szCs w:val="20"/>
        </w:rPr>
        <w:t>重新招标</w:t>
      </w:r>
    </w:p>
    <w:p w14:paraId="5D4B6D85">
      <w:pPr>
        <w:keepNext w:val="0"/>
        <w:keepLines w:val="0"/>
        <w:pageBreakBefore w:val="0"/>
        <w:kinsoku/>
        <w:wordWrap/>
        <w:overflowPunct/>
        <w:topLinePunct w:val="0"/>
        <w:bidi w:val="0"/>
        <w:spacing w:before="230" w:line="227" w:lineRule="auto"/>
        <w:ind w:left="425"/>
        <w:rPr>
          <w:rFonts w:ascii="宋体" w:hAnsi="宋体" w:eastAsia="宋体" w:cs="宋体"/>
          <w:sz w:val="20"/>
          <w:szCs w:val="20"/>
        </w:rPr>
      </w:pPr>
      <w:r>
        <w:rPr>
          <w:rFonts w:ascii="宋体" w:hAnsi="宋体" w:eastAsia="宋体" w:cs="宋体"/>
          <w:spacing w:val="9"/>
          <w:sz w:val="20"/>
          <w:szCs w:val="20"/>
        </w:rPr>
        <w:t>废标后，除采购任务取消情形外，应当重新组织招标。</w:t>
      </w:r>
    </w:p>
    <w:p w14:paraId="7C52CEC2">
      <w:pPr>
        <w:keepNext w:val="0"/>
        <w:keepLines w:val="0"/>
        <w:pageBreakBefore w:val="0"/>
        <w:kinsoku/>
        <w:wordWrap/>
        <w:overflowPunct/>
        <w:topLinePunct w:val="0"/>
        <w:bidi w:val="0"/>
        <w:spacing w:before="271" w:line="220" w:lineRule="auto"/>
        <w:ind w:left="3730"/>
        <w:outlineLvl w:val="1"/>
        <w:rPr>
          <w:rFonts w:ascii="宋体" w:hAnsi="宋体" w:eastAsia="宋体" w:cs="宋体"/>
          <w:sz w:val="28"/>
          <w:szCs w:val="28"/>
        </w:rPr>
      </w:pPr>
      <w:bookmarkStart w:id="25" w:name="bookmark25"/>
      <w:bookmarkEnd w:id="25"/>
      <w:bookmarkStart w:id="26" w:name="_Toc2863"/>
      <w:r>
        <w:rPr>
          <w:rFonts w:ascii="宋体" w:hAnsi="宋体" w:eastAsia="宋体" w:cs="宋体"/>
          <w:b/>
          <w:bCs/>
          <w:spacing w:val="-2"/>
          <w:sz w:val="28"/>
          <w:szCs w:val="28"/>
        </w:rPr>
        <w:t>9.纪律和监督</w:t>
      </w:r>
      <w:bookmarkEnd w:id="26"/>
    </w:p>
    <w:p w14:paraId="5ED10B91">
      <w:pPr>
        <w:keepNext w:val="0"/>
        <w:keepLines w:val="0"/>
        <w:pageBreakBefore w:val="0"/>
        <w:kinsoku/>
        <w:wordWrap/>
        <w:overflowPunct/>
        <w:topLinePunct w:val="0"/>
        <w:bidi w:val="0"/>
        <w:spacing w:before="258" w:line="227" w:lineRule="auto"/>
        <w:rPr>
          <w:rFonts w:ascii="宋体" w:hAnsi="宋体" w:eastAsia="宋体" w:cs="宋体"/>
          <w:sz w:val="20"/>
          <w:szCs w:val="20"/>
        </w:rPr>
      </w:pPr>
      <w:r>
        <w:rPr>
          <w:rFonts w:ascii="宋体" w:hAnsi="宋体" w:eastAsia="宋体" w:cs="宋体"/>
          <w:b/>
          <w:bCs/>
          <w:spacing w:val="6"/>
          <w:sz w:val="20"/>
          <w:szCs w:val="20"/>
        </w:rPr>
        <w:t>9.1</w:t>
      </w:r>
      <w:r>
        <w:rPr>
          <w:rFonts w:ascii="宋体" w:hAnsi="宋体" w:eastAsia="宋体" w:cs="宋体"/>
          <w:spacing w:val="6"/>
          <w:sz w:val="20"/>
          <w:szCs w:val="20"/>
        </w:rPr>
        <w:t xml:space="preserve"> </w:t>
      </w:r>
      <w:r>
        <w:rPr>
          <w:rFonts w:ascii="宋体" w:hAnsi="宋体" w:eastAsia="宋体" w:cs="宋体"/>
          <w:b/>
          <w:bCs/>
          <w:spacing w:val="6"/>
          <w:sz w:val="20"/>
          <w:szCs w:val="20"/>
        </w:rPr>
        <w:t>对采购人的纪律要求</w:t>
      </w:r>
    </w:p>
    <w:p w14:paraId="67899A8D">
      <w:pPr>
        <w:keepNext w:val="0"/>
        <w:keepLines w:val="0"/>
        <w:pageBreakBefore w:val="0"/>
        <w:kinsoku/>
        <w:wordWrap/>
        <w:overflowPunct/>
        <w:topLinePunct w:val="0"/>
        <w:bidi w:val="0"/>
        <w:spacing w:before="229" w:line="439" w:lineRule="auto"/>
        <w:ind w:left="5" w:right="70" w:firstLine="419"/>
        <w:rPr>
          <w:rFonts w:ascii="宋体" w:hAnsi="宋体" w:eastAsia="宋体" w:cs="宋体"/>
          <w:sz w:val="20"/>
          <w:szCs w:val="20"/>
        </w:rPr>
      </w:pPr>
      <w:r>
        <w:rPr>
          <w:rFonts w:ascii="宋体" w:hAnsi="宋体" w:eastAsia="宋体" w:cs="宋体"/>
          <w:spacing w:val="8"/>
          <w:sz w:val="20"/>
          <w:szCs w:val="20"/>
        </w:rPr>
        <w:t>采购人不得泄漏招标投标活动中应当保密的情况和资料，不得与投</w:t>
      </w:r>
      <w:r>
        <w:rPr>
          <w:rFonts w:ascii="宋体" w:hAnsi="宋体" w:eastAsia="宋体" w:cs="宋体"/>
          <w:spacing w:val="7"/>
          <w:sz w:val="20"/>
          <w:szCs w:val="20"/>
        </w:rPr>
        <w:t>标人串通损害国家利益、社会公共利益或者他人合法权益。</w:t>
      </w:r>
    </w:p>
    <w:p w14:paraId="2FC36163">
      <w:pPr>
        <w:keepNext w:val="0"/>
        <w:keepLines w:val="0"/>
        <w:pageBreakBefore w:val="0"/>
        <w:kinsoku/>
        <w:wordWrap/>
        <w:overflowPunct/>
        <w:topLinePunct w:val="0"/>
        <w:bidi w:val="0"/>
        <w:spacing w:before="1" w:line="226" w:lineRule="auto"/>
        <w:ind w:left="427"/>
        <w:rPr>
          <w:rFonts w:ascii="宋体" w:hAnsi="宋体" w:eastAsia="宋体" w:cs="宋体"/>
          <w:sz w:val="20"/>
          <w:szCs w:val="20"/>
        </w:rPr>
      </w:pPr>
      <w:r>
        <w:rPr>
          <w:rFonts w:ascii="宋体" w:hAnsi="宋体" w:eastAsia="宋体" w:cs="宋体"/>
          <w:spacing w:val="9"/>
          <w:sz w:val="20"/>
          <w:szCs w:val="20"/>
        </w:rPr>
        <w:t>有下列情形之一的，属于采购人与投标人串通投标：</w:t>
      </w:r>
    </w:p>
    <w:p w14:paraId="5E2B2D47">
      <w:pPr>
        <w:keepNext w:val="0"/>
        <w:keepLines w:val="0"/>
        <w:pageBreakBefore w:val="0"/>
        <w:kinsoku/>
        <w:wordWrap/>
        <w:overflowPunct/>
        <w:topLinePunct w:val="0"/>
        <w:bidi w:val="0"/>
        <w:spacing w:before="229" w:line="227" w:lineRule="auto"/>
        <w:ind w:left="436"/>
        <w:rPr>
          <w:rFonts w:ascii="宋体" w:hAnsi="宋体" w:eastAsia="宋体" w:cs="宋体"/>
          <w:sz w:val="20"/>
          <w:szCs w:val="20"/>
        </w:rPr>
      </w:pPr>
      <w:r>
        <w:rPr>
          <w:rFonts w:ascii="宋体" w:hAnsi="宋体" w:eastAsia="宋体" w:cs="宋体"/>
          <w:spacing w:val="9"/>
          <w:sz w:val="20"/>
          <w:szCs w:val="20"/>
        </w:rPr>
        <w:t>（一）采购人在开标前开启投标文件并将有关信息泄露给其他投标人；</w:t>
      </w:r>
    </w:p>
    <w:p w14:paraId="014E3150">
      <w:pPr>
        <w:keepNext w:val="0"/>
        <w:keepLines w:val="0"/>
        <w:pageBreakBefore w:val="0"/>
        <w:kinsoku/>
        <w:wordWrap/>
        <w:overflowPunct/>
        <w:topLinePunct w:val="0"/>
        <w:bidi w:val="0"/>
        <w:spacing w:before="229" w:line="227" w:lineRule="auto"/>
        <w:ind w:left="436"/>
        <w:rPr>
          <w:rFonts w:ascii="宋体" w:hAnsi="宋体" w:eastAsia="宋体" w:cs="宋体"/>
          <w:sz w:val="20"/>
          <w:szCs w:val="20"/>
        </w:rPr>
      </w:pPr>
      <w:r>
        <w:rPr>
          <w:rFonts w:ascii="宋体" w:hAnsi="宋体" w:eastAsia="宋体" w:cs="宋体"/>
          <w:spacing w:val="9"/>
          <w:sz w:val="20"/>
          <w:szCs w:val="20"/>
        </w:rPr>
        <w:t>（二）采购人直接或者间接向投标人泄露标底、评标委员会成员等信息；</w:t>
      </w:r>
    </w:p>
    <w:p w14:paraId="48356822">
      <w:pPr>
        <w:keepNext w:val="0"/>
        <w:keepLines w:val="0"/>
        <w:pageBreakBefore w:val="0"/>
        <w:kinsoku/>
        <w:wordWrap/>
        <w:overflowPunct/>
        <w:topLinePunct w:val="0"/>
        <w:bidi w:val="0"/>
        <w:spacing w:before="230" w:line="226" w:lineRule="auto"/>
        <w:ind w:left="436"/>
        <w:rPr>
          <w:rFonts w:ascii="宋体" w:hAnsi="宋体" w:eastAsia="宋体" w:cs="宋体"/>
          <w:sz w:val="20"/>
          <w:szCs w:val="20"/>
        </w:rPr>
      </w:pPr>
      <w:r>
        <w:rPr>
          <w:rFonts w:ascii="宋体" w:hAnsi="宋体" w:eastAsia="宋体" w:cs="宋体"/>
          <w:spacing w:val="9"/>
          <w:sz w:val="20"/>
          <w:szCs w:val="20"/>
        </w:rPr>
        <w:t>（三）采购人明示或者暗示投标人压低或者抬高</w:t>
      </w:r>
      <w:r>
        <w:rPr>
          <w:rFonts w:ascii="宋体" w:hAnsi="宋体" w:eastAsia="宋体" w:cs="宋体"/>
          <w:spacing w:val="8"/>
          <w:sz w:val="20"/>
          <w:szCs w:val="20"/>
        </w:rPr>
        <w:t>投标报价；</w:t>
      </w:r>
    </w:p>
    <w:p w14:paraId="52CFFCC0">
      <w:pPr>
        <w:keepNext w:val="0"/>
        <w:keepLines w:val="0"/>
        <w:pageBreakBefore w:val="0"/>
        <w:kinsoku/>
        <w:wordWrap/>
        <w:overflowPunct/>
        <w:topLinePunct w:val="0"/>
        <w:bidi w:val="0"/>
        <w:spacing w:before="232" w:line="227" w:lineRule="auto"/>
        <w:ind w:left="436"/>
        <w:rPr>
          <w:rFonts w:ascii="宋体" w:hAnsi="宋体" w:eastAsia="宋体" w:cs="宋体"/>
          <w:sz w:val="20"/>
          <w:szCs w:val="20"/>
        </w:rPr>
      </w:pPr>
      <w:r>
        <w:rPr>
          <w:rFonts w:ascii="宋体" w:hAnsi="宋体" w:eastAsia="宋体" w:cs="宋体"/>
          <w:spacing w:val="8"/>
          <w:sz w:val="20"/>
          <w:szCs w:val="20"/>
        </w:rPr>
        <w:t>（四）采购人授意投标人撤换、修改投标文件；</w:t>
      </w:r>
    </w:p>
    <w:p w14:paraId="20B7DC65">
      <w:pPr>
        <w:keepNext w:val="0"/>
        <w:keepLines w:val="0"/>
        <w:pageBreakBefore w:val="0"/>
        <w:kinsoku/>
        <w:wordWrap/>
        <w:overflowPunct/>
        <w:topLinePunct w:val="0"/>
        <w:bidi w:val="0"/>
        <w:spacing w:before="230" w:line="227" w:lineRule="auto"/>
        <w:ind w:left="436"/>
        <w:rPr>
          <w:rFonts w:ascii="宋体" w:hAnsi="宋体" w:eastAsia="宋体" w:cs="宋体"/>
          <w:sz w:val="20"/>
          <w:szCs w:val="20"/>
        </w:rPr>
      </w:pPr>
      <w:r>
        <w:rPr>
          <w:rFonts w:ascii="宋体" w:hAnsi="宋体" w:eastAsia="宋体" w:cs="宋体"/>
          <w:spacing w:val="9"/>
          <w:sz w:val="20"/>
          <w:szCs w:val="20"/>
        </w:rPr>
        <w:t>（五）采购人明示或者暗示投标人为特定投标人中标提供</w:t>
      </w:r>
      <w:r>
        <w:rPr>
          <w:rFonts w:ascii="宋体" w:hAnsi="宋体" w:eastAsia="宋体" w:cs="宋体"/>
          <w:spacing w:val="8"/>
          <w:sz w:val="20"/>
          <w:szCs w:val="20"/>
        </w:rPr>
        <w:t>方便；</w:t>
      </w:r>
    </w:p>
    <w:p w14:paraId="2B733FD4">
      <w:pPr>
        <w:keepNext w:val="0"/>
        <w:keepLines w:val="0"/>
        <w:pageBreakBefore w:val="0"/>
        <w:kinsoku/>
        <w:wordWrap/>
        <w:overflowPunct/>
        <w:topLinePunct w:val="0"/>
        <w:bidi w:val="0"/>
        <w:spacing w:before="229" w:line="227" w:lineRule="auto"/>
        <w:ind w:left="436"/>
        <w:rPr>
          <w:rFonts w:ascii="宋体" w:hAnsi="宋体" w:eastAsia="宋体" w:cs="宋体"/>
          <w:sz w:val="20"/>
          <w:szCs w:val="20"/>
        </w:rPr>
      </w:pPr>
      <w:r>
        <w:rPr>
          <w:rFonts w:ascii="宋体" w:hAnsi="宋体" w:eastAsia="宋体" w:cs="宋体"/>
          <w:spacing w:val="9"/>
          <w:sz w:val="20"/>
          <w:szCs w:val="20"/>
        </w:rPr>
        <w:t>（六）采购人与投标人为谋求特定投标人中标而采取的其他串通行为。</w:t>
      </w:r>
    </w:p>
    <w:p w14:paraId="03D525DE">
      <w:pPr>
        <w:keepNext w:val="0"/>
        <w:keepLines w:val="0"/>
        <w:pageBreakBefore w:val="0"/>
        <w:kinsoku/>
        <w:wordWrap/>
        <w:overflowPunct/>
        <w:topLinePunct w:val="0"/>
        <w:bidi w:val="0"/>
        <w:spacing w:before="229" w:line="228" w:lineRule="auto"/>
        <w:rPr>
          <w:rFonts w:ascii="宋体" w:hAnsi="宋体" w:eastAsia="宋体" w:cs="宋体"/>
          <w:sz w:val="20"/>
          <w:szCs w:val="20"/>
        </w:rPr>
      </w:pPr>
      <w:r>
        <w:rPr>
          <w:rFonts w:ascii="宋体" w:hAnsi="宋体" w:eastAsia="宋体" w:cs="宋体"/>
          <w:b/>
          <w:bCs/>
          <w:spacing w:val="6"/>
          <w:sz w:val="20"/>
          <w:szCs w:val="20"/>
        </w:rPr>
        <w:t>9.2</w:t>
      </w:r>
      <w:r>
        <w:rPr>
          <w:rFonts w:ascii="宋体" w:hAnsi="宋体" w:eastAsia="宋体" w:cs="宋体"/>
          <w:spacing w:val="6"/>
          <w:sz w:val="20"/>
          <w:szCs w:val="20"/>
        </w:rPr>
        <w:t xml:space="preserve"> </w:t>
      </w:r>
      <w:r>
        <w:rPr>
          <w:rFonts w:ascii="宋体" w:hAnsi="宋体" w:eastAsia="宋体" w:cs="宋体"/>
          <w:b/>
          <w:bCs/>
          <w:spacing w:val="6"/>
          <w:sz w:val="20"/>
          <w:szCs w:val="20"/>
        </w:rPr>
        <w:t>对投标人的纪律要求</w:t>
      </w:r>
    </w:p>
    <w:p w14:paraId="08FCA878">
      <w:pPr>
        <w:keepNext w:val="0"/>
        <w:keepLines w:val="0"/>
        <w:pageBreakBefore w:val="0"/>
        <w:kinsoku/>
        <w:wordWrap/>
        <w:overflowPunct/>
        <w:topLinePunct w:val="0"/>
        <w:bidi w:val="0"/>
        <w:spacing w:before="227" w:line="439" w:lineRule="auto"/>
        <w:ind w:right="70" w:firstLine="428"/>
        <w:jc w:val="both"/>
        <w:rPr>
          <w:rFonts w:ascii="宋体" w:hAnsi="宋体" w:eastAsia="宋体" w:cs="宋体"/>
          <w:sz w:val="20"/>
          <w:szCs w:val="20"/>
        </w:rPr>
      </w:pPr>
      <w:r>
        <w:rPr>
          <w:rFonts w:ascii="宋体" w:hAnsi="宋体" w:eastAsia="宋体" w:cs="宋体"/>
          <w:spacing w:val="8"/>
          <w:sz w:val="20"/>
          <w:szCs w:val="20"/>
        </w:rPr>
        <w:t>投标人不得相互串通投标或者与采购人串通投标，不得向</w:t>
      </w:r>
      <w:r>
        <w:rPr>
          <w:rFonts w:ascii="宋体" w:hAnsi="宋体" w:eastAsia="宋体" w:cs="宋体"/>
          <w:spacing w:val="7"/>
          <w:sz w:val="20"/>
          <w:szCs w:val="20"/>
        </w:rPr>
        <w:t>采购人或者评标委员会成员行贿谋取中</w:t>
      </w:r>
      <w:r>
        <w:rPr>
          <w:rFonts w:ascii="宋体" w:hAnsi="宋体" w:eastAsia="宋体" w:cs="宋体"/>
          <w:spacing w:val="8"/>
          <w:sz w:val="20"/>
          <w:szCs w:val="20"/>
        </w:rPr>
        <w:t>标，不得以他人名义投标或者以其他方式弄虚作假骗取中标；投标人不得以任何方式干扰、</w:t>
      </w:r>
      <w:r>
        <w:rPr>
          <w:rFonts w:ascii="宋体" w:hAnsi="宋体" w:eastAsia="宋体" w:cs="宋体"/>
          <w:spacing w:val="7"/>
          <w:sz w:val="20"/>
          <w:szCs w:val="20"/>
        </w:rPr>
        <w:t>影响评标</w:t>
      </w:r>
      <w:r>
        <w:rPr>
          <w:rFonts w:ascii="宋体" w:hAnsi="宋体" w:eastAsia="宋体" w:cs="宋体"/>
          <w:spacing w:val="2"/>
          <w:sz w:val="20"/>
          <w:szCs w:val="20"/>
        </w:rPr>
        <w:t>工作。</w:t>
      </w:r>
    </w:p>
    <w:p w14:paraId="18422890">
      <w:pPr>
        <w:keepNext w:val="0"/>
        <w:keepLines w:val="0"/>
        <w:pageBreakBefore w:val="0"/>
        <w:kinsoku/>
        <w:wordWrap/>
        <w:overflowPunct/>
        <w:topLinePunct w:val="0"/>
        <w:bidi w:val="0"/>
        <w:spacing w:before="1" w:line="228" w:lineRule="auto"/>
        <w:ind w:left="427"/>
        <w:rPr>
          <w:rFonts w:ascii="宋体" w:hAnsi="宋体" w:eastAsia="宋体" w:cs="宋体"/>
          <w:sz w:val="20"/>
          <w:szCs w:val="20"/>
        </w:rPr>
      </w:pPr>
      <w:r>
        <w:rPr>
          <w:rFonts w:ascii="宋体" w:hAnsi="宋体" w:eastAsia="宋体" w:cs="宋体"/>
          <w:spacing w:val="8"/>
          <w:sz w:val="20"/>
          <w:szCs w:val="20"/>
        </w:rPr>
        <w:t>9.2.1 有下列情形之一的，属于投标人相互串通投标：</w:t>
      </w:r>
    </w:p>
    <w:p w14:paraId="33A70669">
      <w:pPr>
        <w:keepNext w:val="0"/>
        <w:keepLines w:val="0"/>
        <w:pageBreakBefore w:val="0"/>
        <w:kinsoku/>
        <w:wordWrap/>
        <w:overflowPunct/>
        <w:topLinePunct w:val="0"/>
        <w:bidi w:val="0"/>
        <w:spacing w:before="176" w:line="226" w:lineRule="auto"/>
        <w:ind w:left="436"/>
        <w:rPr>
          <w:rFonts w:ascii="宋体" w:hAnsi="宋体" w:eastAsia="宋体" w:cs="宋体"/>
          <w:sz w:val="20"/>
          <w:szCs w:val="20"/>
        </w:rPr>
      </w:pPr>
      <w:r>
        <w:rPr>
          <w:rFonts w:ascii="宋体" w:hAnsi="宋体" w:eastAsia="宋体" w:cs="宋体"/>
          <w:spacing w:val="8"/>
          <w:sz w:val="20"/>
          <w:szCs w:val="20"/>
        </w:rPr>
        <w:br w:type="page"/>
      </w:r>
      <w:r>
        <w:rPr>
          <w:rFonts w:ascii="宋体" w:hAnsi="宋体" w:eastAsia="宋体" w:cs="宋体"/>
          <w:spacing w:val="8"/>
          <w:sz w:val="20"/>
          <w:szCs w:val="20"/>
        </w:rPr>
        <w:t>（1）投标人之间协商投标报价等投标文件的实质性内容；</w:t>
      </w:r>
    </w:p>
    <w:p w14:paraId="0C4E8E02">
      <w:pPr>
        <w:keepNext w:val="0"/>
        <w:keepLines w:val="0"/>
        <w:pageBreakBefore w:val="0"/>
        <w:kinsoku/>
        <w:wordWrap/>
        <w:overflowPunct/>
        <w:topLinePunct w:val="0"/>
        <w:bidi w:val="0"/>
        <w:spacing w:before="230" w:line="228" w:lineRule="auto"/>
        <w:ind w:left="436"/>
        <w:rPr>
          <w:rFonts w:ascii="宋体" w:hAnsi="宋体" w:eastAsia="宋体" w:cs="宋体"/>
          <w:sz w:val="20"/>
          <w:szCs w:val="20"/>
        </w:rPr>
      </w:pPr>
      <w:r>
        <w:rPr>
          <w:rFonts w:ascii="宋体" w:hAnsi="宋体" w:eastAsia="宋体" w:cs="宋体"/>
          <w:spacing w:val="7"/>
          <w:sz w:val="20"/>
          <w:szCs w:val="20"/>
        </w:rPr>
        <w:t>（2）投标人之间约定中标人；</w:t>
      </w:r>
    </w:p>
    <w:p w14:paraId="0C481DF4">
      <w:pPr>
        <w:keepNext w:val="0"/>
        <w:keepLines w:val="0"/>
        <w:pageBreakBefore w:val="0"/>
        <w:kinsoku/>
        <w:wordWrap/>
        <w:overflowPunct/>
        <w:topLinePunct w:val="0"/>
        <w:bidi w:val="0"/>
        <w:spacing w:before="227" w:line="228" w:lineRule="auto"/>
        <w:ind w:left="436"/>
        <w:rPr>
          <w:rFonts w:ascii="宋体" w:hAnsi="宋体" w:eastAsia="宋体" w:cs="宋体"/>
          <w:sz w:val="20"/>
          <w:szCs w:val="20"/>
        </w:rPr>
      </w:pPr>
      <w:r>
        <w:rPr>
          <w:rFonts w:ascii="宋体" w:hAnsi="宋体" w:eastAsia="宋体" w:cs="宋体"/>
          <w:spacing w:val="8"/>
          <w:sz w:val="20"/>
          <w:szCs w:val="20"/>
        </w:rPr>
        <w:t>（3）投标人之间约定部分投标人放弃投标或者中标；</w:t>
      </w:r>
    </w:p>
    <w:p w14:paraId="72202A39">
      <w:pPr>
        <w:keepNext w:val="0"/>
        <w:keepLines w:val="0"/>
        <w:pageBreakBefore w:val="0"/>
        <w:kinsoku/>
        <w:wordWrap/>
        <w:overflowPunct/>
        <w:topLinePunct w:val="0"/>
        <w:bidi w:val="0"/>
        <w:spacing w:before="228" w:line="227" w:lineRule="auto"/>
        <w:ind w:left="436"/>
        <w:rPr>
          <w:rFonts w:ascii="宋体" w:hAnsi="宋体" w:eastAsia="宋体" w:cs="宋体"/>
          <w:sz w:val="20"/>
          <w:szCs w:val="20"/>
        </w:rPr>
      </w:pPr>
      <w:r>
        <w:rPr>
          <w:rFonts w:ascii="宋体" w:hAnsi="宋体" w:eastAsia="宋体" w:cs="宋体"/>
          <w:spacing w:val="9"/>
          <w:sz w:val="20"/>
          <w:szCs w:val="20"/>
        </w:rPr>
        <w:t>（4）属于同一集团、协会、商会等组织成员的投标人按照该组织要求协同投标；</w:t>
      </w:r>
    </w:p>
    <w:p w14:paraId="31B0EF44">
      <w:pPr>
        <w:keepNext w:val="0"/>
        <w:keepLines w:val="0"/>
        <w:pageBreakBefore w:val="0"/>
        <w:kinsoku/>
        <w:wordWrap/>
        <w:overflowPunct/>
        <w:topLinePunct w:val="0"/>
        <w:bidi w:val="0"/>
        <w:spacing w:before="231" w:line="227" w:lineRule="auto"/>
        <w:ind w:left="436"/>
        <w:rPr>
          <w:rFonts w:ascii="宋体" w:hAnsi="宋体" w:eastAsia="宋体" w:cs="宋体"/>
          <w:sz w:val="20"/>
          <w:szCs w:val="20"/>
        </w:rPr>
      </w:pPr>
      <w:r>
        <w:rPr>
          <w:rFonts w:ascii="宋体" w:hAnsi="宋体" w:eastAsia="宋体" w:cs="宋体"/>
          <w:spacing w:val="9"/>
          <w:sz w:val="20"/>
          <w:szCs w:val="20"/>
        </w:rPr>
        <w:t>（5）投标人之间为谋取中标或者排斥特定投标人而采取的其他</w:t>
      </w:r>
      <w:r>
        <w:rPr>
          <w:rFonts w:ascii="宋体" w:hAnsi="宋体" w:eastAsia="宋体" w:cs="宋体"/>
          <w:spacing w:val="8"/>
          <w:sz w:val="20"/>
          <w:szCs w:val="20"/>
        </w:rPr>
        <w:t>联合行动。</w:t>
      </w:r>
    </w:p>
    <w:p w14:paraId="13486C21">
      <w:pPr>
        <w:keepNext w:val="0"/>
        <w:keepLines w:val="0"/>
        <w:pageBreakBefore w:val="0"/>
        <w:kinsoku/>
        <w:wordWrap/>
        <w:overflowPunct/>
        <w:topLinePunct w:val="0"/>
        <w:bidi w:val="0"/>
        <w:spacing w:before="229" w:line="228" w:lineRule="auto"/>
        <w:ind w:left="427"/>
        <w:rPr>
          <w:rFonts w:ascii="宋体" w:hAnsi="宋体" w:eastAsia="宋体" w:cs="宋体"/>
          <w:sz w:val="20"/>
          <w:szCs w:val="20"/>
        </w:rPr>
      </w:pPr>
      <w:r>
        <w:rPr>
          <w:rFonts w:ascii="宋体" w:hAnsi="宋体" w:eastAsia="宋体" w:cs="宋体"/>
          <w:spacing w:val="8"/>
          <w:sz w:val="20"/>
          <w:szCs w:val="20"/>
        </w:rPr>
        <w:t>9.2.2 有下列情形之一的，视为投标人相互串通投标：</w:t>
      </w:r>
    </w:p>
    <w:p w14:paraId="2B5853EE">
      <w:pPr>
        <w:keepNext w:val="0"/>
        <w:keepLines w:val="0"/>
        <w:pageBreakBefore w:val="0"/>
        <w:kinsoku/>
        <w:wordWrap/>
        <w:overflowPunct/>
        <w:topLinePunct w:val="0"/>
        <w:bidi w:val="0"/>
        <w:spacing w:before="228" w:line="228" w:lineRule="auto"/>
        <w:ind w:left="436"/>
        <w:rPr>
          <w:rFonts w:ascii="宋体" w:hAnsi="宋体" w:eastAsia="宋体" w:cs="宋体"/>
          <w:sz w:val="20"/>
          <w:szCs w:val="20"/>
        </w:rPr>
      </w:pPr>
      <w:r>
        <w:rPr>
          <w:rFonts w:ascii="宋体" w:hAnsi="宋体" w:eastAsia="宋体" w:cs="宋体"/>
          <w:spacing w:val="8"/>
          <w:sz w:val="20"/>
          <w:szCs w:val="20"/>
        </w:rPr>
        <w:t>（1）不同投标人的投标文件由同一单位或者个人编制；</w:t>
      </w:r>
    </w:p>
    <w:p w14:paraId="0B4D0289">
      <w:pPr>
        <w:keepNext w:val="0"/>
        <w:keepLines w:val="0"/>
        <w:pageBreakBefore w:val="0"/>
        <w:kinsoku/>
        <w:wordWrap/>
        <w:overflowPunct/>
        <w:topLinePunct w:val="0"/>
        <w:bidi w:val="0"/>
        <w:spacing w:before="228" w:line="228" w:lineRule="auto"/>
        <w:ind w:left="436"/>
        <w:rPr>
          <w:rFonts w:ascii="宋体" w:hAnsi="宋体" w:eastAsia="宋体" w:cs="宋体"/>
          <w:sz w:val="20"/>
          <w:szCs w:val="20"/>
        </w:rPr>
      </w:pPr>
      <w:r>
        <w:rPr>
          <w:rFonts w:ascii="宋体" w:hAnsi="宋体" w:eastAsia="宋体" w:cs="宋体"/>
          <w:spacing w:val="8"/>
          <w:sz w:val="20"/>
          <w:szCs w:val="20"/>
        </w:rPr>
        <w:t>（2）不同投标人委托同一单位或者个人办理投标事宜；</w:t>
      </w:r>
    </w:p>
    <w:p w14:paraId="289467F9">
      <w:pPr>
        <w:keepNext w:val="0"/>
        <w:keepLines w:val="0"/>
        <w:pageBreakBefore w:val="0"/>
        <w:kinsoku/>
        <w:wordWrap/>
        <w:overflowPunct/>
        <w:topLinePunct w:val="0"/>
        <w:bidi w:val="0"/>
        <w:spacing w:before="228" w:line="228" w:lineRule="auto"/>
        <w:ind w:left="436"/>
        <w:rPr>
          <w:rFonts w:ascii="宋体" w:hAnsi="宋体" w:eastAsia="宋体" w:cs="宋体"/>
          <w:sz w:val="20"/>
          <w:szCs w:val="20"/>
        </w:rPr>
      </w:pPr>
      <w:r>
        <w:rPr>
          <w:rFonts w:ascii="宋体" w:hAnsi="宋体" w:eastAsia="宋体" w:cs="宋体"/>
          <w:spacing w:val="8"/>
          <w:sz w:val="20"/>
          <w:szCs w:val="20"/>
        </w:rPr>
        <w:t>（3）不同投标人的投标文件载明的项目管理成员为同一人；</w:t>
      </w:r>
    </w:p>
    <w:p w14:paraId="41FF96F5">
      <w:pPr>
        <w:keepNext w:val="0"/>
        <w:keepLines w:val="0"/>
        <w:pageBreakBefore w:val="0"/>
        <w:kinsoku/>
        <w:wordWrap/>
        <w:overflowPunct/>
        <w:topLinePunct w:val="0"/>
        <w:bidi w:val="0"/>
        <w:spacing w:before="229" w:line="226" w:lineRule="auto"/>
        <w:ind w:left="436"/>
        <w:rPr>
          <w:rFonts w:ascii="宋体" w:hAnsi="宋体" w:eastAsia="宋体" w:cs="宋体"/>
          <w:sz w:val="20"/>
          <w:szCs w:val="20"/>
        </w:rPr>
      </w:pPr>
      <w:r>
        <w:rPr>
          <w:rFonts w:ascii="宋体" w:hAnsi="宋体" w:eastAsia="宋体" w:cs="宋体"/>
          <w:spacing w:val="9"/>
          <w:sz w:val="20"/>
          <w:szCs w:val="20"/>
        </w:rPr>
        <w:t>（4）不同投标人的投标文件异常一致或者投标报价</w:t>
      </w:r>
      <w:r>
        <w:rPr>
          <w:rFonts w:ascii="宋体" w:hAnsi="宋体" w:eastAsia="宋体" w:cs="宋体"/>
          <w:spacing w:val="8"/>
          <w:sz w:val="20"/>
          <w:szCs w:val="20"/>
        </w:rPr>
        <w:t>呈规律性差异；</w:t>
      </w:r>
    </w:p>
    <w:p w14:paraId="5EE284A4">
      <w:pPr>
        <w:keepNext w:val="0"/>
        <w:keepLines w:val="0"/>
        <w:pageBreakBefore w:val="0"/>
        <w:kinsoku/>
        <w:wordWrap/>
        <w:overflowPunct/>
        <w:topLinePunct w:val="0"/>
        <w:bidi w:val="0"/>
        <w:spacing w:before="230" w:line="228" w:lineRule="auto"/>
        <w:ind w:left="436"/>
        <w:rPr>
          <w:rFonts w:ascii="宋体" w:hAnsi="宋体" w:eastAsia="宋体" w:cs="宋体"/>
          <w:sz w:val="20"/>
          <w:szCs w:val="20"/>
        </w:rPr>
      </w:pPr>
      <w:r>
        <w:rPr>
          <w:rFonts w:ascii="宋体" w:hAnsi="宋体" w:eastAsia="宋体" w:cs="宋体"/>
          <w:spacing w:val="8"/>
          <w:sz w:val="20"/>
          <w:szCs w:val="20"/>
        </w:rPr>
        <w:t>（5）不同投标人的投标文件相互混装；</w:t>
      </w:r>
    </w:p>
    <w:p w14:paraId="6E4F8F8B">
      <w:pPr>
        <w:keepNext w:val="0"/>
        <w:keepLines w:val="0"/>
        <w:pageBreakBefore w:val="0"/>
        <w:kinsoku/>
        <w:wordWrap/>
        <w:overflowPunct/>
        <w:topLinePunct w:val="0"/>
        <w:bidi w:val="0"/>
        <w:spacing w:before="228" w:line="227" w:lineRule="auto"/>
        <w:ind w:left="436"/>
        <w:rPr>
          <w:rFonts w:ascii="宋体" w:hAnsi="宋体" w:eastAsia="宋体" w:cs="宋体"/>
          <w:sz w:val="20"/>
          <w:szCs w:val="20"/>
        </w:rPr>
      </w:pPr>
      <w:r>
        <w:rPr>
          <w:rFonts w:ascii="宋体" w:hAnsi="宋体" w:eastAsia="宋体" w:cs="宋体"/>
          <w:spacing w:val="8"/>
          <w:sz w:val="20"/>
          <w:szCs w:val="20"/>
        </w:rPr>
        <w:t>（6）不同投标人的投标文件制作机器码一致。</w:t>
      </w:r>
    </w:p>
    <w:p w14:paraId="6D4A545B">
      <w:pPr>
        <w:keepNext w:val="0"/>
        <w:keepLines w:val="0"/>
        <w:pageBreakBefore w:val="0"/>
        <w:kinsoku/>
        <w:wordWrap/>
        <w:overflowPunct/>
        <w:topLinePunct w:val="0"/>
        <w:bidi w:val="0"/>
        <w:spacing w:before="233" w:line="228" w:lineRule="auto"/>
        <w:ind w:left="427"/>
        <w:rPr>
          <w:rFonts w:ascii="宋体" w:hAnsi="宋体" w:eastAsia="宋体" w:cs="宋体"/>
          <w:sz w:val="20"/>
          <w:szCs w:val="20"/>
        </w:rPr>
      </w:pPr>
      <w:r>
        <w:rPr>
          <w:rFonts w:ascii="宋体" w:hAnsi="宋体" w:eastAsia="宋体" w:cs="宋体"/>
          <w:spacing w:val="8"/>
          <w:sz w:val="20"/>
          <w:szCs w:val="20"/>
        </w:rPr>
        <w:t>9.2.3 有下列情形之一的，属于以他人名</w:t>
      </w:r>
      <w:r>
        <w:rPr>
          <w:rFonts w:ascii="宋体" w:hAnsi="宋体" w:eastAsia="宋体" w:cs="宋体"/>
          <w:spacing w:val="7"/>
          <w:sz w:val="20"/>
          <w:szCs w:val="20"/>
        </w:rPr>
        <w:t>义投标：</w:t>
      </w:r>
    </w:p>
    <w:p w14:paraId="6F9E4795">
      <w:pPr>
        <w:keepNext w:val="0"/>
        <w:keepLines w:val="0"/>
        <w:pageBreakBefore w:val="0"/>
        <w:kinsoku/>
        <w:wordWrap/>
        <w:overflowPunct/>
        <w:topLinePunct w:val="0"/>
        <w:bidi w:val="0"/>
        <w:spacing w:before="227" w:line="227" w:lineRule="auto"/>
        <w:ind w:left="436"/>
        <w:rPr>
          <w:rFonts w:ascii="宋体" w:hAnsi="宋体" w:eastAsia="宋体" w:cs="宋体"/>
          <w:sz w:val="20"/>
          <w:szCs w:val="20"/>
        </w:rPr>
      </w:pPr>
      <w:r>
        <w:rPr>
          <w:rFonts w:ascii="宋体" w:hAnsi="宋体" w:eastAsia="宋体" w:cs="宋体"/>
          <w:spacing w:val="9"/>
          <w:sz w:val="20"/>
          <w:szCs w:val="20"/>
        </w:rPr>
        <w:t>（1）使用通过受让或者租借等方式获取的资格、资</w:t>
      </w:r>
      <w:r>
        <w:rPr>
          <w:rFonts w:ascii="宋体" w:hAnsi="宋体" w:eastAsia="宋体" w:cs="宋体"/>
          <w:spacing w:val="8"/>
          <w:sz w:val="20"/>
          <w:szCs w:val="20"/>
        </w:rPr>
        <w:t>质证书投标的。</w:t>
      </w:r>
    </w:p>
    <w:p w14:paraId="7513F482">
      <w:pPr>
        <w:keepNext w:val="0"/>
        <w:keepLines w:val="0"/>
        <w:pageBreakBefore w:val="0"/>
        <w:kinsoku/>
        <w:wordWrap/>
        <w:overflowPunct/>
        <w:topLinePunct w:val="0"/>
        <w:bidi w:val="0"/>
        <w:spacing w:before="229" w:line="227" w:lineRule="auto"/>
        <w:ind w:left="427"/>
        <w:rPr>
          <w:rFonts w:ascii="宋体" w:hAnsi="宋体" w:eastAsia="宋体" w:cs="宋体"/>
          <w:sz w:val="20"/>
          <w:szCs w:val="20"/>
        </w:rPr>
      </w:pPr>
      <w:r>
        <w:rPr>
          <w:rFonts w:ascii="宋体" w:hAnsi="宋体" w:eastAsia="宋体" w:cs="宋体"/>
          <w:spacing w:val="8"/>
          <w:sz w:val="20"/>
          <w:szCs w:val="20"/>
        </w:rPr>
        <w:t>9.2.4 有下列情形之一的，属于以其他方式弄虚作假的行为：</w:t>
      </w:r>
    </w:p>
    <w:p w14:paraId="50F24D2C">
      <w:pPr>
        <w:keepNext w:val="0"/>
        <w:keepLines w:val="0"/>
        <w:pageBreakBefore w:val="0"/>
        <w:kinsoku/>
        <w:wordWrap/>
        <w:overflowPunct/>
        <w:topLinePunct w:val="0"/>
        <w:bidi w:val="0"/>
        <w:spacing w:before="229" w:line="228" w:lineRule="auto"/>
        <w:ind w:left="436"/>
        <w:rPr>
          <w:rFonts w:ascii="宋体" w:hAnsi="宋体" w:eastAsia="宋体" w:cs="宋体"/>
          <w:sz w:val="20"/>
          <w:szCs w:val="20"/>
        </w:rPr>
      </w:pPr>
      <w:r>
        <w:rPr>
          <w:rFonts w:ascii="宋体" w:hAnsi="宋体" w:eastAsia="宋体" w:cs="宋体"/>
          <w:spacing w:val="7"/>
          <w:sz w:val="20"/>
          <w:szCs w:val="20"/>
        </w:rPr>
        <w:t>（1）使用伪造、变造的许可证件；</w:t>
      </w:r>
    </w:p>
    <w:p w14:paraId="33FAAB1B">
      <w:pPr>
        <w:keepNext w:val="0"/>
        <w:keepLines w:val="0"/>
        <w:pageBreakBefore w:val="0"/>
        <w:kinsoku/>
        <w:wordWrap/>
        <w:overflowPunct/>
        <w:topLinePunct w:val="0"/>
        <w:bidi w:val="0"/>
        <w:spacing w:before="229" w:line="227" w:lineRule="auto"/>
        <w:ind w:left="436"/>
        <w:rPr>
          <w:rFonts w:ascii="宋体" w:hAnsi="宋体" w:eastAsia="宋体" w:cs="宋体"/>
          <w:sz w:val="20"/>
          <w:szCs w:val="20"/>
        </w:rPr>
      </w:pPr>
      <w:r>
        <w:rPr>
          <w:rFonts w:ascii="宋体" w:hAnsi="宋体" w:eastAsia="宋体" w:cs="宋体"/>
          <w:spacing w:val="7"/>
          <w:sz w:val="20"/>
          <w:szCs w:val="20"/>
        </w:rPr>
        <w:t>（2）提供虚假的财务状况或者业绩；</w:t>
      </w:r>
    </w:p>
    <w:p w14:paraId="0456221D">
      <w:pPr>
        <w:keepNext w:val="0"/>
        <w:keepLines w:val="0"/>
        <w:pageBreakBefore w:val="0"/>
        <w:kinsoku/>
        <w:wordWrap/>
        <w:overflowPunct/>
        <w:topLinePunct w:val="0"/>
        <w:bidi w:val="0"/>
        <w:spacing w:before="229" w:line="227" w:lineRule="auto"/>
        <w:ind w:left="436"/>
        <w:rPr>
          <w:rFonts w:ascii="宋体" w:hAnsi="宋体" w:eastAsia="宋体" w:cs="宋体"/>
          <w:sz w:val="20"/>
          <w:szCs w:val="20"/>
        </w:rPr>
      </w:pPr>
      <w:r>
        <w:rPr>
          <w:rFonts w:ascii="宋体" w:hAnsi="宋体" w:eastAsia="宋体" w:cs="宋体"/>
          <w:spacing w:val="7"/>
          <w:sz w:val="20"/>
          <w:szCs w:val="20"/>
        </w:rPr>
        <w:t>（3）提供虚假的信用状况；</w:t>
      </w:r>
    </w:p>
    <w:p w14:paraId="415FCBAC">
      <w:pPr>
        <w:keepNext w:val="0"/>
        <w:keepLines w:val="0"/>
        <w:pageBreakBefore w:val="0"/>
        <w:kinsoku/>
        <w:wordWrap/>
        <w:overflowPunct/>
        <w:topLinePunct w:val="0"/>
        <w:bidi w:val="0"/>
        <w:spacing w:before="230" w:line="227" w:lineRule="auto"/>
        <w:ind w:left="436"/>
        <w:rPr>
          <w:rFonts w:ascii="宋体" w:hAnsi="宋体" w:eastAsia="宋体" w:cs="宋体"/>
          <w:sz w:val="20"/>
          <w:szCs w:val="20"/>
        </w:rPr>
      </w:pPr>
      <w:r>
        <w:rPr>
          <w:rFonts w:ascii="宋体" w:hAnsi="宋体" w:eastAsia="宋体" w:cs="宋体"/>
          <w:spacing w:val="8"/>
          <w:sz w:val="20"/>
          <w:szCs w:val="20"/>
        </w:rPr>
        <w:t>（4）提供虚假材料谋取中标、成交的，中标、成交无效；</w:t>
      </w:r>
    </w:p>
    <w:p w14:paraId="5F4CD9A8">
      <w:pPr>
        <w:keepNext w:val="0"/>
        <w:keepLines w:val="0"/>
        <w:pageBreakBefore w:val="0"/>
        <w:kinsoku/>
        <w:wordWrap/>
        <w:overflowPunct/>
        <w:topLinePunct w:val="0"/>
        <w:bidi w:val="0"/>
        <w:spacing w:before="229" w:line="227" w:lineRule="auto"/>
        <w:ind w:left="436"/>
        <w:rPr>
          <w:rFonts w:ascii="宋体" w:hAnsi="宋体" w:eastAsia="宋体" w:cs="宋体"/>
          <w:sz w:val="20"/>
          <w:szCs w:val="20"/>
        </w:rPr>
      </w:pPr>
      <w:r>
        <w:rPr>
          <w:rFonts w:ascii="宋体" w:hAnsi="宋体" w:eastAsia="宋体" w:cs="宋体"/>
          <w:spacing w:val="7"/>
          <w:sz w:val="20"/>
          <w:szCs w:val="20"/>
        </w:rPr>
        <w:t>（5）其他弄虚作假的行为。</w:t>
      </w:r>
    </w:p>
    <w:p w14:paraId="1E1F69E8">
      <w:pPr>
        <w:keepNext w:val="0"/>
        <w:keepLines w:val="0"/>
        <w:pageBreakBefore w:val="0"/>
        <w:kinsoku/>
        <w:wordWrap/>
        <w:overflowPunct/>
        <w:topLinePunct w:val="0"/>
        <w:bidi w:val="0"/>
        <w:spacing w:before="231" w:line="228" w:lineRule="auto"/>
        <w:ind w:left="427"/>
        <w:rPr>
          <w:rFonts w:ascii="宋体" w:hAnsi="宋体" w:eastAsia="宋体" w:cs="宋体"/>
          <w:sz w:val="20"/>
          <w:szCs w:val="20"/>
        </w:rPr>
      </w:pPr>
      <w:r>
        <w:rPr>
          <w:rFonts w:ascii="宋体" w:hAnsi="宋体" w:eastAsia="宋体" w:cs="宋体"/>
          <w:spacing w:val="9"/>
          <w:sz w:val="20"/>
          <w:szCs w:val="20"/>
        </w:rPr>
        <w:t>9.2.5 参与同一个标段（包）的投标人</w:t>
      </w:r>
      <w:r>
        <w:rPr>
          <w:rFonts w:ascii="宋体" w:hAnsi="宋体" w:eastAsia="宋体" w:cs="宋体"/>
          <w:spacing w:val="8"/>
          <w:sz w:val="20"/>
          <w:szCs w:val="20"/>
        </w:rPr>
        <w:t>存在下列情形之一的，其</w:t>
      </w:r>
      <w:r>
        <w:rPr>
          <w:rFonts w:ascii="宋体" w:hAnsi="宋体" w:eastAsia="宋体" w:cs="宋体"/>
          <w:b/>
          <w:bCs/>
          <w:spacing w:val="8"/>
          <w:sz w:val="20"/>
          <w:szCs w:val="20"/>
        </w:rPr>
        <w:t>投标（响应）文件无效</w:t>
      </w:r>
      <w:r>
        <w:rPr>
          <w:rFonts w:ascii="宋体" w:hAnsi="宋体" w:eastAsia="宋体" w:cs="宋体"/>
          <w:spacing w:val="8"/>
          <w:sz w:val="20"/>
          <w:szCs w:val="20"/>
        </w:rPr>
        <w:t>：</w:t>
      </w:r>
    </w:p>
    <w:p w14:paraId="6FC1E184">
      <w:pPr>
        <w:keepNext w:val="0"/>
        <w:keepLines w:val="0"/>
        <w:pageBreakBefore w:val="0"/>
        <w:kinsoku/>
        <w:wordWrap/>
        <w:overflowPunct/>
        <w:topLinePunct w:val="0"/>
        <w:bidi w:val="0"/>
        <w:spacing w:before="228" w:line="439" w:lineRule="auto"/>
        <w:ind w:left="4" w:firstLine="432"/>
        <w:rPr>
          <w:rFonts w:ascii="宋体" w:hAnsi="宋体" w:eastAsia="宋体" w:cs="宋体"/>
          <w:sz w:val="20"/>
          <w:szCs w:val="20"/>
        </w:rPr>
      </w:pPr>
      <w:r>
        <w:rPr>
          <w:rFonts w:ascii="宋体" w:hAnsi="宋体" w:eastAsia="宋体" w:cs="宋体"/>
          <w:spacing w:val="11"/>
          <w:sz w:val="20"/>
          <w:szCs w:val="20"/>
        </w:rPr>
        <w:t>（1）不同投标人的电子投标（响应）文件上传计算机的网卡</w:t>
      </w:r>
      <w:r>
        <w:rPr>
          <w:rFonts w:ascii="宋体" w:hAnsi="宋体" w:eastAsia="宋体" w:cs="宋体"/>
          <w:spacing w:val="-30"/>
          <w:sz w:val="20"/>
          <w:szCs w:val="20"/>
        </w:rPr>
        <w:t xml:space="preserve"> </w:t>
      </w:r>
      <w:r>
        <w:rPr>
          <w:rFonts w:ascii="宋体" w:hAnsi="宋体" w:eastAsia="宋体" w:cs="宋体"/>
          <w:sz w:val="20"/>
          <w:szCs w:val="20"/>
        </w:rPr>
        <w:t>MAC</w:t>
      </w:r>
      <w:r>
        <w:rPr>
          <w:rFonts w:ascii="宋体" w:hAnsi="宋体" w:eastAsia="宋体" w:cs="宋体"/>
          <w:spacing w:val="-38"/>
          <w:sz w:val="20"/>
          <w:szCs w:val="20"/>
        </w:rPr>
        <w:t xml:space="preserve"> </w:t>
      </w:r>
      <w:r>
        <w:rPr>
          <w:rFonts w:ascii="宋体" w:hAnsi="宋体" w:eastAsia="宋体" w:cs="宋体"/>
          <w:spacing w:val="11"/>
          <w:sz w:val="20"/>
          <w:szCs w:val="20"/>
        </w:rPr>
        <w:t>地址、</w:t>
      </w:r>
      <w:r>
        <w:rPr>
          <w:rFonts w:ascii="宋体" w:hAnsi="宋体" w:eastAsia="宋体" w:cs="宋体"/>
          <w:sz w:val="20"/>
          <w:szCs w:val="20"/>
        </w:rPr>
        <w:t>CPU</w:t>
      </w:r>
      <w:r>
        <w:rPr>
          <w:rFonts w:ascii="宋体" w:hAnsi="宋体" w:eastAsia="宋体" w:cs="宋体"/>
          <w:spacing w:val="-38"/>
          <w:sz w:val="20"/>
          <w:szCs w:val="20"/>
        </w:rPr>
        <w:t xml:space="preserve"> </w:t>
      </w:r>
      <w:r>
        <w:rPr>
          <w:rFonts w:ascii="宋体" w:hAnsi="宋体" w:eastAsia="宋体" w:cs="宋体"/>
          <w:spacing w:val="11"/>
          <w:sz w:val="20"/>
          <w:szCs w:val="20"/>
        </w:rPr>
        <w:t>序列号和硬盘序列</w:t>
      </w:r>
      <w:r>
        <w:rPr>
          <w:rFonts w:ascii="宋体" w:hAnsi="宋体" w:eastAsia="宋体" w:cs="宋体"/>
          <w:spacing w:val="7"/>
          <w:sz w:val="20"/>
          <w:szCs w:val="20"/>
        </w:rPr>
        <w:t>号等硬件信息相同的；</w:t>
      </w:r>
    </w:p>
    <w:p w14:paraId="673178F0">
      <w:pPr>
        <w:keepNext w:val="0"/>
        <w:keepLines w:val="0"/>
        <w:pageBreakBefore w:val="0"/>
        <w:kinsoku/>
        <w:wordWrap/>
        <w:overflowPunct/>
        <w:topLinePunct w:val="0"/>
        <w:bidi w:val="0"/>
        <w:spacing w:before="1" w:line="226" w:lineRule="auto"/>
        <w:ind w:left="436"/>
        <w:rPr>
          <w:rFonts w:ascii="宋体" w:hAnsi="宋体" w:eastAsia="宋体" w:cs="宋体"/>
          <w:sz w:val="20"/>
          <w:szCs w:val="20"/>
        </w:rPr>
      </w:pPr>
      <w:r>
        <w:rPr>
          <w:rFonts w:ascii="宋体" w:hAnsi="宋体" w:eastAsia="宋体" w:cs="宋体"/>
          <w:spacing w:val="9"/>
          <w:sz w:val="20"/>
          <w:szCs w:val="20"/>
        </w:rPr>
        <w:t>（2）不同投标人的投标（响应）文件由同一电子设备编制、打印加密或者上传；</w:t>
      </w:r>
    </w:p>
    <w:p w14:paraId="6629E886">
      <w:pPr>
        <w:keepNext w:val="0"/>
        <w:keepLines w:val="0"/>
        <w:pageBreakBefore w:val="0"/>
        <w:kinsoku/>
        <w:wordWrap/>
        <w:overflowPunct/>
        <w:topLinePunct w:val="0"/>
        <w:bidi w:val="0"/>
        <w:spacing w:before="229" w:line="439" w:lineRule="auto"/>
        <w:ind w:left="1" w:firstLine="434"/>
        <w:rPr>
          <w:rFonts w:ascii="宋体" w:hAnsi="宋体" w:eastAsia="宋体" w:cs="宋体"/>
          <w:sz w:val="20"/>
          <w:szCs w:val="20"/>
        </w:rPr>
      </w:pPr>
      <w:r>
        <w:rPr>
          <w:rFonts w:ascii="宋体" w:hAnsi="宋体" w:eastAsia="宋体" w:cs="宋体"/>
          <w:spacing w:val="10"/>
          <w:sz w:val="20"/>
          <w:szCs w:val="20"/>
        </w:rPr>
        <w:t>（3）不同投标人的投标（响应）文件由同一人送达或者分发，或者不同投</w:t>
      </w:r>
      <w:r>
        <w:rPr>
          <w:rFonts w:ascii="宋体" w:hAnsi="宋体" w:eastAsia="宋体" w:cs="宋体"/>
          <w:spacing w:val="9"/>
          <w:sz w:val="20"/>
          <w:szCs w:val="20"/>
        </w:rPr>
        <w:t>标人联系人为同一人</w:t>
      </w:r>
      <w:r>
        <w:rPr>
          <w:rFonts w:ascii="宋体" w:hAnsi="宋体" w:eastAsia="宋体" w:cs="宋体"/>
          <w:spacing w:val="8"/>
          <w:sz w:val="20"/>
          <w:szCs w:val="20"/>
        </w:rPr>
        <w:t>或不同联系人的联系电话一致的；</w:t>
      </w:r>
    </w:p>
    <w:p w14:paraId="6A5732A4">
      <w:pPr>
        <w:keepNext w:val="0"/>
        <w:keepLines w:val="0"/>
        <w:pageBreakBefore w:val="0"/>
        <w:kinsoku/>
        <w:wordWrap/>
        <w:overflowPunct/>
        <w:topLinePunct w:val="0"/>
        <w:bidi w:val="0"/>
        <w:spacing w:line="227" w:lineRule="auto"/>
        <w:ind w:left="436"/>
        <w:rPr>
          <w:rFonts w:ascii="宋体" w:hAnsi="宋体" w:eastAsia="宋体" w:cs="宋体"/>
          <w:sz w:val="20"/>
          <w:szCs w:val="20"/>
        </w:rPr>
      </w:pPr>
      <w:r>
        <w:rPr>
          <w:rFonts w:ascii="宋体" w:hAnsi="宋体" w:eastAsia="宋体" w:cs="宋体"/>
          <w:spacing w:val="9"/>
          <w:sz w:val="20"/>
          <w:szCs w:val="20"/>
        </w:rPr>
        <w:t>（4）不同投标人的投标（响应）文件的内容存在两处以上细节</w:t>
      </w:r>
      <w:r>
        <w:rPr>
          <w:rFonts w:ascii="宋体" w:hAnsi="宋体" w:eastAsia="宋体" w:cs="宋体"/>
          <w:spacing w:val="8"/>
          <w:sz w:val="20"/>
          <w:szCs w:val="20"/>
        </w:rPr>
        <w:t>错误一致；</w:t>
      </w:r>
    </w:p>
    <w:p w14:paraId="56D56967">
      <w:pPr>
        <w:keepNext w:val="0"/>
        <w:keepLines w:val="0"/>
        <w:pageBreakBefore w:val="0"/>
        <w:kinsoku/>
        <w:wordWrap/>
        <w:overflowPunct/>
        <w:topLinePunct w:val="0"/>
        <w:bidi w:val="0"/>
        <w:spacing w:before="230" w:line="442" w:lineRule="auto"/>
        <w:ind w:firstLine="436"/>
        <w:rPr>
          <w:rFonts w:ascii="宋体" w:hAnsi="宋体" w:eastAsia="宋体" w:cs="宋体"/>
          <w:sz w:val="20"/>
          <w:szCs w:val="20"/>
        </w:rPr>
      </w:pPr>
      <w:r>
        <w:rPr>
          <w:rFonts w:ascii="宋体" w:hAnsi="宋体" w:eastAsia="宋体" w:cs="宋体"/>
          <w:spacing w:val="10"/>
          <w:sz w:val="20"/>
          <w:szCs w:val="20"/>
        </w:rPr>
        <w:t>（5）不同投标人的法定代表人、委托代理人、项目经理、项目负责人等由</w:t>
      </w:r>
      <w:r>
        <w:rPr>
          <w:rFonts w:ascii="宋体" w:hAnsi="宋体" w:eastAsia="宋体" w:cs="宋体"/>
          <w:spacing w:val="9"/>
          <w:sz w:val="20"/>
          <w:szCs w:val="20"/>
        </w:rPr>
        <w:t>同一个单位缴纳社会</w:t>
      </w:r>
      <w:r>
        <w:rPr>
          <w:rFonts w:ascii="宋体" w:hAnsi="宋体" w:eastAsia="宋体" w:cs="宋体"/>
          <w:spacing w:val="7"/>
          <w:sz w:val="20"/>
          <w:szCs w:val="20"/>
        </w:rPr>
        <w:t>保险或者领取报酬的；</w:t>
      </w:r>
    </w:p>
    <w:p w14:paraId="4F452DDA">
      <w:pPr>
        <w:keepNext w:val="0"/>
        <w:keepLines w:val="0"/>
        <w:pageBreakBefore w:val="0"/>
        <w:kinsoku/>
        <w:wordWrap/>
        <w:overflowPunct/>
        <w:topLinePunct w:val="0"/>
        <w:bidi w:val="0"/>
        <w:spacing w:before="175" w:line="228" w:lineRule="auto"/>
        <w:ind w:left="438"/>
        <w:rPr>
          <w:rFonts w:ascii="宋体" w:hAnsi="宋体" w:eastAsia="宋体" w:cs="宋体"/>
          <w:sz w:val="20"/>
          <w:szCs w:val="20"/>
        </w:rPr>
      </w:pPr>
      <w:r>
        <w:rPr>
          <w:rFonts w:ascii="宋体" w:hAnsi="宋体" w:eastAsia="宋体" w:cs="宋体"/>
          <w:spacing w:val="9"/>
          <w:sz w:val="20"/>
          <w:szCs w:val="20"/>
        </w:rPr>
        <w:br w:type="page"/>
      </w:r>
      <w:r>
        <w:rPr>
          <w:rFonts w:ascii="宋体" w:hAnsi="宋体" w:eastAsia="宋体" w:cs="宋体"/>
          <w:spacing w:val="9"/>
          <w:sz w:val="20"/>
          <w:szCs w:val="20"/>
        </w:rPr>
        <w:t>（6）不同投标人投标（响应）文件中法定代表人或者负责人签字出自同一人之手；</w:t>
      </w:r>
    </w:p>
    <w:p w14:paraId="5C2B09AA">
      <w:pPr>
        <w:keepNext w:val="0"/>
        <w:keepLines w:val="0"/>
        <w:pageBreakBefore w:val="0"/>
        <w:kinsoku/>
        <w:wordWrap/>
        <w:overflowPunct/>
        <w:topLinePunct w:val="0"/>
        <w:bidi w:val="0"/>
        <w:spacing w:before="228" w:line="228" w:lineRule="auto"/>
        <w:ind w:left="438"/>
        <w:rPr>
          <w:rFonts w:ascii="宋体" w:hAnsi="宋体" w:eastAsia="宋体" w:cs="宋体"/>
          <w:sz w:val="20"/>
          <w:szCs w:val="20"/>
        </w:rPr>
      </w:pPr>
      <w:r>
        <w:rPr>
          <w:rFonts w:ascii="宋体" w:hAnsi="宋体" w:eastAsia="宋体" w:cs="宋体"/>
          <w:spacing w:val="7"/>
          <w:sz w:val="20"/>
          <w:szCs w:val="20"/>
        </w:rPr>
        <w:t>（7）其它涉嫌串通的情形。</w:t>
      </w:r>
    </w:p>
    <w:p w14:paraId="09875742">
      <w:pPr>
        <w:keepNext w:val="0"/>
        <w:keepLines w:val="0"/>
        <w:pageBreakBefore w:val="0"/>
        <w:kinsoku/>
        <w:wordWrap/>
        <w:overflowPunct/>
        <w:topLinePunct w:val="0"/>
        <w:bidi w:val="0"/>
        <w:spacing w:before="229" w:line="439" w:lineRule="auto"/>
        <w:ind w:left="1" w:right="54" w:firstLine="427"/>
        <w:jc w:val="both"/>
        <w:rPr>
          <w:rFonts w:ascii="宋体" w:hAnsi="宋体" w:eastAsia="宋体" w:cs="宋体"/>
          <w:sz w:val="20"/>
          <w:szCs w:val="20"/>
        </w:rPr>
      </w:pPr>
      <w:r>
        <w:rPr>
          <w:rFonts w:ascii="宋体" w:hAnsi="宋体" w:eastAsia="宋体" w:cs="宋体"/>
          <w:spacing w:val="7"/>
          <w:sz w:val="20"/>
          <w:szCs w:val="20"/>
        </w:rPr>
        <w:t>9.2.6 投标人提供虚假材料谋取中标的，中标无效。并处以采购金额千分之五以上千分之十以下</w:t>
      </w:r>
      <w:r>
        <w:rPr>
          <w:rFonts w:ascii="宋体" w:hAnsi="宋体" w:eastAsia="宋体" w:cs="宋体"/>
          <w:spacing w:val="8"/>
          <w:sz w:val="20"/>
          <w:szCs w:val="20"/>
        </w:rPr>
        <w:t>的罚款，列入不良行为记录名单，在一至三年内禁止参加政府采购活动，有违法所得的，并</w:t>
      </w:r>
      <w:r>
        <w:rPr>
          <w:rFonts w:ascii="宋体" w:hAnsi="宋体" w:eastAsia="宋体" w:cs="宋体"/>
          <w:spacing w:val="7"/>
          <w:sz w:val="20"/>
          <w:szCs w:val="20"/>
        </w:rPr>
        <w:t>处没收违</w:t>
      </w:r>
      <w:r>
        <w:rPr>
          <w:rFonts w:ascii="宋体" w:hAnsi="宋体" w:eastAsia="宋体" w:cs="宋体"/>
          <w:spacing w:val="8"/>
          <w:sz w:val="20"/>
          <w:szCs w:val="20"/>
        </w:rPr>
        <w:t>法所得，情节严重的，</w:t>
      </w:r>
      <w:r>
        <w:rPr>
          <w:rFonts w:ascii="宋体" w:hAnsi="宋体" w:eastAsia="宋体" w:cs="宋体"/>
          <w:spacing w:val="-41"/>
          <w:sz w:val="20"/>
          <w:szCs w:val="20"/>
        </w:rPr>
        <w:t xml:space="preserve"> </w:t>
      </w:r>
      <w:r>
        <w:rPr>
          <w:rFonts w:ascii="宋体" w:hAnsi="宋体" w:eastAsia="宋体" w:cs="宋体"/>
          <w:spacing w:val="8"/>
          <w:sz w:val="20"/>
          <w:szCs w:val="20"/>
        </w:rPr>
        <w:t>由工商行政管理机关吊销营业执照；构成犯罪的，依法追究刑事责任。</w:t>
      </w:r>
    </w:p>
    <w:p w14:paraId="3EC816BE">
      <w:pPr>
        <w:keepNext w:val="0"/>
        <w:keepLines w:val="0"/>
        <w:pageBreakBefore w:val="0"/>
        <w:kinsoku/>
        <w:wordWrap/>
        <w:overflowPunct/>
        <w:topLinePunct w:val="0"/>
        <w:bidi w:val="0"/>
        <w:spacing w:line="226" w:lineRule="auto"/>
        <w:ind w:left="1"/>
        <w:rPr>
          <w:rFonts w:ascii="宋体" w:hAnsi="宋体" w:eastAsia="宋体" w:cs="宋体"/>
          <w:sz w:val="20"/>
          <w:szCs w:val="20"/>
        </w:rPr>
      </w:pPr>
      <w:r>
        <w:rPr>
          <w:rFonts w:ascii="宋体" w:hAnsi="宋体" w:eastAsia="宋体" w:cs="宋体"/>
          <w:b/>
          <w:bCs/>
          <w:spacing w:val="6"/>
          <w:sz w:val="20"/>
          <w:szCs w:val="20"/>
        </w:rPr>
        <w:t>9.3</w:t>
      </w:r>
      <w:r>
        <w:rPr>
          <w:rFonts w:ascii="宋体" w:hAnsi="宋体" w:eastAsia="宋体" w:cs="宋体"/>
          <w:spacing w:val="6"/>
          <w:sz w:val="20"/>
          <w:szCs w:val="20"/>
        </w:rPr>
        <w:t xml:space="preserve"> </w:t>
      </w:r>
      <w:r>
        <w:rPr>
          <w:rFonts w:ascii="宋体" w:hAnsi="宋体" w:eastAsia="宋体" w:cs="宋体"/>
          <w:b/>
          <w:bCs/>
          <w:spacing w:val="6"/>
          <w:sz w:val="20"/>
          <w:szCs w:val="20"/>
        </w:rPr>
        <w:t>对评标委员会成员的纪律要求</w:t>
      </w:r>
    </w:p>
    <w:p w14:paraId="191B0FF5">
      <w:pPr>
        <w:keepNext w:val="0"/>
        <w:keepLines w:val="0"/>
        <w:pageBreakBefore w:val="0"/>
        <w:kinsoku/>
        <w:wordWrap/>
        <w:overflowPunct/>
        <w:topLinePunct w:val="0"/>
        <w:bidi w:val="0"/>
        <w:spacing w:before="228" w:line="439" w:lineRule="auto"/>
        <w:ind w:left="11" w:right="2" w:firstLine="415"/>
        <w:jc w:val="both"/>
        <w:rPr>
          <w:rFonts w:ascii="宋体" w:hAnsi="宋体" w:eastAsia="宋体" w:cs="宋体"/>
          <w:sz w:val="20"/>
          <w:szCs w:val="20"/>
        </w:rPr>
      </w:pPr>
      <w:r>
        <w:rPr>
          <w:rFonts w:ascii="宋体" w:hAnsi="宋体" w:eastAsia="宋体" w:cs="宋体"/>
          <w:spacing w:val="9"/>
          <w:sz w:val="20"/>
          <w:szCs w:val="20"/>
        </w:rPr>
        <w:t>评标委员会成员不得收受他人的财物或者其他好处，不得向他人透漏对投标文件的评审</w:t>
      </w:r>
      <w:r>
        <w:rPr>
          <w:rFonts w:ascii="宋体" w:hAnsi="宋体" w:eastAsia="宋体" w:cs="宋体"/>
          <w:spacing w:val="8"/>
          <w:sz w:val="20"/>
          <w:szCs w:val="20"/>
        </w:rPr>
        <w:t>和比较、中标候选人的推荐情况以及评标有关的其他情况。在评标活动中，评</w:t>
      </w:r>
      <w:r>
        <w:rPr>
          <w:rFonts w:ascii="宋体" w:hAnsi="宋体" w:eastAsia="宋体" w:cs="宋体"/>
          <w:spacing w:val="7"/>
          <w:sz w:val="20"/>
          <w:szCs w:val="20"/>
        </w:rPr>
        <w:t>标委员会成员不得擅离职守，影</w:t>
      </w:r>
      <w:r>
        <w:rPr>
          <w:rFonts w:ascii="宋体" w:hAnsi="宋体" w:eastAsia="宋体" w:cs="宋体"/>
          <w:spacing w:val="9"/>
          <w:sz w:val="20"/>
          <w:szCs w:val="20"/>
        </w:rPr>
        <w:t>响评标程序正常进行，不得使用第三章“评</w:t>
      </w:r>
      <w:r>
        <w:rPr>
          <w:rFonts w:ascii="宋体" w:hAnsi="宋体" w:eastAsia="宋体" w:cs="宋体"/>
          <w:spacing w:val="8"/>
          <w:sz w:val="20"/>
          <w:szCs w:val="20"/>
        </w:rPr>
        <w:t>标办法</w:t>
      </w:r>
      <w:r>
        <w:rPr>
          <w:rFonts w:ascii="宋体" w:hAnsi="宋体" w:eastAsia="宋体" w:cs="宋体"/>
          <w:spacing w:val="-70"/>
          <w:sz w:val="20"/>
          <w:szCs w:val="20"/>
        </w:rPr>
        <w:t xml:space="preserve"> </w:t>
      </w:r>
      <w:r>
        <w:rPr>
          <w:rFonts w:ascii="宋体" w:hAnsi="宋体" w:eastAsia="宋体" w:cs="宋体"/>
          <w:spacing w:val="8"/>
          <w:sz w:val="20"/>
          <w:szCs w:val="20"/>
        </w:rPr>
        <w:t>”没有规定的评审因素和标准进行评标。</w:t>
      </w:r>
    </w:p>
    <w:p w14:paraId="03014281">
      <w:pPr>
        <w:keepNext w:val="0"/>
        <w:keepLines w:val="0"/>
        <w:pageBreakBefore w:val="0"/>
        <w:kinsoku/>
        <w:wordWrap/>
        <w:overflowPunct/>
        <w:topLinePunct w:val="0"/>
        <w:bidi w:val="0"/>
        <w:spacing w:before="1" w:line="227" w:lineRule="auto"/>
        <w:ind w:left="1"/>
        <w:rPr>
          <w:rFonts w:ascii="宋体" w:hAnsi="宋体" w:eastAsia="宋体" w:cs="宋体"/>
          <w:sz w:val="20"/>
          <w:szCs w:val="20"/>
        </w:rPr>
      </w:pPr>
      <w:r>
        <w:rPr>
          <w:rFonts w:ascii="宋体" w:hAnsi="宋体" w:eastAsia="宋体" w:cs="宋体"/>
          <w:b/>
          <w:bCs/>
          <w:spacing w:val="7"/>
          <w:sz w:val="20"/>
          <w:szCs w:val="20"/>
        </w:rPr>
        <w:t>9.4</w:t>
      </w:r>
      <w:r>
        <w:rPr>
          <w:rFonts w:ascii="宋体" w:hAnsi="宋体" w:eastAsia="宋体" w:cs="宋体"/>
          <w:spacing w:val="7"/>
          <w:sz w:val="20"/>
          <w:szCs w:val="20"/>
        </w:rPr>
        <w:t xml:space="preserve"> </w:t>
      </w:r>
      <w:r>
        <w:rPr>
          <w:rFonts w:ascii="宋体" w:hAnsi="宋体" w:eastAsia="宋体" w:cs="宋体"/>
          <w:b/>
          <w:bCs/>
          <w:spacing w:val="7"/>
          <w:sz w:val="20"/>
          <w:szCs w:val="20"/>
        </w:rPr>
        <w:t>对与评标活动有关的工作人员的纪律要求</w:t>
      </w:r>
    </w:p>
    <w:p w14:paraId="486C3AD7">
      <w:pPr>
        <w:keepNext w:val="0"/>
        <w:keepLines w:val="0"/>
        <w:pageBreakBefore w:val="0"/>
        <w:kinsoku/>
        <w:wordWrap/>
        <w:overflowPunct/>
        <w:topLinePunct w:val="0"/>
        <w:bidi w:val="0"/>
        <w:spacing w:before="230" w:line="439" w:lineRule="auto"/>
        <w:ind w:left="2" w:right="54" w:firstLine="429"/>
        <w:jc w:val="both"/>
        <w:rPr>
          <w:rFonts w:ascii="宋体" w:hAnsi="宋体" w:eastAsia="宋体" w:cs="宋体"/>
          <w:sz w:val="20"/>
          <w:szCs w:val="20"/>
        </w:rPr>
      </w:pPr>
      <w:r>
        <w:rPr>
          <w:rFonts w:ascii="宋体" w:hAnsi="宋体" w:eastAsia="宋体" w:cs="宋体"/>
          <w:spacing w:val="8"/>
          <w:sz w:val="20"/>
          <w:szCs w:val="20"/>
        </w:rPr>
        <w:t>与评标活动有关的工作人员不得收受他人的财物或者</w:t>
      </w:r>
      <w:r>
        <w:rPr>
          <w:rFonts w:ascii="宋体" w:hAnsi="宋体" w:eastAsia="宋体" w:cs="宋体"/>
          <w:spacing w:val="7"/>
          <w:sz w:val="20"/>
          <w:szCs w:val="20"/>
        </w:rPr>
        <w:t>其他好处，不得向他人透漏对投标文件的评</w:t>
      </w:r>
      <w:r>
        <w:rPr>
          <w:rFonts w:ascii="宋体" w:hAnsi="宋体" w:eastAsia="宋体" w:cs="宋体"/>
          <w:spacing w:val="8"/>
          <w:sz w:val="20"/>
          <w:szCs w:val="20"/>
        </w:rPr>
        <w:t>审和比较、中标候选人的推荐情况以及评标有关的其他情况。在评标活动中，与评标</w:t>
      </w:r>
      <w:r>
        <w:rPr>
          <w:rFonts w:ascii="宋体" w:hAnsi="宋体" w:eastAsia="宋体" w:cs="宋体"/>
          <w:spacing w:val="7"/>
          <w:sz w:val="20"/>
          <w:szCs w:val="20"/>
        </w:rPr>
        <w:t>活动有关的工作</w:t>
      </w:r>
      <w:r>
        <w:rPr>
          <w:rFonts w:ascii="宋体" w:hAnsi="宋体" w:eastAsia="宋体" w:cs="宋体"/>
          <w:spacing w:val="8"/>
          <w:sz w:val="20"/>
          <w:szCs w:val="20"/>
        </w:rPr>
        <w:t>人员不得擅离职守，影响评标程序正常进行。</w:t>
      </w:r>
    </w:p>
    <w:p w14:paraId="7A62262C">
      <w:pPr>
        <w:keepNext w:val="0"/>
        <w:keepLines w:val="0"/>
        <w:pageBreakBefore w:val="0"/>
        <w:kinsoku/>
        <w:wordWrap/>
        <w:overflowPunct/>
        <w:topLinePunct w:val="0"/>
        <w:bidi w:val="0"/>
        <w:spacing w:line="227" w:lineRule="auto"/>
        <w:ind w:left="1"/>
        <w:rPr>
          <w:rFonts w:ascii="宋体" w:hAnsi="宋体" w:eastAsia="宋体" w:cs="宋体"/>
          <w:sz w:val="20"/>
          <w:szCs w:val="20"/>
        </w:rPr>
      </w:pPr>
      <w:r>
        <w:rPr>
          <w:rFonts w:ascii="宋体" w:hAnsi="宋体" w:eastAsia="宋体" w:cs="宋体"/>
          <w:b/>
          <w:bCs/>
          <w:spacing w:val="6"/>
          <w:sz w:val="20"/>
          <w:szCs w:val="20"/>
        </w:rPr>
        <w:t>9.5</w:t>
      </w:r>
      <w:r>
        <w:rPr>
          <w:rFonts w:ascii="宋体" w:hAnsi="宋体" w:eastAsia="宋体" w:cs="宋体"/>
          <w:spacing w:val="6"/>
          <w:sz w:val="20"/>
          <w:szCs w:val="20"/>
        </w:rPr>
        <w:t xml:space="preserve"> </w:t>
      </w:r>
      <w:r>
        <w:rPr>
          <w:rFonts w:ascii="宋体" w:hAnsi="宋体" w:eastAsia="宋体" w:cs="宋体"/>
          <w:b/>
          <w:bCs/>
          <w:spacing w:val="6"/>
          <w:sz w:val="20"/>
          <w:szCs w:val="20"/>
        </w:rPr>
        <w:t>质疑的提出与接收</w:t>
      </w:r>
    </w:p>
    <w:p w14:paraId="2331C492">
      <w:pPr>
        <w:keepNext w:val="0"/>
        <w:keepLines w:val="0"/>
        <w:pageBreakBefore w:val="0"/>
        <w:kinsoku/>
        <w:wordWrap/>
        <w:overflowPunct/>
        <w:topLinePunct w:val="0"/>
        <w:bidi w:val="0"/>
        <w:spacing w:before="228" w:line="439" w:lineRule="auto"/>
        <w:ind w:left="2" w:firstLine="428"/>
        <w:jc w:val="both"/>
        <w:rPr>
          <w:rFonts w:ascii="宋体" w:hAnsi="宋体" w:eastAsia="宋体" w:cs="宋体"/>
          <w:sz w:val="20"/>
          <w:szCs w:val="20"/>
        </w:rPr>
      </w:pPr>
      <w:r>
        <w:rPr>
          <w:rFonts w:ascii="宋体" w:hAnsi="宋体" w:eastAsia="宋体" w:cs="宋体"/>
          <w:spacing w:val="8"/>
          <w:sz w:val="20"/>
          <w:szCs w:val="20"/>
        </w:rPr>
        <w:t>投标人认为招标文件、招标过程和中标结果使自己的</w:t>
      </w:r>
      <w:r>
        <w:rPr>
          <w:rFonts w:ascii="宋体" w:hAnsi="宋体" w:eastAsia="宋体" w:cs="宋体"/>
          <w:spacing w:val="7"/>
          <w:sz w:val="20"/>
          <w:szCs w:val="20"/>
        </w:rPr>
        <w:t>权益受到损害的，可以根据《中华人民共和</w:t>
      </w:r>
      <w:r>
        <w:rPr>
          <w:rFonts w:ascii="宋体" w:hAnsi="宋体" w:eastAsia="宋体" w:cs="宋体"/>
          <w:spacing w:val="5"/>
          <w:sz w:val="20"/>
          <w:szCs w:val="20"/>
        </w:rPr>
        <w:t>国政府采购法》《中华人民共和国政府采购法实施</w:t>
      </w:r>
      <w:r>
        <w:rPr>
          <w:rFonts w:ascii="宋体" w:hAnsi="宋体" w:eastAsia="宋体" w:cs="宋体"/>
          <w:spacing w:val="4"/>
          <w:sz w:val="20"/>
          <w:szCs w:val="20"/>
        </w:rPr>
        <w:t>条例》和《政府采购质疑和投诉办法》的有关规定，</w:t>
      </w:r>
      <w:r>
        <w:rPr>
          <w:rFonts w:ascii="宋体" w:hAnsi="宋体" w:eastAsia="宋体" w:cs="宋体"/>
          <w:spacing w:val="9"/>
          <w:sz w:val="20"/>
          <w:szCs w:val="20"/>
        </w:rPr>
        <w:t>依法向采购人和其委托的采购代理机构提出质疑。</w:t>
      </w:r>
    </w:p>
    <w:p w14:paraId="102B0187">
      <w:pPr>
        <w:keepNext w:val="0"/>
        <w:keepLines w:val="0"/>
        <w:pageBreakBefore w:val="0"/>
        <w:kinsoku/>
        <w:wordWrap/>
        <w:overflowPunct/>
        <w:topLinePunct w:val="0"/>
        <w:bidi w:val="0"/>
        <w:spacing w:before="1" w:line="439" w:lineRule="auto"/>
        <w:ind w:right="54" w:firstLine="428"/>
        <w:jc w:val="both"/>
        <w:rPr>
          <w:rFonts w:ascii="宋体" w:hAnsi="宋体" w:eastAsia="宋体" w:cs="宋体"/>
          <w:sz w:val="20"/>
          <w:szCs w:val="20"/>
        </w:rPr>
      </w:pPr>
      <w:r>
        <w:rPr>
          <w:rFonts w:ascii="宋体" w:hAnsi="宋体" w:eastAsia="宋体" w:cs="宋体"/>
          <w:spacing w:val="3"/>
          <w:sz w:val="20"/>
          <w:szCs w:val="20"/>
        </w:rPr>
        <w:t>质疑投标人应按照财政部制定的《政府采购质疑函范本》格式（可从财政部官方</w:t>
      </w:r>
      <w:r>
        <w:rPr>
          <w:rFonts w:ascii="宋体" w:hAnsi="宋体" w:eastAsia="宋体" w:cs="宋体"/>
          <w:spacing w:val="2"/>
          <w:sz w:val="20"/>
          <w:szCs w:val="20"/>
        </w:rPr>
        <w:t>网站下载）和《政</w:t>
      </w:r>
      <w:r>
        <w:rPr>
          <w:rFonts w:ascii="宋体" w:hAnsi="宋体" w:eastAsia="宋体" w:cs="宋体"/>
          <w:spacing w:val="8"/>
          <w:sz w:val="20"/>
          <w:szCs w:val="20"/>
        </w:rPr>
        <w:t>府采购质疑和投诉办法》的要求，在法定质疑期内以书面形式一次性提出针对同一采购程序环节</w:t>
      </w:r>
      <w:r>
        <w:rPr>
          <w:rFonts w:ascii="宋体" w:hAnsi="宋体" w:eastAsia="宋体" w:cs="宋体"/>
          <w:spacing w:val="7"/>
          <w:sz w:val="20"/>
          <w:szCs w:val="20"/>
        </w:rPr>
        <w:t>的质</w:t>
      </w:r>
      <w:r>
        <w:rPr>
          <w:rFonts w:ascii="宋体" w:hAnsi="宋体" w:eastAsia="宋体" w:cs="宋体"/>
          <w:sz w:val="20"/>
          <w:szCs w:val="20"/>
        </w:rPr>
        <w:t>疑。</w:t>
      </w:r>
    </w:p>
    <w:p w14:paraId="6C6097F1">
      <w:pPr>
        <w:keepNext w:val="0"/>
        <w:keepLines w:val="0"/>
        <w:pageBreakBefore w:val="0"/>
        <w:kinsoku/>
        <w:wordWrap/>
        <w:overflowPunct/>
        <w:topLinePunct w:val="0"/>
        <w:bidi w:val="0"/>
        <w:spacing w:before="1" w:line="226" w:lineRule="auto"/>
        <w:ind w:left="428"/>
        <w:rPr>
          <w:rFonts w:ascii="宋体" w:hAnsi="宋体" w:eastAsia="宋体" w:cs="宋体"/>
          <w:sz w:val="20"/>
          <w:szCs w:val="20"/>
        </w:rPr>
      </w:pPr>
      <w:r>
        <w:rPr>
          <w:rFonts w:ascii="宋体" w:hAnsi="宋体" w:eastAsia="宋体" w:cs="宋体"/>
          <w:spacing w:val="9"/>
          <w:sz w:val="20"/>
          <w:szCs w:val="20"/>
        </w:rPr>
        <w:t>质疑函的内容及形式应符合《政府采购质疑和投诉办法》第十二条的规定。</w:t>
      </w:r>
    </w:p>
    <w:p w14:paraId="7AAA0F01">
      <w:pPr>
        <w:keepNext w:val="0"/>
        <w:keepLines w:val="0"/>
        <w:pageBreakBefore w:val="0"/>
        <w:kinsoku/>
        <w:wordWrap/>
        <w:overflowPunct/>
        <w:topLinePunct w:val="0"/>
        <w:bidi w:val="0"/>
        <w:spacing w:before="229" w:line="228" w:lineRule="auto"/>
        <w:ind w:left="427"/>
        <w:rPr>
          <w:rFonts w:ascii="宋体" w:hAnsi="宋体" w:eastAsia="宋体" w:cs="宋体"/>
          <w:sz w:val="20"/>
          <w:szCs w:val="20"/>
        </w:rPr>
      </w:pPr>
      <w:r>
        <w:rPr>
          <w:rFonts w:ascii="宋体" w:hAnsi="宋体" w:eastAsia="宋体" w:cs="宋体"/>
          <w:spacing w:val="8"/>
          <w:sz w:val="20"/>
          <w:szCs w:val="20"/>
        </w:rPr>
        <w:t>超出法定质疑期提交的质疑将被拒绝。</w:t>
      </w:r>
    </w:p>
    <w:p w14:paraId="06F793CD">
      <w:pPr>
        <w:keepNext w:val="0"/>
        <w:keepLines w:val="0"/>
        <w:pageBreakBefore w:val="0"/>
        <w:kinsoku/>
        <w:wordWrap/>
        <w:overflowPunct/>
        <w:topLinePunct w:val="0"/>
        <w:bidi w:val="0"/>
        <w:spacing w:before="228" w:line="228" w:lineRule="auto"/>
        <w:ind w:left="428"/>
        <w:rPr>
          <w:rFonts w:ascii="宋体" w:hAnsi="宋体" w:eastAsia="宋体" w:cs="宋体"/>
          <w:sz w:val="20"/>
          <w:szCs w:val="20"/>
        </w:rPr>
      </w:pPr>
      <w:r>
        <w:rPr>
          <w:rFonts w:ascii="宋体" w:hAnsi="宋体" w:eastAsia="宋体" w:cs="宋体"/>
          <w:spacing w:val="8"/>
          <w:sz w:val="20"/>
          <w:szCs w:val="20"/>
        </w:rPr>
        <w:t>质疑函接收信息</w:t>
      </w:r>
    </w:p>
    <w:p w14:paraId="67B029C7">
      <w:pPr>
        <w:keepNext w:val="0"/>
        <w:keepLines w:val="0"/>
        <w:pageBreakBefore w:val="0"/>
        <w:kinsoku/>
        <w:wordWrap/>
        <w:overflowPunct/>
        <w:topLinePunct w:val="0"/>
        <w:bidi w:val="0"/>
        <w:spacing w:before="226" w:line="227" w:lineRule="auto"/>
        <w:ind w:left="428"/>
        <w:rPr>
          <w:rFonts w:hint="eastAsia" w:ascii="宋体" w:hAnsi="宋体" w:eastAsia="宋体" w:cs="宋体"/>
          <w:sz w:val="20"/>
          <w:szCs w:val="20"/>
          <w:lang w:eastAsia="zh-CN"/>
        </w:rPr>
      </w:pPr>
      <w:r>
        <w:rPr>
          <w:rFonts w:ascii="宋体" w:hAnsi="宋体" w:eastAsia="宋体" w:cs="宋体"/>
          <w:sz w:val="20"/>
          <w:szCs w:val="20"/>
        </w:rPr>
        <w:t>名称：</w:t>
      </w:r>
      <w:r>
        <w:rPr>
          <w:rFonts w:hint="eastAsia" w:ascii="宋体" w:hAnsi="宋体" w:eastAsia="宋体" w:cs="宋体"/>
          <w:sz w:val="20"/>
          <w:szCs w:val="20"/>
          <w:lang w:eastAsia="zh-CN"/>
        </w:rPr>
        <w:t>中诚景信工程咨询有限公司</w:t>
      </w:r>
    </w:p>
    <w:p w14:paraId="27BDB2D8">
      <w:pPr>
        <w:keepNext w:val="0"/>
        <w:keepLines w:val="0"/>
        <w:pageBreakBefore w:val="0"/>
        <w:kinsoku/>
        <w:wordWrap/>
        <w:overflowPunct/>
        <w:topLinePunct w:val="0"/>
        <w:bidi w:val="0"/>
        <w:spacing w:before="226" w:line="227" w:lineRule="auto"/>
        <w:ind w:left="428"/>
        <w:rPr>
          <w:rFonts w:ascii="宋体" w:hAnsi="宋体" w:eastAsia="宋体" w:cs="宋体"/>
          <w:sz w:val="20"/>
          <w:szCs w:val="20"/>
        </w:rPr>
      </w:pPr>
      <w:r>
        <w:rPr>
          <w:rFonts w:ascii="宋体" w:hAnsi="宋体" w:eastAsia="宋体" w:cs="宋体"/>
          <w:sz w:val="20"/>
          <w:szCs w:val="20"/>
        </w:rPr>
        <w:t>地址：</w:t>
      </w:r>
      <w:r>
        <w:rPr>
          <w:rFonts w:hint="eastAsia" w:ascii="宋体" w:hAnsi="宋体" w:eastAsia="宋体" w:cs="宋体"/>
          <w:sz w:val="20"/>
          <w:szCs w:val="20"/>
        </w:rPr>
        <w:t xml:space="preserve">郑州市郑东新区康宁街与心怡路交叉口亚新广场A座8楼805室  </w:t>
      </w:r>
    </w:p>
    <w:p w14:paraId="5CA054EF">
      <w:pPr>
        <w:keepNext w:val="0"/>
        <w:keepLines w:val="0"/>
        <w:pageBreakBefore w:val="0"/>
        <w:kinsoku/>
        <w:wordWrap/>
        <w:overflowPunct/>
        <w:topLinePunct w:val="0"/>
        <w:bidi w:val="0"/>
        <w:spacing w:before="226" w:line="227" w:lineRule="auto"/>
        <w:ind w:left="428"/>
        <w:rPr>
          <w:rFonts w:hint="eastAsia" w:ascii="宋体" w:hAnsi="宋体" w:eastAsia="宋体" w:cs="宋体"/>
          <w:sz w:val="20"/>
          <w:szCs w:val="20"/>
          <w:lang w:eastAsia="zh-CN"/>
        </w:rPr>
      </w:pPr>
      <w:r>
        <w:rPr>
          <w:rFonts w:ascii="宋体" w:hAnsi="宋体" w:eastAsia="宋体" w:cs="宋体"/>
          <w:sz w:val="20"/>
          <w:szCs w:val="20"/>
        </w:rPr>
        <w:t xml:space="preserve">联系人： </w:t>
      </w:r>
      <w:r>
        <w:rPr>
          <w:rFonts w:hint="eastAsia" w:ascii="宋体" w:hAnsi="宋体" w:eastAsia="宋体" w:cs="宋体"/>
          <w:sz w:val="20"/>
          <w:szCs w:val="20"/>
          <w:lang w:eastAsia="zh-CN"/>
        </w:rPr>
        <w:t>侯一帆、楚子璇</w:t>
      </w:r>
    </w:p>
    <w:p w14:paraId="33D2042F">
      <w:pPr>
        <w:keepNext w:val="0"/>
        <w:keepLines w:val="0"/>
        <w:pageBreakBefore w:val="0"/>
        <w:kinsoku/>
        <w:wordWrap/>
        <w:overflowPunct/>
        <w:topLinePunct w:val="0"/>
        <w:bidi w:val="0"/>
        <w:spacing w:before="226" w:line="227" w:lineRule="auto"/>
        <w:ind w:left="428"/>
        <w:rPr>
          <w:rFonts w:ascii="宋体" w:hAnsi="宋体" w:eastAsia="宋体" w:cs="宋体"/>
          <w:sz w:val="20"/>
          <w:szCs w:val="20"/>
        </w:rPr>
      </w:pPr>
      <w:r>
        <w:rPr>
          <w:rFonts w:ascii="宋体" w:hAnsi="宋体" w:eastAsia="宋体" w:cs="宋体"/>
          <w:sz w:val="20"/>
          <w:szCs w:val="20"/>
        </w:rPr>
        <w:t>联系方式：</w:t>
      </w:r>
      <w:r>
        <w:rPr>
          <w:rFonts w:hint="eastAsia" w:ascii="宋体" w:hAnsi="宋体" w:eastAsia="宋体" w:cs="宋体"/>
          <w:sz w:val="20"/>
          <w:szCs w:val="20"/>
        </w:rPr>
        <w:t>0371-8752 0763</w:t>
      </w:r>
    </w:p>
    <w:p w14:paraId="0AF3017C">
      <w:pPr>
        <w:keepNext w:val="0"/>
        <w:keepLines w:val="0"/>
        <w:pageBreakBefore w:val="0"/>
        <w:kinsoku/>
        <w:wordWrap/>
        <w:overflowPunct/>
        <w:topLinePunct w:val="0"/>
        <w:bidi w:val="0"/>
        <w:spacing w:before="226" w:line="227" w:lineRule="auto"/>
        <w:ind w:left="428"/>
        <w:rPr>
          <w:rFonts w:ascii="宋体" w:hAnsi="宋体" w:eastAsia="宋体" w:cs="宋体"/>
          <w:sz w:val="20"/>
          <w:szCs w:val="20"/>
        </w:rPr>
      </w:pPr>
    </w:p>
    <w:p w14:paraId="386903F5">
      <w:pPr>
        <w:keepNext w:val="0"/>
        <w:keepLines w:val="0"/>
        <w:pageBreakBefore w:val="0"/>
        <w:kinsoku/>
        <w:wordWrap/>
        <w:overflowPunct/>
        <w:topLinePunct w:val="0"/>
        <w:bidi w:val="0"/>
        <w:spacing w:before="176" w:line="228" w:lineRule="auto"/>
        <w:rPr>
          <w:rFonts w:ascii="宋体" w:hAnsi="宋体" w:eastAsia="宋体" w:cs="宋体"/>
          <w:sz w:val="20"/>
          <w:szCs w:val="20"/>
        </w:rPr>
      </w:pPr>
      <w:r>
        <w:rPr>
          <w:rFonts w:ascii="宋体" w:hAnsi="宋体" w:eastAsia="宋体" w:cs="宋体"/>
          <w:b/>
          <w:bCs/>
          <w:spacing w:val="1"/>
          <w:sz w:val="20"/>
          <w:szCs w:val="20"/>
        </w:rPr>
        <w:br w:type="page"/>
      </w:r>
      <w:r>
        <w:rPr>
          <w:rFonts w:ascii="宋体" w:hAnsi="宋体" w:eastAsia="宋体" w:cs="宋体"/>
          <w:b/>
          <w:bCs/>
          <w:spacing w:val="1"/>
          <w:sz w:val="20"/>
          <w:szCs w:val="20"/>
        </w:rPr>
        <w:t>9.6</w:t>
      </w:r>
      <w:r>
        <w:rPr>
          <w:rFonts w:ascii="宋体" w:hAnsi="宋体" w:eastAsia="宋体" w:cs="宋体"/>
          <w:spacing w:val="17"/>
          <w:sz w:val="20"/>
          <w:szCs w:val="20"/>
        </w:rPr>
        <w:t xml:space="preserve"> </w:t>
      </w:r>
      <w:r>
        <w:rPr>
          <w:rFonts w:ascii="宋体" w:hAnsi="宋体" w:eastAsia="宋体" w:cs="宋体"/>
          <w:b/>
          <w:bCs/>
          <w:spacing w:val="1"/>
          <w:sz w:val="20"/>
          <w:szCs w:val="20"/>
        </w:rPr>
        <w:t>投诉</w:t>
      </w:r>
    </w:p>
    <w:p w14:paraId="1E52E7D5">
      <w:pPr>
        <w:keepNext w:val="0"/>
        <w:keepLines w:val="0"/>
        <w:pageBreakBefore w:val="0"/>
        <w:kinsoku/>
        <w:wordWrap/>
        <w:overflowPunct/>
        <w:topLinePunct w:val="0"/>
        <w:bidi w:val="0"/>
        <w:spacing w:before="227" w:line="440" w:lineRule="auto"/>
        <w:ind w:firstLine="427"/>
        <w:jc w:val="both"/>
        <w:rPr>
          <w:rFonts w:ascii="宋体" w:hAnsi="宋体" w:eastAsia="宋体" w:cs="宋体"/>
          <w:sz w:val="20"/>
          <w:szCs w:val="20"/>
        </w:rPr>
      </w:pPr>
      <w:r>
        <w:rPr>
          <w:rFonts w:ascii="宋体" w:hAnsi="宋体" w:eastAsia="宋体" w:cs="宋体"/>
          <w:spacing w:val="8"/>
          <w:sz w:val="20"/>
          <w:szCs w:val="20"/>
        </w:rPr>
        <w:t>质疑投标人对采购人、采购代理机构的答复不满意，或者采购</w:t>
      </w:r>
      <w:r>
        <w:rPr>
          <w:rFonts w:ascii="宋体" w:hAnsi="宋体" w:eastAsia="宋体" w:cs="宋体"/>
          <w:spacing w:val="7"/>
          <w:sz w:val="20"/>
          <w:szCs w:val="20"/>
        </w:rPr>
        <w:t>人、采购代理机构未在规定时间内</w:t>
      </w:r>
      <w:r>
        <w:rPr>
          <w:rFonts w:ascii="宋体" w:hAnsi="宋体" w:eastAsia="宋体" w:cs="宋体"/>
          <w:spacing w:val="9"/>
          <w:sz w:val="20"/>
          <w:szCs w:val="20"/>
        </w:rPr>
        <w:t>作出答复的，可以在答复期满后</w:t>
      </w:r>
      <w:r>
        <w:rPr>
          <w:rFonts w:ascii="宋体" w:hAnsi="宋体" w:eastAsia="宋体" w:cs="宋体"/>
          <w:spacing w:val="-10"/>
          <w:sz w:val="20"/>
          <w:szCs w:val="20"/>
        </w:rPr>
        <w:t xml:space="preserve"> </w:t>
      </w:r>
      <w:r>
        <w:rPr>
          <w:rFonts w:ascii="宋体" w:hAnsi="宋体" w:eastAsia="宋体" w:cs="宋体"/>
          <w:spacing w:val="9"/>
          <w:sz w:val="20"/>
          <w:szCs w:val="20"/>
        </w:rPr>
        <w:t>15</w:t>
      </w:r>
      <w:r>
        <w:rPr>
          <w:rFonts w:ascii="宋体" w:hAnsi="宋体" w:eastAsia="宋体" w:cs="宋体"/>
          <w:spacing w:val="-38"/>
          <w:sz w:val="20"/>
          <w:szCs w:val="20"/>
        </w:rPr>
        <w:t xml:space="preserve"> </w:t>
      </w:r>
      <w:r>
        <w:rPr>
          <w:rFonts w:ascii="宋体" w:hAnsi="宋体" w:eastAsia="宋体" w:cs="宋体"/>
          <w:spacing w:val="9"/>
          <w:sz w:val="20"/>
          <w:szCs w:val="20"/>
        </w:rPr>
        <w:t>个工作日内向《政府采购质疑和投诉办法》第六条规定的财政部</w:t>
      </w:r>
      <w:r>
        <w:rPr>
          <w:rFonts w:ascii="宋体" w:hAnsi="宋体" w:eastAsia="宋体" w:cs="宋体"/>
          <w:spacing w:val="6"/>
          <w:sz w:val="20"/>
          <w:szCs w:val="20"/>
        </w:rPr>
        <w:t>门提起投诉。</w:t>
      </w:r>
    </w:p>
    <w:p w14:paraId="12469B50">
      <w:pPr>
        <w:keepNext w:val="0"/>
        <w:keepLines w:val="0"/>
        <w:pageBreakBefore w:val="0"/>
        <w:kinsoku/>
        <w:wordWrap/>
        <w:overflowPunct/>
        <w:topLinePunct w:val="0"/>
        <w:bidi w:val="0"/>
        <w:spacing w:before="39" w:line="220" w:lineRule="auto"/>
        <w:ind w:left="3109"/>
        <w:outlineLvl w:val="1"/>
        <w:rPr>
          <w:rFonts w:ascii="宋体" w:hAnsi="宋体" w:eastAsia="宋体" w:cs="宋体"/>
          <w:sz w:val="28"/>
          <w:szCs w:val="28"/>
        </w:rPr>
      </w:pPr>
      <w:bookmarkStart w:id="27" w:name="bookmark26"/>
      <w:bookmarkEnd w:id="27"/>
      <w:bookmarkStart w:id="28" w:name="_Toc14166"/>
      <w:r>
        <w:rPr>
          <w:rFonts w:ascii="宋体" w:hAnsi="宋体" w:eastAsia="宋体" w:cs="宋体"/>
          <w:b/>
          <w:bCs/>
          <w:spacing w:val="-3"/>
          <w:sz w:val="28"/>
          <w:szCs w:val="28"/>
        </w:rPr>
        <w:t>10.需要补充的其他内容</w:t>
      </w:r>
      <w:bookmarkEnd w:id="28"/>
    </w:p>
    <w:p w14:paraId="749D6CAC">
      <w:pPr>
        <w:keepNext w:val="0"/>
        <w:keepLines w:val="0"/>
        <w:pageBreakBefore w:val="0"/>
        <w:kinsoku/>
        <w:wordWrap/>
        <w:overflowPunct/>
        <w:topLinePunct w:val="0"/>
        <w:bidi w:val="0"/>
        <w:spacing w:before="258" w:line="227" w:lineRule="auto"/>
        <w:ind w:left="437"/>
        <w:rPr>
          <w:rFonts w:ascii="宋体" w:hAnsi="宋体" w:eastAsia="宋体" w:cs="宋体"/>
          <w:sz w:val="20"/>
          <w:szCs w:val="20"/>
        </w:rPr>
      </w:pPr>
      <w:r>
        <w:rPr>
          <w:rFonts w:ascii="宋体" w:hAnsi="宋体" w:eastAsia="宋体" w:cs="宋体"/>
          <w:spacing w:val="8"/>
          <w:sz w:val="20"/>
          <w:szCs w:val="20"/>
        </w:rPr>
        <w:t>需要补充的其他内容：见投标人须知前附表。</w:t>
      </w:r>
    </w:p>
    <w:p w14:paraId="0D494158">
      <w:pPr>
        <w:keepNext w:val="0"/>
        <w:keepLines w:val="0"/>
        <w:pageBreakBefore w:val="0"/>
        <w:kinsoku/>
        <w:wordWrap/>
        <w:overflowPunct/>
        <w:topLinePunct w:val="0"/>
        <w:bidi w:val="0"/>
        <w:spacing w:line="227" w:lineRule="auto"/>
        <w:rPr>
          <w:rFonts w:ascii="宋体" w:hAnsi="宋体" w:eastAsia="宋体" w:cs="宋体"/>
          <w:sz w:val="20"/>
          <w:szCs w:val="20"/>
        </w:rPr>
      </w:pPr>
    </w:p>
    <w:p w14:paraId="3316540B">
      <w:pPr>
        <w:bidi w:val="0"/>
      </w:pPr>
    </w:p>
    <w:p w14:paraId="72279BBC">
      <w:pPr>
        <w:bidi w:val="0"/>
      </w:pPr>
    </w:p>
    <w:p w14:paraId="46EF2D4A">
      <w:pPr>
        <w:keepNext w:val="0"/>
        <w:keepLines w:val="0"/>
        <w:pageBreakBefore w:val="0"/>
        <w:kinsoku/>
        <w:wordWrap/>
        <w:overflowPunct/>
        <w:topLinePunct w:val="0"/>
        <w:bidi w:val="0"/>
        <w:spacing w:before="219" w:line="219" w:lineRule="auto"/>
        <w:ind w:left="25"/>
        <w:outlineLvl w:val="1"/>
        <w:rPr>
          <w:rFonts w:ascii="宋体" w:hAnsi="宋体" w:eastAsia="宋体" w:cs="宋体"/>
          <w:sz w:val="28"/>
          <w:szCs w:val="28"/>
        </w:rPr>
      </w:pPr>
      <w:bookmarkStart w:id="29" w:name="_Toc28864"/>
      <w:r>
        <w:rPr>
          <w:rFonts w:ascii="宋体" w:hAnsi="宋体" w:eastAsia="宋体" w:cs="宋体"/>
          <w:b/>
          <w:bCs/>
          <w:spacing w:val="-14"/>
          <w:sz w:val="28"/>
          <w:szCs w:val="28"/>
        </w:rPr>
        <w:t>附件：</w:t>
      </w:r>
      <w:bookmarkEnd w:id="29"/>
    </w:p>
    <w:p w14:paraId="2C66F59A">
      <w:pPr>
        <w:keepNext w:val="0"/>
        <w:keepLines w:val="0"/>
        <w:pageBreakBefore w:val="0"/>
        <w:kinsoku/>
        <w:wordWrap/>
        <w:overflowPunct/>
        <w:topLinePunct w:val="0"/>
        <w:bidi w:val="0"/>
        <w:spacing w:before="300" w:line="219" w:lineRule="auto"/>
        <w:ind w:left="2308"/>
        <w:rPr>
          <w:rFonts w:ascii="宋体" w:hAnsi="宋体" w:eastAsia="宋体" w:cs="宋体"/>
          <w:sz w:val="28"/>
          <w:szCs w:val="28"/>
        </w:rPr>
      </w:pPr>
      <w:r>
        <w:rPr>
          <w:rFonts w:ascii="宋体" w:hAnsi="宋体" w:eastAsia="宋体" w:cs="宋体"/>
          <w:b/>
          <w:bCs/>
          <w:sz w:val="28"/>
          <w:szCs w:val="28"/>
        </w:rPr>
        <w:t>河南省政府采购合同融资政策告知函</w:t>
      </w:r>
    </w:p>
    <w:p w14:paraId="30A71536">
      <w:pPr>
        <w:keepNext w:val="0"/>
        <w:keepLines w:val="0"/>
        <w:pageBreakBefore w:val="0"/>
        <w:kinsoku/>
        <w:wordWrap/>
        <w:overflowPunct/>
        <w:topLinePunct w:val="0"/>
        <w:bidi w:val="0"/>
        <w:spacing w:before="258" w:line="227" w:lineRule="auto"/>
        <w:ind w:left="430"/>
        <w:rPr>
          <w:rFonts w:ascii="宋体" w:hAnsi="宋体" w:eastAsia="宋体" w:cs="宋体"/>
          <w:sz w:val="20"/>
          <w:szCs w:val="20"/>
        </w:rPr>
      </w:pPr>
      <w:r>
        <w:rPr>
          <w:rFonts w:ascii="宋体" w:hAnsi="宋体" w:eastAsia="宋体" w:cs="宋体"/>
          <w:spacing w:val="5"/>
          <w:sz w:val="20"/>
          <w:szCs w:val="20"/>
        </w:rPr>
        <w:t>各供应商：</w:t>
      </w:r>
    </w:p>
    <w:p w14:paraId="7E4C9CC3">
      <w:pPr>
        <w:keepNext w:val="0"/>
        <w:keepLines w:val="0"/>
        <w:pageBreakBefore w:val="0"/>
        <w:kinsoku/>
        <w:wordWrap/>
        <w:overflowPunct/>
        <w:topLinePunct w:val="0"/>
        <w:bidi w:val="0"/>
        <w:spacing w:before="229" w:line="227" w:lineRule="auto"/>
        <w:ind w:left="428"/>
        <w:rPr>
          <w:rFonts w:ascii="宋体" w:hAnsi="宋体" w:eastAsia="宋体" w:cs="宋体"/>
          <w:sz w:val="20"/>
          <w:szCs w:val="20"/>
        </w:rPr>
      </w:pPr>
      <w:r>
        <w:rPr>
          <w:rFonts w:ascii="宋体" w:hAnsi="宋体" w:eastAsia="宋体" w:cs="宋体"/>
          <w:spacing w:val="8"/>
          <w:sz w:val="20"/>
          <w:szCs w:val="20"/>
        </w:rPr>
        <w:t>欢迎贵公司参与河南省政府采购活动！</w:t>
      </w:r>
    </w:p>
    <w:p w14:paraId="09D30F7F">
      <w:pPr>
        <w:keepNext w:val="0"/>
        <w:keepLines w:val="0"/>
        <w:pageBreakBefore w:val="0"/>
        <w:kinsoku/>
        <w:wordWrap/>
        <w:overflowPunct/>
        <w:topLinePunct w:val="0"/>
        <w:bidi w:val="0"/>
        <w:spacing w:before="230" w:line="439" w:lineRule="auto"/>
        <w:ind w:firstLine="427"/>
        <w:rPr>
          <w:rFonts w:ascii="宋体" w:hAnsi="宋体" w:eastAsia="宋体" w:cs="宋体"/>
          <w:sz w:val="20"/>
          <w:szCs w:val="20"/>
        </w:rPr>
      </w:pPr>
      <w:r>
        <w:rPr>
          <w:rFonts w:ascii="宋体" w:hAnsi="宋体" w:eastAsia="宋体" w:cs="宋体"/>
          <w:spacing w:val="13"/>
          <w:sz w:val="20"/>
          <w:szCs w:val="20"/>
        </w:rPr>
        <w:t>政府采购合同融资是河南省财政厅支持中小微企业发展，针对参与政府采购</w:t>
      </w:r>
      <w:r>
        <w:rPr>
          <w:rFonts w:ascii="宋体" w:hAnsi="宋体" w:eastAsia="宋体" w:cs="宋体"/>
          <w:spacing w:val="12"/>
          <w:sz w:val="20"/>
          <w:szCs w:val="20"/>
        </w:rPr>
        <w:t>活动的供应商融资</w:t>
      </w:r>
      <w:r>
        <w:rPr>
          <w:rFonts w:ascii="宋体" w:hAnsi="宋体" w:eastAsia="宋体" w:cs="宋体"/>
          <w:spacing w:val="8"/>
          <w:sz w:val="20"/>
          <w:szCs w:val="20"/>
        </w:rPr>
        <w:t>难、融资贵问题推出的一项融资政策。贵公司若成为本次政府采购项目的中标成交供应商，可持</w:t>
      </w:r>
      <w:r>
        <w:rPr>
          <w:rFonts w:ascii="宋体" w:hAnsi="宋体" w:eastAsia="宋体" w:cs="宋体"/>
          <w:spacing w:val="7"/>
          <w:sz w:val="20"/>
          <w:szCs w:val="20"/>
        </w:rPr>
        <w:t>政府</w:t>
      </w:r>
      <w:r>
        <w:rPr>
          <w:rFonts w:ascii="宋体" w:hAnsi="宋体" w:eastAsia="宋体" w:cs="宋体"/>
          <w:spacing w:val="8"/>
          <w:sz w:val="20"/>
          <w:szCs w:val="20"/>
        </w:rPr>
        <w:t>采购合同向金融机构申请贷款，无需抵押、担保，融资机构将根据《河南省政府采购合同融资工</w:t>
      </w:r>
      <w:r>
        <w:rPr>
          <w:rFonts w:ascii="宋体" w:hAnsi="宋体" w:eastAsia="宋体" w:cs="宋体"/>
          <w:spacing w:val="7"/>
          <w:sz w:val="20"/>
          <w:szCs w:val="20"/>
        </w:rPr>
        <w:t>作实</w:t>
      </w:r>
      <w:r>
        <w:rPr>
          <w:rFonts w:ascii="宋体" w:hAnsi="宋体" w:eastAsia="宋体" w:cs="宋体"/>
          <w:spacing w:val="8"/>
          <w:sz w:val="20"/>
          <w:szCs w:val="20"/>
        </w:rPr>
        <w:t>施方案》（豫财购【2017】10</w:t>
      </w:r>
      <w:r>
        <w:rPr>
          <w:rFonts w:ascii="宋体" w:hAnsi="宋体" w:eastAsia="宋体" w:cs="宋体"/>
          <w:spacing w:val="-36"/>
          <w:sz w:val="20"/>
          <w:szCs w:val="20"/>
        </w:rPr>
        <w:t xml:space="preserve"> </w:t>
      </w:r>
      <w:r>
        <w:rPr>
          <w:rFonts w:ascii="宋体" w:hAnsi="宋体" w:eastAsia="宋体" w:cs="宋体"/>
          <w:spacing w:val="8"/>
          <w:sz w:val="20"/>
          <w:szCs w:val="20"/>
        </w:rPr>
        <w:t>号</w:t>
      </w:r>
      <w:r>
        <w:rPr>
          <w:rFonts w:ascii="宋体" w:hAnsi="宋体" w:eastAsia="宋体" w:cs="宋体"/>
          <w:spacing w:val="17"/>
          <w:sz w:val="20"/>
          <w:szCs w:val="20"/>
        </w:rPr>
        <w:t>），</w:t>
      </w:r>
      <w:r>
        <w:rPr>
          <w:rFonts w:ascii="宋体" w:hAnsi="宋体" w:eastAsia="宋体" w:cs="宋体"/>
          <w:spacing w:val="8"/>
          <w:sz w:val="20"/>
          <w:szCs w:val="20"/>
        </w:rPr>
        <w:t>按照双方自愿的原则提供便捷、优惠的贷款服务。</w:t>
      </w:r>
    </w:p>
    <w:p w14:paraId="21D21628">
      <w:pPr>
        <w:keepNext w:val="0"/>
        <w:keepLines w:val="0"/>
        <w:pageBreakBefore w:val="0"/>
        <w:kinsoku/>
        <w:wordWrap/>
        <w:overflowPunct/>
        <w:topLinePunct w:val="0"/>
        <w:bidi w:val="0"/>
        <w:spacing w:line="441" w:lineRule="auto"/>
        <w:ind w:left="1" w:right="2" w:firstLine="423"/>
        <w:rPr>
          <w:rFonts w:ascii="宋体" w:hAnsi="宋体" w:eastAsia="宋体" w:cs="宋体"/>
          <w:sz w:val="20"/>
          <w:szCs w:val="20"/>
        </w:rPr>
      </w:pPr>
      <w:r>
        <w:rPr>
          <w:rFonts w:ascii="宋体" w:hAnsi="宋体" w:eastAsia="宋体" w:cs="宋体"/>
          <w:spacing w:val="7"/>
          <w:sz w:val="20"/>
          <w:szCs w:val="20"/>
        </w:rPr>
        <w:t>贷款渠道和提供贷款的金融机构，可在河南省政府采购网“河南省政府采购合同融资平台</w:t>
      </w:r>
      <w:r>
        <w:rPr>
          <w:rFonts w:ascii="宋体" w:hAnsi="宋体" w:eastAsia="宋体" w:cs="宋体"/>
          <w:spacing w:val="-70"/>
          <w:sz w:val="20"/>
          <w:szCs w:val="20"/>
        </w:rPr>
        <w:t xml:space="preserve"> </w:t>
      </w:r>
      <w:r>
        <w:rPr>
          <w:rFonts w:ascii="宋体" w:hAnsi="宋体" w:eastAsia="宋体" w:cs="宋体"/>
          <w:spacing w:val="7"/>
          <w:sz w:val="20"/>
          <w:szCs w:val="20"/>
        </w:rPr>
        <w:t>”查询</w:t>
      </w:r>
      <w:r>
        <w:rPr>
          <w:rFonts w:ascii="宋体" w:hAnsi="宋体" w:eastAsia="宋体" w:cs="宋体"/>
          <w:spacing w:val="2"/>
          <w:sz w:val="20"/>
          <w:szCs w:val="20"/>
        </w:rPr>
        <w:t>联系。</w:t>
      </w:r>
    </w:p>
    <w:p w14:paraId="3FEB7AE3">
      <w:pPr>
        <w:keepNext w:val="0"/>
        <w:keepLines w:val="0"/>
        <w:pageBreakBefore w:val="0"/>
        <w:kinsoku/>
        <w:wordWrap/>
        <w:overflowPunct/>
        <w:topLinePunct w:val="0"/>
        <w:bidi w:val="0"/>
        <w:spacing w:before="282" w:line="219" w:lineRule="auto"/>
        <w:ind w:left="38"/>
        <w:rPr>
          <w:rFonts w:ascii="宋体" w:hAnsi="宋体" w:eastAsia="宋体" w:cs="宋体"/>
          <w:sz w:val="28"/>
          <w:szCs w:val="28"/>
        </w:rPr>
      </w:pPr>
      <w:r>
        <w:rPr>
          <w:rFonts w:ascii="宋体" w:hAnsi="宋体" w:eastAsia="宋体" w:cs="宋体"/>
          <w:b/>
          <w:bCs/>
          <w:spacing w:val="-15"/>
          <w:sz w:val="28"/>
          <w:szCs w:val="28"/>
        </w:rPr>
        <w:br w:type="page"/>
      </w:r>
      <w:r>
        <w:rPr>
          <w:rFonts w:ascii="宋体" w:hAnsi="宋体" w:eastAsia="宋体" w:cs="宋体"/>
          <w:b/>
          <w:bCs/>
          <w:spacing w:val="-15"/>
          <w:sz w:val="28"/>
          <w:szCs w:val="28"/>
        </w:rPr>
        <w:t>附件</w:t>
      </w:r>
      <w:r>
        <w:rPr>
          <w:rFonts w:ascii="宋体" w:hAnsi="宋体" w:eastAsia="宋体" w:cs="宋体"/>
          <w:spacing w:val="-54"/>
          <w:sz w:val="28"/>
          <w:szCs w:val="28"/>
        </w:rPr>
        <w:t xml:space="preserve"> </w:t>
      </w:r>
      <w:r>
        <w:rPr>
          <w:rFonts w:ascii="宋体" w:hAnsi="宋体" w:eastAsia="宋体" w:cs="宋体"/>
          <w:b/>
          <w:bCs/>
          <w:spacing w:val="-15"/>
          <w:sz w:val="28"/>
          <w:szCs w:val="28"/>
        </w:rPr>
        <w:t>2：</w:t>
      </w:r>
    </w:p>
    <w:p w14:paraId="2648E170">
      <w:pPr>
        <w:keepNext w:val="0"/>
        <w:keepLines w:val="0"/>
        <w:pageBreakBefore w:val="0"/>
        <w:kinsoku/>
        <w:wordWrap/>
        <w:overflowPunct/>
        <w:topLinePunct w:val="0"/>
        <w:bidi w:val="0"/>
        <w:spacing w:before="165" w:line="225" w:lineRule="auto"/>
        <w:ind w:left="2068"/>
        <w:rPr>
          <w:rFonts w:ascii="宋体" w:hAnsi="宋体" w:eastAsia="宋体" w:cs="宋体"/>
          <w:sz w:val="35"/>
          <w:szCs w:val="35"/>
        </w:rPr>
      </w:pPr>
      <w:r>
        <w:rPr>
          <w:rFonts w:ascii="宋体" w:hAnsi="宋体" w:eastAsia="宋体" w:cs="宋体"/>
          <w:spacing w:val="11"/>
          <w:sz w:val="35"/>
          <w:szCs w:val="35"/>
        </w:rPr>
        <w:t>统计上大中小微型企业划分标准</w:t>
      </w:r>
    </w:p>
    <w:p w14:paraId="34C3463B">
      <w:pPr>
        <w:keepNext w:val="0"/>
        <w:keepLines w:val="0"/>
        <w:pageBreakBefore w:val="0"/>
        <w:kinsoku/>
        <w:wordWrap/>
        <w:overflowPunct/>
        <w:topLinePunct w:val="0"/>
        <w:bidi w:val="0"/>
        <w:spacing w:line="70" w:lineRule="exact"/>
      </w:pPr>
    </w:p>
    <w:tbl>
      <w:tblPr>
        <w:tblStyle w:val="30"/>
        <w:tblW w:w="91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56"/>
        <w:gridCol w:w="1331"/>
        <w:gridCol w:w="694"/>
        <w:gridCol w:w="1095"/>
        <w:gridCol w:w="1653"/>
        <w:gridCol w:w="1387"/>
        <w:gridCol w:w="972"/>
      </w:tblGrid>
      <w:tr w14:paraId="7A254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056" w:type="dxa"/>
            <w:shd w:val="clear" w:color="auto" w:fill="00B0F0"/>
            <w:vAlign w:val="top"/>
          </w:tcPr>
          <w:p w14:paraId="18FF47CE">
            <w:pPr>
              <w:pStyle w:val="31"/>
              <w:keepNext w:val="0"/>
              <w:keepLines w:val="0"/>
              <w:pageBreakBefore w:val="0"/>
              <w:kinsoku/>
              <w:wordWrap/>
              <w:overflowPunct/>
              <w:topLinePunct w:val="0"/>
              <w:bidi w:val="0"/>
              <w:spacing w:before="222" w:line="220" w:lineRule="auto"/>
              <w:ind w:left="668"/>
              <w:rPr>
                <w:sz w:val="18"/>
                <w:szCs w:val="18"/>
              </w:rPr>
            </w:pPr>
            <w:r>
              <w:rPr>
                <w:b/>
                <w:bCs/>
                <w:spacing w:val="-2"/>
                <w:sz w:val="18"/>
                <w:szCs w:val="18"/>
              </w:rPr>
              <w:t>行业名称</w:t>
            </w:r>
          </w:p>
        </w:tc>
        <w:tc>
          <w:tcPr>
            <w:tcW w:w="1331" w:type="dxa"/>
            <w:shd w:val="clear" w:color="auto" w:fill="00B0F0"/>
            <w:vAlign w:val="top"/>
          </w:tcPr>
          <w:p w14:paraId="46A13ED0">
            <w:pPr>
              <w:pStyle w:val="31"/>
              <w:keepNext w:val="0"/>
              <w:keepLines w:val="0"/>
              <w:pageBreakBefore w:val="0"/>
              <w:kinsoku/>
              <w:wordWrap/>
              <w:overflowPunct/>
              <w:topLinePunct w:val="0"/>
              <w:bidi w:val="0"/>
              <w:spacing w:before="222" w:line="220" w:lineRule="auto"/>
              <w:ind w:left="303"/>
              <w:rPr>
                <w:sz w:val="18"/>
                <w:szCs w:val="18"/>
              </w:rPr>
            </w:pPr>
            <w:r>
              <w:rPr>
                <w:b/>
                <w:bCs/>
                <w:spacing w:val="-2"/>
                <w:sz w:val="18"/>
                <w:szCs w:val="18"/>
              </w:rPr>
              <w:t>指标名称</w:t>
            </w:r>
          </w:p>
        </w:tc>
        <w:tc>
          <w:tcPr>
            <w:tcW w:w="694" w:type="dxa"/>
            <w:shd w:val="clear" w:color="auto" w:fill="00B0F0"/>
            <w:vAlign w:val="top"/>
          </w:tcPr>
          <w:p w14:paraId="3C474FD1">
            <w:pPr>
              <w:pStyle w:val="31"/>
              <w:keepNext w:val="0"/>
              <w:keepLines w:val="0"/>
              <w:pageBreakBefore w:val="0"/>
              <w:kinsoku/>
              <w:wordWrap/>
              <w:overflowPunct/>
              <w:topLinePunct w:val="0"/>
              <w:bidi w:val="0"/>
              <w:spacing w:before="72" w:line="276" w:lineRule="auto"/>
              <w:ind w:left="168" w:right="163" w:hanging="1"/>
              <w:rPr>
                <w:sz w:val="18"/>
                <w:szCs w:val="18"/>
              </w:rPr>
            </w:pPr>
            <w:r>
              <w:rPr>
                <w:b/>
                <w:bCs/>
                <w:spacing w:val="-4"/>
                <w:sz w:val="18"/>
                <w:szCs w:val="18"/>
              </w:rPr>
              <w:t>计量单位</w:t>
            </w:r>
          </w:p>
        </w:tc>
        <w:tc>
          <w:tcPr>
            <w:tcW w:w="1095" w:type="dxa"/>
            <w:shd w:val="clear" w:color="auto" w:fill="00B0F0"/>
            <w:vAlign w:val="top"/>
          </w:tcPr>
          <w:p w14:paraId="12598208">
            <w:pPr>
              <w:pStyle w:val="31"/>
              <w:keepNext w:val="0"/>
              <w:keepLines w:val="0"/>
              <w:pageBreakBefore w:val="0"/>
              <w:kinsoku/>
              <w:wordWrap/>
              <w:overflowPunct/>
              <w:topLinePunct w:val="0"/>
              <w:bidi w:val="0"/>
              <w:spacing w:before="222" w:line="220" w:lineRule="auto"/>
              <w:ind w:left="368"/>
              <w:rPr>
                <w:sz w:val="18"/>
                <w:szCs w:val="18"/>
              </w:rPr>
            </w:pPr>
            <w:r>
              <w:rPr>
                <w:b/>
                <w:bCs/>
                <w:spacing w:val="-5"/>
                <w:sz w:val="18"/>
                <w:szCs w:val="18"/>
              </w:rPr>
              <w:t>大型</w:t>
            </w:r>
          </w:p>
        </w:tc>
        <w:tc>
          <w:tcPr>
            <w:tcW w:w="1653" w:type="dxa"/>
            <w:shd w:val="clear" w:color="auto" w:fill="00B0F0"/>
            <w:vAlign w:val="top"/>
          </w:tcPr>
          <w:p w14:paraId="473B79D0">
            <w:pPr>
              <w:pStyle w:val="31"/>
              <w:keepNext w:val="0"/>
              <w:keepLines w:val="0"/>
              <w:pageBreakBefore w:val="0"/>
              <w:kinsoku/>
              <w:wordWrap/>
              <w:overflowPunct/>
              <w:topLinePunct w:val="0"/>
              <w:bidi w:val="0"/>
              <w:spacing w:before="222" w:line="220" w:lineRule="auto"/>
              <w:ind w:left="663"/>
              <w:rPr>
                <w:sz w:val="18"/>
                <w:szCs w:val="18"/>
              </w:rPr>
            </w:pPr>
            <w:r>
              <w:rPr>
                <w:b/>
                <w:bCs/>
                <w:spacing w:val="-12"/>
                <w:sz w:val="18"/>
                <w:szCs w:val="18"/>
              </w:rPr>
              <w:t>中型</w:t>
            </w:r>
          </w:p>
        </w:tc>
        <w:tc>
          <w:tcPr>
            <w:tcW w:w="1387" w:type="dxa"/>
            <w:shd w:val="clear" w:color="auto" w:fill="00B0F0"/>
            <w:vAlign w:val="top"/>
          </w:tcPr>
          <w:p w14:paraId="6C2C21ED">
            <w:pPr>
              <w:pStyle w:val="31"/>
              <w:keepNext w:val="0"/>
              <w:keepLines w:val="0"/>
              <w:pageBreakBefore w:val="0"/>
              <w:kinsoku/>
              <w:wordWrap/>
              <w:overflowPunct/>
              <w:topLinePunct w:val="0"/>
              <w:bidi w:val="0"/>
              <w:spacing w:before="222" w:line="221" w:lineRule="auto"/>
              <w:ind w:left="520"/>
              <w:rPr>
                <w:sz w:val="18"/>
                <w:szCs w:val="18"/>
              </w:rPr>
            </w:pPr>
            <w:r>
              <w:rPr>
                <w:b/>
                <w:bCs/>
                <w:spacing w:val="-6"/>
                <w:sz w:val="18"/>
                <w:szCs w:val="18"/>
              </w:rPr>
              <w:t>小型</w:t>
            </w:r>
          </w:p>
        </w:tc>
        <w:tc>
          <w:tcPr>
            <w:tcW w:w="972" w:type="dxa"/>
            <w:shd w:val="clear" w:color="auto" w:fill="00B0F0"/>
            <w:vAlign w:val="top"/>
          </w:tcPr>
          <w:p w14:paraId="46D7B6B0">
            <w:pPr>
              <w:pStyle w:val="31"/>
              <w:keepNext w:val="0"/>
              <w:keepLines w:val="0"/>
              <w:pageBreakBefore w:val="0"/>
              <w:kinsoku/>
              <w:wordWrap/>
              <w:overflowPunct/>
              <w:topLinePunct w:val="0"/>
              <w:bidi w:val="0"/>
              <w:spacing w:before="222" w:line="219" w:lineRule="auto"/>
              <w:ind w:left="306"/>
              <w:rPr>
                <w:sz w:val="18"/>
                <w:szCs w:val="18"/>
              </w:rPr>
            </w:pPr>
            <w:r>
              <w:rPr>
                <w:b/>
                <w:bCs/>
                <w:spacing w:val="-4"/>
                <w:sz w:val="18"/>
                <w:szCs w:val="18"/>
              </w:rPr>
              <w:t>微型</w:t>
            </w:r>
          </w:p>
        </w:tc>
      </w:tr>
      <w:tr w14:paraId="3D624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056" w:type="dxa"/>
            <w:vAlign w:val="top"/>
          </w:tcPr>
          <w:p w14:paraId="4D6BF7C2">
            <w:pPr>
              <w:pStyle w:val="31"/>
              <w:keepNext w:val="0"/>
              <w:keepLines w:val="0"/>
              <w:pageBreakBefore w:val="0"/>
              <w:kinsoku/>
              <w:wordWrap/>
              <w:overflowPunct/>
              <w:topLinePunct w:val="0"/>
              <w:bidi w:val="0"/>
              <w:spacing w:before="105" w:line="219" w:lineRule="auto"/>
              <w:ind w:left="115"/>
              <w:rPr>
                <w:sz w:val="18"/>
                <w:szCs w:val="18"/>
              </w:rPr>
            </w:pPr>
            <w:r>
              <w:rPr>
                <w:spacing w:val="1"/>
                <w:sz w:val="18"/>
                <w:szCs w:val="18"/>
              </w:rPr>
              <w:t>农、林、牧、渔业</w:t>
            </w:r>
          </w:p>
        </w:tc>
        <w:tc>
          <w:tcPr>
            <w:tcW w:w="1331" w:type="dxa"/>
            <w:vAlign w:val="top"/>
          </w:tcPr>
          <w:p w14:paraId="4C9E24FC">
            <w:pPr>
              <w:pStyle w:val="31"/>
              <w:keepNext w:val="0"/>
              <w:keepLines w:val="0"/>
              <w:pageBreakBefore w:val="0"/>
              <w:kinsoku/>
              <w:wordWrap/>
              <w:overflowPunct/>
              <w:topLinePunct w:val="0"/>
              <w:bidi w:val="0"/>
              <w:spacing w:before="105" w:line="219" w:lineRule="auto"/>
              <w:ind w:left="172"/>
              <w:rPr>
                <w:sz w:val="18"/>
                <w:szCs w:val="18"/>
              </w:rPr>
            </w:pPr>
            <w:r>
              <w:rPr>
                <w:spacing w:val="-1"/>
                <w:sz w:val="18"/>
                <w:szCs w:val="18"/>
              </w:rPr>
              <w:t>营业收入(Y)</w:t>
            </w:r>
          </w:p>
        </w:tc>
        <w:tc>
          <w:tcPr>
            <w:tcW w:w="694" w:type="dxa"/>
            <w:vAlign w:val="top"/>
          </w:tcPr>
          <w:p w14:paraId="7F820303">
            <w:pPr>
              <w:pStyle w:val="31"/>
              <w:keepNext w:val="0"/>
              <w:keepLines w:val="0"/>
              <w:pageBreakBefore w:val="0"/>
              <w:kinsoku/>
              <w:wordWrap/>
              <w:overflowPunct/>
              <w:topLinePunct w:val="0"/>
              <w:bidi w:val="0"/>
              <w:spacing w:before="105" w:line="220" w:lineRule="auto"/>
              <w:ind w:left="172"/>
              <w:rPr>
                <w:sz w:val="18"/>
                <w:szCs w:val="18"/>
              </w:rPr>
            </w:pPr>
            <w:r>
              <w:rPr>
                <w:spacing w:val="-5"/>
                <w:sz w:val="18"/>
                <w:szCs w:val="18"/>
              </w:rPr>
              <w:t>万元</w:t>
            </w:r>
          </w:p>
        </w:tc>
        <w:tc>
          <w:tcPr>
            <w:tcW w:w="1095" w:type="dxa"/>
            <w:vAlign w:val="top"/>
          </w:tcPr>
          <w:p w14:paraId="22FCD756">
            <w:pPr>
              <w:pStyle w:val="31"/>
              <w:keepNext w:val="0"/>
              <w:keepLines w:val="0"/>
              <w:pageBreakBefore w:val="0"/>
              <w:kinsoku/>
              <w:wordWrap/>
              <w:overflowPunct/>
              <w:topLinePunct w:val="0"/>
              <w:bidi w:val="0"/>
              <w:spacing w:before="105" w:line="237" w:lineRule="auto"/>
              <w:ind w:left="183"/>
              <w:rPr>
                <w:sz w:val="18"/>
                <w:szCs w:val="18"/>
              </w:rPr>
            </w:pPr>
            <w:r>
              <w:rPr>
                <w:sz w:val="18"/>
                <w:szCs w:val="18"/>
              </w:rPr>
              <w:t>Y≥20000</w:t>
            </w:r>
          </w:p>
        </w:tc>
        <w:tc>
          <w:tcPr>
            <w:tcW w:w="1653" w:type="dxa"/>
            <w:vAlign w:val="top"/>
          </w:tcPr>
          <w:p w14:paraId="12B8726A">
            <w:pPr>
              <w:pStyle w:val="31"/>
              <w:keepNext w:val="0"/>
              <w:keepLines w:val="0"/>
              <w:pageBreakBefore w:val="0"/>
              <w:kinsoku/>
              <w:wordWrap/>
              <w:overflowPunct/>
              <w:topLinePunct w:val="0"/>
              <w:bidi w:val="0"/>
              <w:spacing w:before="104" w:line="236" w:lineRule="auto"/>
              <w:ind w:left="285"/>
              <w:rPr>
                <w:sz w:val="18"/>
                <w:szCs w:val="18"/>
              </w:rPr>
            </w:pPr>
            <w:r>
              <w:rPr>
                <w:sz w:val="18"/>
                <w:szCs w:val="18"/>
              </w:rPr>
              <w:t>500≤Y＜20000</w:t>
            </w:r>
          </w:p>
        </w:tc>
        <w:tc>
          <w:tcPr>
            <w:tcW w:w="1387" w:type="dxa"/>
            <w:vAlign w:val="top"/>
          </w:tcPr>
          <w:p w14:paraId="1D1B7141">
            <w:pPr>
              <w:pStyle w:val="31"/>
              <w:keepNext w:val="0"/>
              <w:keepLines w:val="0"/>
              <w:pageBreakBefore w:val="0"/>
              <w:kinsoku/>
              <w:wordWrap/>
              <w:overflowPunct/>
              <w:topLinePunct w:val="0"/>
              <w:bidi w:val="0"/>
              <w:spacing w:before="104" w:line="236" w:lineRule="auto"/>
              <w:ind w:left="291"/>
              <w:rPr>
                <w:sz w:val="18"/>
                <w:szCs w:val="18"/>
              </w:rPr>
            </w:pPr>
            <w:r>
              <w:rPr>
                <w:sz w:val="18"/>
                <w:szCs w:val="18"/>
              </w:rPr>
              <w:t>50≤Y＜500</w:t>
            </w:r>
          </w:p>
        </w:tc>
        <w:tc>
          <w:tcPr>
            <w:tcW w:w="972" w:type="dxa"/>
            <w:vAlign w:val="top"/>
          </w:tcPr>
          <w:p w14:paraId="71AEF343">
            <w:pPr>
              <w:pStyle w:val="31"/>
              <w:keepNext w:val="0"/>
              <w:keepLines w:val="0"/>
              <w:pageBreakBefore w:val="0"/>
              <w:kinsoku/>
              <w:wordWrap/>
              <w:overflowPunct/>
              <w:topLinePunct w:val="0"/>
              <w:bidi w:val="0"/>
              <w:spacing w:before="104"/>
              <w:ind w:left="258"/>
              <w:rPr>
                <w:sz w:val="18"/>
                <w:szCs w:val="18"/>
              </w:rPr>
            </w:pPr>
            <w:r>
              <w:rPr>
                <w:sz w:val="18"/>
                <w:szCs w:val="18"/>
              </w:rPr>
              <w:t>Y＜50</w:t>
            </w:r>
          </w:p>
        </w:tc>
      </w:tr>
      <w:tr w14:paraId="2E4AB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9" w:hRule="atLeast"/>
        </w:trPr>
        <w:tc>
          <w:tcPr>
            <w:tcW w:w="2056" w:type="dxa"/>
            <w:shd w:val="clear" w:color="auto" w:fill="00B0F0"/>
            <w:vAlign w:val="top"/>
          </w:tcPr>
          <w:p w14:paraId="4425421E">
            <w:pPr>
              <w:keepNext w:val="0"/>
              <w:keepLines w:val="0"/>
              <w:pageBreakBefore w:val="0"/>
              <w:kinsoku/>
              <w:wordWrap/>
              <w:overflowPunct/>
              <w:topLinePunct w:val="0"/>
              <w:bidi w:val="0"/>
              <w:spacing w:line="242" w:lineRule="auto"/>
              <w:rPr>
                <w:rFonts w:ascii="Arial"/>
                <w:sz w:val="21"/>
              </w:rPr>
            </w:pPr>
          </w:p>
          <w:p w14:paraId="3BFB47EB">
            <w:pPr>
              <w:pStyle w:val="31"/>
              <w:keepNext w:val="0"/>
              <w:keepLines w:val="0"/>
              <w:pageBreakBefore w:val="0"/>
              <w:kinsoku/>
              <w:wordWrap/>
              <w:overflowPunct/>
              <w:topLinePunct w:val="0"/>
              <w:bidi w:val="0"/>
              <w:spacing w:before="59" w:line="232" w:lineRule="auto"/>
              <w:ind w:left="117"/>
              <w:rPr>
                <w:sz w:val="18"/>
                <w:szCs w:val="18"/>
              </w:rPr>
            </w:pPr>
            <w:r>
              <w:rPr>
                <w:spacing w:val="-3"/>
                <w:sz w:val="18"/>
                <w:szCs w:val="18"/>
              </w:rPr>
              <w:t>工业</w:t>
            </w:r>
            <w:r>
              <w:rPr>
                <w:spacing w:val="11"/>
                <w:sz w:val="18"/>
                <w:szCs w:val="18"/>
              </w:rPr>
              <w:t xml:space="preserve"> </w:t>
            </w:r>
            <w:r>
              <w:rPr>
                <w:spacing w:val="-3"/>
                <w:sz w:val="18"/>
                <w:szCs w:val="18"/>
              </w:rPr>
              <w:t>*</w:t>
            </w:r>
          </w:p>
        </w:tc>
        <w:tc>
          <w:tcPr>
            <w:tcW w:w="1331" w:type="dxa"/>
            <w:shd w:val="clear" w:color="auto" w:fill="00B0F0"/>
            <w:vAlign w:val="top"/>
          </w:tcPr>
          <w:p w14:paraId="244E69CF">
            <w:pPr>
              <w:pStyle w:val="31"/>
              <w:keepNext w:val="0"/>
              <w:keepLines w:val="0"/>
              <w:pageBreakBefore w:val="0"/>
              <w:kinsoku/>
              <w:wordWrap/>
              <w:overflowPunct/>
              <w:topLinePunct w:val="0"/>
              <w:bidi w:val="0"/>
              <w:spacing w:before="106" w:line="220" w:lineRule="auto"/>
              <w:ind w:left="168"/>
              <w:rPr>
                <w:sz w:val="18"/>
                <w:szCs w:val="18"/>
              </w:rPr>
            </w:pPr>
            <w:r>
              <w:rPr>
                <w:sz w:val="18"/>
                <w:szCs w:val="18"/>
              </w:rPr>
              <w:t>从业人员(X)</w:t>
            </w:r>
          </w:p>
          <w:p w14:paraId="0CAD8C1B">
            <w:pPr>
              <w:pStyle w:val="31"/>
              <w:keepNext w:val="0"/>
              <w:keepLines w:val="0"/>
              <w:pageBreakBefore w:val="0"/>
              <w:kinsoku/>
              <w:wordWrap/>
              <w:overflowPunct/>
              <w:topLinePunct w:val="0"/>
              <w:bidi w:val="0"/>
              <w:spacing w:before="181" w:line="219" w:lineRule="auto"/>
              <w:ind w:left="172"/>
              <w:rPr>
                <w:sz w:val="18"/>
                <w:szCs w:val="18"/>
              </w:rPr>
            </w:pPr>
            <w:r>
              <w:rPr>
                <w:spacing w:val="-1"/>
                <w:sz w:val="18"/>
                <w:szCs w:val="18"/>
              </w:rPr>
              <w:t>营业收入(Y)</w:t>
            </w:r>
          </w:p>
        </w:tc>
        <w:tc>
          <w:tcPr>
            <w:tcW w:w="694" w:type="dxa"/>
            <w:shd w:val="clear" w:color="auto" w:fill="00B0F0"/>
            <w:vAlign w:val="top"/>
          </w:tcPr>
          <w:p w14:paraId="3D11CA3A">
            <w:pPr>
              <w:pStyle w:val="31"/>
              <w:keepNext w:val="0"/>
              <w:keepLines w:val="0"/>
              <w:pageBreakBefore w:val="0"/>
              <w:kinsoku/>
              <w:wordWrap/>
              <w:overflowPunct/>
              <w:topLinePunct w:val="0"/>
              <w:bidi w:val="0"/>
              <w:spacing w:before="106" w:line="222" w:lineRule="auto"/>
              <w:ind w:left="260"/>
              <w:rPr>
                <w:sz w:val="18"/>
                <w:szCs w:val="18"/>
              </w:rPr>
            </w:pPr>
            <w:r>
              <w:rPr>
                <w:sz w:val="18"/>
                <w:szCs w:val="18"/>
              </w:rPr>
              <w:t>人</w:t>
            </w:r>
          </w:p>
          <w:p w14:paraId="228D65C5">
            <w:pPr>
              <w:pStyle w:val="31"/>
              <w:keepNext w:val="0"/>
              <w:keepLines w:val="0"/>
              <w:pageBreakBefore w:val="0"/>
              <w:kinsoku/>
              <w:wordWrap/>
              <w:overflowPunct/>
              <w:topLinePunct w:val="0"/>
              <w:bidi w:val="0"/>
              <w:spacing w:before="179" w:line="220" w:lineRule="auto"/>
              <w:ind w:left="172"/>
              <w:rPr>
                <w:sz w:val="18"/>
                <w:szCs w:val="18"/>
              </w:rPr>
            </w:pPr>
            <w:r>
              <w:rPr>
                <w:spacing w:val="-5"/>
                <w:sz w:val="18"/>
                <w:szCs w:val="18"/>
              </w:rPr>
              <w:t>万元</w:t>
            </w:r>
          </w:p>
        </w:tc>
        <w:tc>
          <w:tcPr>
            <w:tcW w:w="1095" w:type="dxa"/>
            <w:shd w:val="clear" w:color="auto" w:fill="00B0F0"/>
            <w:vAlign w:val="top"/>
          </w:tcPr>
          <w:p w14:paraId="05A0C57C">
            <w:pPr>
              <w:pStyle w:val="31"/>
              <w:keepNext w:val="0"/>
              <w:keepLines w:val="0"/>
              <w:pageBreakBefore w:val="0"/>
              <w:kinsoku/>
              <w:wordWrap/>
              <w:overflowPunct/>
              <w:topLinePunct w:val="0"/>
              <w:bidi w:val="0"/>
              <w:spacing w:before="106" w:line="237" w:lineRule="auto"/>
              <w:ind w:left="230"/>
              <w:rPr>
                <w:sz w:val="18"/>
                <w:szCs w:val="18"/>
              </w:rPr>
            </w:pPr>
            <w:r>
              <w:rPr>
                <w:spacing w:val="-1"/>
                <w:sz w:val="18"/>
                <w:szCs w:val="18"/>
              </w:rPr>
              <w:t>X≥1000</w:t>
            </w:r>
          </w:p>
          <w:p w14:paraId="1F10682D">
            <w:pPr>
              <w:pStyle w:val="31"/>
              <w:keepNext w:val="0"/>
              <w:keepLines w:val="0"/>
              <w:pageBreakBefore w:val="0"/>
              <w:kinsoku/>
              <w:wordWrap/>
              <w:overflowPunct/>
              <w:topLinePunct w:val="0"/>
              <w:bidi w:val="0"/>
              <w:spacing w:before="164" w:line="237" w:lineRule="auto"/>
              <w:ind w:left="183"/>
              <w:rPr>
                <w:sz w:val="18"/>
                <w:szCs w:val="18"/>
              </w:rPr>
            </w:pPr>
            <w:r>
              <w:rPr>
                <w:sz w:val="18"/>
                <w:szCs w:val="18"/>
              </w:rPr>
              <w:t>Y≥40000</w:t>
            </w:r>
          </w:p>
        </w:tc>
        <w:tc>
          <w:tcPr>
            <w:tcW w:w="1653" w:type="dxa"/>
            <w:shd w:val="clear" w:color="auto" w:fill="00B0F0"/>
            <w:vAlign w:val="top"/>
          </w:tcPr>
          <w:p w14:paraId="27DFE786">
            <w:pPr>
              <w:pStyle w:val="31"/>
              <w:keepNext w:val="0"/>
              <w:keepLines w:val="0"/>
              <w:pageBreakBefore w:val="0"/>
              <w:kinsoku/>
              <w:wordWrap/>
              <w:overflowPunct/>
              <w:topLinePunct w:val="0"/>
              <w:bidi w:val="0"/>
              <w:spacing w:before="106" w:line="345" w:lineRule="auto"/>
              <w:ind w:left="192" w:right="188" w:firstLine="95"/>
              <w:rPr>
                <w:sz w:val="18"/>
                <w:szCs w:val="18"/>
              </w:rPr>
            </w:pPr>
            <w:r>
              <w:rPr>
                <w:sz w:val="18"/>
                <w:szCs w:val="18"/>
              </w:rPr>
              <w:t>300≤X＜1000 2000≤Y＜40000</w:t>
            </w:r>
          </w:p>
        </w:tc>
        <w:tc>
          <w:tcPr>
            <w:tcW w:w="1387" w:type="dxa"/>
            <w:shd w:val="clear" w:color="auto" w:fill="00B0F0"/>
            <w:vAlign w:val="top"/>
          </w:tcPr>
          <w:p w14:paraId="59179AE3">
            <w:pPr>
              <w:pStyle w:val="31"/>
              <w:keepNext w:val="0"/>
              <w:keepLines w:val="0"/>
              <w:pageBreakBefore w:val="0"/>
              <w:kinsoku/>
              <w:wordWrap/>
              <w:overflowPunct/>
              <w:topLinePunct w:val="0"/>
              <w:bidi w:val="0"/>
              <w:spacing w:before="106" w:line="236" w:lineRule="auto"/>
              <w:ind w:left="289"/>
              <w:rPr>
                <w:sz w:val="18"/>
                <w:szCs w:val="18"/>
              </w:rPr>
            </w:pPr>
            <w:r>
              <w:rPr>
                <w:sz w:val="18"/>
                <w:szCs w:val="18"/>
              </w:rPr>
              <w:t>20≤X＜300</w:t>
            </w:r>
          </w:p>
          <w:p w14:paraId="188035D7">
            <w:pPr>
              <w:pStyle w:val="31"/>
              <w:keepNext w:val="0"/>
              <w:keepLines w:val="0"/>
              <w:pageBreakBefore w:val="0"/>
              <w:kinsoku/>
              <w:wordWrap/>
              <w:overflowPunct/>
              <w:topLinePunct w:val="0"/>
              <w:bidi w:val="0"/>
              <w:spacing w:before="129" w:line="236" w:lineRule="auto"/>
              <w:ind w:left="382"/>
              <w:rPr>
                <w:sz w:val="18"/>
                <w:szCs w:val="18"/>
              </w:rPr>
            </w:pPr>
            <w:r>
              <w:rPr>
                <w:spacing w:val="10"/>
                <w:sz w:val="18"/>
                <w:szCs w:val="18"/>
              </w:rPr>
              <w:t>300≤Y&lt;</w:t>
            </w:r>
          </w:p>
        </w:tc>
        <w:tc>
          <w:tcPr>
            <w:tcW w:w="972" w:type="dxa"/>
            <w:shd w:val="clear" w:color="auto" w:fill="00B0F0"/>
            <w:vAlign w:val="top"/>
          </w:tcPr>
          <w:p w14:paraId="051D7871">
            <w:pPr>
              <w:pStyle w:val="31"/>
              <w:keepNext w:val="0"/>
              <w:keepLines w:val="0"/>
              <w:pageBreakBefore w:val="0"/>
              <w:kinsoku/>
              <w:wordWrap/>
              <w:overflowPunct/>
              <w:topLinePunct w:val="0"/>
              <w:bidi w:val="0"/>
              <w:spacing w:before="105"/>
              <w:ind w:left="259"/>
              <w:rPr>
                <w:sz w:val="18"/>
                <w:szCs w:val="18"/>
              </w:rPr>
            </w:pPr>
            <w:r>
              <w:rPr>
                <w:spacing w:val="-1"/>
                <w:sz w:val="18"/>
                <w:szCs w:val="18"/>
              </w:rPr>
              <w:t>X＜20</w:t>
            </w:r>
          </w:p>
          <w:p w14:paraId="249081E3">
            <w:pPr>
              <w:pStyle w:val="31"/>
              <w:keepNext w:val="0"/>
              <w:keepLines w:val="0"/>
              <w:pageBreakBefore w:val="0"/>
              <w:kinsoku/>
              <w:wordWrap/>
              <w:overflowPunct/>
              <w:topLinePunct w:val="0"/>
              <w:bidi w:val="0"/>
              <w:spacing w:before="162"/>
              <w:ind w:left="212"/>
              <w:rPr>
                <w:sz w:val="18"/>
                <w:szCs w:val="18"/>
              </w:rPr>
            </w:pPr>
            <w:r>
              <w:rPr>
                <w:sz w:val="18"/>
                <w:szCs w:val="18"/>
              </w:rPr>
              <w:t>Y＜300</w:t>
            </w:r>
          </w:p>
        </w:tc>
      </w:tr>
      <w:tr w14:paraId="2AF3D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056" w:type="dxa"/>
            <w:vAlign w:val="top"/>
          </w:tcPr>
          <w:p w14:paraId="4E44F251">
            <w:pPr>
              <w:keepNext w:val="0"/>
              <w:keepLines w:val="0"/>
              <w:pageBreakBefore w:val="0"/>
              <w:kinsoku/>
              <w:wordWrap/>
              <w:overflowPunct/>
              <w:topLinePunct w:val="0"/>
              <w:bidi w:val="0"/>
              <w:spacing w:line="243" w:lineRule="auto"/>
              <w:rPr>
                <w:rFonts w:ascii="Arial"/>
                <w:sz w:val="21"/>
              </w:rPr>
            </w:pPr>
          </w:p>
          <w:p w14:paraId="3F0EA332">
            <w:pPr>
              <w:pStyle w:val="31"/>
              <w:keepNext w:val="0"/>
              <w:keepLines w:val="0"/>
              <w:pageBreakBefore w:val="0"/>
              <w:kinsoku/>
              <w:wordWrap/>
              <w:overflowPunct/>
              <w:topLinePunct w:val="0"/>
              <w:bidi w:val="0"/>
              <w:spacing w:before="59" w:line="220" w:lineRule="auto"/>
              <w:ind w:left="117"/>
              <w:rPr>
                <w:sz w:val="18"/>
                <w:szCs w:val="18"/>
              </w:rPr>
            </w:pPr>
            <w:r>
              <w:rPr>
                <w:spacing w:val="-2"/>
                <w:sz w:val="18"/>
                <w:szCs w:val="18"/>
              </w:rPr>
              <w:t>建筑业</w:t>
            </w:r>
          </w:p>
        </w:tc>
        <w:tc>
          <w:tcPr>
            <w:tcW w:w="1331" w:type="dxa"/>
            <w:vAlign w:val="top"/>
          </w:tcPr>
          <w:p w14:paraId="28E3D924">
            <w:pPr>
              <w:pStyle w:val="31"/>
              <w:keepNext w:val="0"/>
              <w:keepLines w:val="0"/>
              <w:pageBreakBefore w:val="0"/>
              <w:kinsoku/>
              <w:wordWrap/>
              <w:overflowPunct/>
              <w:topLinePunct w:val="0"/>
              <w:bidi w:val="0"/>
              <w:spacing w:before="104" w:line="219" w:lineRule="auto"/>
              <w:ind w:left="172"/>
              <w:rPr>
                <w:sz w:val="18"/>
                <w:szCs w:val="18"/>
              </w:rPr>
            </w:pPr>
            <w:r>
              <w:rPr>
                <w:spacing w:val="-1"/>
                <w:sz w:val="18"/>
                <w:szCs w:val="18"/>
              </w:rPr>
              <w:t>营业收入(Y)</w:t>
            </w:r>
          </w:p>
          <w:p w14:paraId="35393016">
            <w:pPr>
              <w:pStyle w:val="31"/>
              <w:keepNext w:val="0"/>
              <w:keepLines w:val="0"/>
              <w:pageBreakBefore w:val="0"/>
              <w:kinsoku/>
              <w:wordWrap/>
              <w:overflowPunct/>
              <w:topLinePunct w:val="0"/>
              <w:bidi w:val="0"/>
              <w:spacing w:before="184" w:line="219" w:lineRule="auto"/>
              <w:ind w:left="174"/>
              <w:rPr>
                <w:sz w:val="18"/>
                <w:szCs w:val="18"/>
              </w:rPr>
            </w:pPr>
            <w:r>
              <w:rPr>
                <w:spacing w:val="-1"/>
                <w:sz w:val="18"/>
                <w:szCs w:val="18"/>
              </w:rPr>
              <w:t>资产总额(Z)</w:t>
            </w:r>
          </w:p>
        </w:tc>
        <w:tc>
          <w:tcPr>
            <w:tcW w:w="694" w:type="dxa"/>
            <w:vAlign w:val="top"/>
          </w:tcPr>
          <w:p w14:paraId="21377E43">
            <w:pPr>
              <w:pStyle w:val="31"/>
              <w:keepNext w:val="0"/>
              <w:keepLines w:val="0"/>
              <w:pageBreakBefore w:val="0"/>
              <w:kinsoku/>
              <w:wordWrap/>
              <w:overflowPunct/>
              <w:topLinePunct w:val="0"/>
              <w:bidi w:val="0"/>
              <w:spacing w:before="104" w:line="220" w:lineRule="auto"/>
              <w:ind w:left="172"/>
              <w:rPr>
                <w:sz w:val="18"/>
                <w:szCs w:val="18"/>
              </w:rPr>
            </w:pPr>
            <w:r>
              <w:rPr>
                <w:spacing w:val="-5"/>
                <w:sz w:val="18"/>
                <w:szCs w:val="18"/>
              </w:rPr>
              <w:t>万元</w:t>
            </w:r>
          </w:p>
          <w:p w14:paraId="0FB9FECC">
            <w:pPr>
              <w:pStyle w:val="31"/>
              <w:keepNext w:val="0"/>
              <w:keepLines w:val="0"/>
              <w:pageBreakBefore w:val="0"/>
              <w:kinsoku/>
              <w:wordWrap/>
              <w:overflowPunct/>
              <w:topLinePunct w:val="0"/>
              <w:bidi w:val="0"/>
              <w:spacing w:before="183" w:line="220" w:lineRule="auto"/>
              <w:ind w:left="172"/>
              <w:rPr>
                <w:sz w:val="18"/>
                <w:szCs w:val="18"/>
              </w:rPr>
            </w:pPr>
            <w:r>
              <w:rPr>
                <w:spacing w:val="-5"/>
                <w:sz w:val="18"/>
                <w:szCs w:val="18"/>
              </w:rPr>
              <w:t>万元</w:t>
            </w:r>
          </w:p>
        </w:tc>
        <w:tc>
          <w:tcPr>
            <w:tcW w:w="1095" w:type="dxa"/>
            <w:vAlign w:val="top"/>
          </w:tcPr>
          <w:p w14:paraId="12006AE4">
            <w:pPr>
              <w:pStyle w:val="31"/>
              <w:keepNext w:val="0"/>
              <w:keepLines w:val="0"/>
              <w:pageBreakBefore w:val="0"/>
              <w:kinsoku/>
              <w:wordWrap/>
              <w:overflowPunct/>
              <w:topLinePunct w:val="0"/>
              <w:bidi w:val="0"/>
              <w:spacing w:before="104" w:line="237" w:lineRule="auto"/>
              <w:ind w:left="183"/>
              <w:rPr>
                <w:sz w:val="18"/>
                <w:szCs w:val="18"/>
              </w:rPr>
            </w:pPr>
            <w:r>
              <w:rPr>
                <w:sz w:val="18"/>
                <w:szCs w:val="18"/>
              </w:rPr>
              <w:t>Y≥80000</w:t>
            </w:r>
          </w:p>
          <w:p w14:paraId="3825D990">
            <w:pPr>
              <w:pStyle w:val="31"/>
              <w:keepNext w:val="0"/>
              <w:keepLines w:val="0"/>
              <w:pageBreakBefore w:val="0"/>
              <w:kinsoku/>
              <w:wordWrap/>
              <w:overflowPunct/>
              <w:topLinePunct w:val="0"/>
              <w:bidi w:val="0"/>
              <w:spacing w:before="167" w:line="237" w:lineRule="auto"/>
              <w:ind w:left="185"/>
              <w:rPr>
                <w:sz w:val="18"/>
                <w:szCs w:val="18"/>
              </w:rPr>
            </w:pPr>
            <w:r>
              <w:rPr>
                <w:spacing w:val="-1"/>
                <w:sz w:val="18"/>
                <w:szCs w:val="18"/>
              </w:rPr>
              <w:t>Z≥80000</w:t>
            </w:r>
          </w:p>
        </w:tc>
        <w:tc>
          <w:tcPr>
            <w:tcW w:w="1653" w:type="dxa"/>
            <w:vAlign w:val="top"/>
          </w:tcPr>
          <w:p w14:paraId="4EA8979A">
            <w:pPr>
              <w:pStyle w:val="31"/>
              <w:keepNext w:val="0"/>
              <w:keepLines w:val="0"/>
              <w:pageBreakBefore w:val="0"/>
              <w:kinsoku/>
              <w:wordWrap/>
              <w:overflowPunct/>
              <w:topLinePunct w:val="0"/>
              <w:bidi w:val="0"/>
              <w:spacing w:before="104" w:line="236" w:lineRule="auto"/>
              <w:ind w:left="192"/>
              <w:rPr>
                <w:sz w:val="18"/>
                <w:szCs w:val="18"/>
              </w:rPr>
            </w:pPr>
            <w:r>
              <w:rPr>
                <w:sz w:val="18"/>
                <w:szCs w:val="18"/>
              </w:rPr>
              <w:t>6000≤Y＜80000</w:t>
            </w:r>
          </w:p>
          <w:p w14:paraId="53E39FF0">
            <w:pPr>
              <w:pStyle w:val="31"/>
              <w:keepNext w:val="0"/>
              <w:keepLines w:val="0"/>
              <w:pageBreakBefore w:val="0"/>
              <w:kinsoku/>
              <w:wordWrap/>
              <w:overflowPunct/>
              <w:topLinePunct w:val="0"/>
              <w:bidi w:val="0"/>
              <w:spacing w:before="168" w:line="236" w:lineRule="auto"/>
              <w:ind w:left="194"/>
              <w:rPr>
                <w:sz w:val="18"/>
                <w:szCs w:val="18"/>
              </w:rPr>
            </w:pPr>
            <w:r>
              <w:rPr>
                <w:sz w:val="18"/>
                <w:szCs w:val="18"/>
              </w:rPr>
              <w:t>5000≤Z＜80000</w:t>
            </w:r>
          </w:p>
        </w:tc>
        <w:tc>
          <w:tcPr>
            <w:tcW w:w="1387" w:type="dxa"/>
            <w:vAlign w:val="top"/>
          </w:tcPr>
          <w:p w14:paraId="5A2EF26A">
            <w:pPr>
              <w:pStyle w:val="31"/>
              <w:keepNext w:val="0"/>
              <w:keepLines w:val="0"/>
              <w:pageBreakBefore w:val="0"/>
              <w:kinsoku/>
              <w:wordWrap/>
              <w:overflowPunct/>
              <w:topLinePunct w:val="0"/>
              <w:bidi w:val="0"/>
              <w:spacing w:before="70" w:line="236" w:lineRule="auto"/>
              <w:ind w:left="382"/>
              <w:rPr>
                <w:sz w:val="18"/>
                <w:szCs w:val="18"/>
              </w:rPr>
            </w:pPr>
            <w:r>
              <w:rPr>
                <w:spacing w:val="10"/>
                <w:sz w:val="18"/>
                <w:szCs w:val="18"/>
              </w:rPr>
              <w:t>300≤Y&lt;</w:t>
            </w:r>
          </w:p>
          <w:p w14:paraId="7C385411">
            <w:pPr>
              <w:pStyle w:val="31"/>
              <w:keepNext w:val="0"/>
              <w:keepLines w:val="0"/>
              <w:pageBreakBefore w:val="0"/>
              <w:kinsoku/>
              <w:wordWrap/>
              <w:overflowPunct/>
              <w:topLinePunct w:val="0"/>
              <w:bidi w:val="0"/>
              <w:spacing w:before="165" w:line="236" w:lineRule="auto"/>
              <w:ind w:left="382"/>
              <w:rPr>
                <w:sz w:val="18"/>
                <w:szCs w:val="18"/>
              </w:rPr>
            </w:pPr>
            <w:r>
              <w:rPr>
                <w:spacing w:val="10"/>
                <w:sz w:val="18"/>
                <w:szCs w:val="18"/>
              </w:rPr>
              <w:t>300≤Z&lt;</w:t>
            </w:r>
          </w:p>
        </w:tc>
        <w:tc>
          <w:tcPr>
            <w:tcW w:w="972" w:type="dxa"/>
            <w:vAlign w:val="top"/>
          </w:tcPr>
          <w:p w14:paraId="4EEFE00F">
            <w:pPr>
              <w:pStyle w:val="31"/>
              <w:keepNext w:val="0"/>
              <w:keepLines w:val="0"/>
              <w:pageBreakBefore w:val="0"/>
              <w:kinsoku/>
              <w:wordWrap/>
              <w:overflowPunct/>
              <w:topLinePunct w:val="0"/>
              <w:bidi w:val="0"/>
              <w:spacing w:before="103"/>
              <w:ind w:left="212"/>
              <w:rPr>
                <w:sz w:val="18"/>
                <w:szCs w:val="18"/>
              </w:rPr>
            </w:pPr>
            <w:r>
              <w:rPr>
                <w:sz w:val="18"/>
                <w:szCs w:val="18"/>
              </w:rPr>
              <w:t>Y＜300</w:t>
            </w:r>
          </w:p>
          <w:p w14:paraId="21C0CDA2">
            <w:pPr>
              <w:pStyle w:val="31"/>
              <w:keepNext w:val="0"/>
              <w:keepLines w:val="0"/>
              <w:pageBreakBefore w:val="0"/>
              <w:kinsoku/>
              <w:wordWrap/>
              <w:overflowPunct/>
              <w:topLinePunct w:val="0"/>
              <w:bidi w:val="0"/>
              <w:spacing w:before="164"/>
              <w:ind w:left="214"/>
              <w:rPr>
                <w:sz w:val="18"/>
                <w:szCs w:val="18"/>
              </w:rPr>
            </w:pPr>
            <w:r>
              <w:rPr>
                <w:spacing w:val="-1"/>
                <w:sz w:val="18"/>
                <w:szCs w:val="18"/>
              </w:rPr>
              <w:t>Z＜300</w:t>
            </w:r>
          </w:p>
        </w:tc>
      </w:tr>
      <w:tr w14:paraId="277B3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056" w:type="dxa"/>
            <w:shd w:val="clear" w:color="auto" w:fill="00B0F0"/>
            <w:vAlign w:val="top"/>
          </w:tcPr>
          <w:p w14:paraId="7286C931">
            <w:pPr>
              <w:keepNext w:val="0"/>
              <w:keepLines w:val="0"/>
              <w:pageBreakBefore w:val="0"/>
              <w:kinsoku/>
              <w:wordWrap/>
              <w:overflowPunct/>
              <w:topLinePunct w:val="0"/>
              <w:bidi w:val="0"/>
              <w:spacing w:line="245" w:lineRule="auto"/>
              <w:rPr>
                <w:rFonts w:ascii="Arial"/>
                <w:sz w:val="21"/>
              </w:rPr>
            </w:pPr>
          </w:p>
          <w:p w14:paraId="437AB53E">
            <w:pPr>
              <w:pStyle w:val="31"/>
              <w:keepNext w:val="0"/>
              <w:keepLines w:val="0"/>
              <w:pageBreakBefore w:val="0"/>
              <w:kinsoku/>
              <w:wordWrap/>
              <w:overflowPunct/>
              <w:topLinePunct w:val="0"/>
              <w:bidi w:val="0"/>
              <w:spacing w:before="58" w:line="220" w:lineRule="auto"/>
              <w:ind w:left="114"/>
              <w:rPr>
                <w:sz w:val="18"/>
                <w:szCs w:val="18"/>
              </w:rPr>
            </w:pPr>
            <w:r>
              <w:rPr>
                <w:spacing w:val="-1"/>
                <w:sz w:val="18"/>
                <w:szCs w:val="18"/>
              </w:rPr>
              <w:t>批发业</w:t>
            </w:r>
          </w:p>
        </w:tc>
        <w:tc>
          <w:tcPr>
            <w:tcW w:w="1331" w:type="dxa"/>
            <w:shd w:val="clear" w:color="auto" w:fill="00B0F0"/>
            <w:vAlign w:val="top"/>
          </w:tcPr>
          <w:p w14:paraId="5806E0E3">
            <w:pPr>
              <w:pStyle w:val="31"/>
              <w:keepNext w:val="0"/>
              <w:keepLines w:val="0"/>
              <w:pageBreakBefore w:val="0"/>
              <w:kinsoku/>
              <w:wordWrap/>
              <w:overflowPunct/>
              <w:topLinePunct w:val="0"/>
              <w:bidi w:val="0"/>
              <w:spacing w:before="105" w:line="220" w:lineRule="auto"/>
              <w:ind w:left="168"/>
              <w:rPr>
                <w:sz w:val="18"/>
                <w:szCs w:val="18"/>
              </w:rPr>
            </w:pPr>
            <w:r>
              <w:rPr>
                <w:sz w:val="18"/>
                <w:szCs w:val="18"/>
              </w:rPr>
              <w:t>从业人员(X)</w:t>
            </w:r>
          </w:p>
          <w:p w14:paraId="5684E941">
            <w:pPr>
              <w:pStyle w:val="31"/>
              <w:keepNext w:val="0"/>
              <w:keepLines w:val="0"/>
              <w:pageBreakBefore w:val="0"/>
              <w:kinsoku/>
              <w:wordWrap/>
              <w:overflowPunct/>
              <w:topLinePunct w:val="0"/>
              <w:bidi w:val="0"/>
              <w:spacing w:before="184" w:line="219" w:lineRule="auto"/>
              <w:ind w:left="172"/>
              <w:rPr>
                <w:sz w:val="18"/>
                <w:szCs w:val="18"/>
              </w:rPr>
            </w:pPr>
            <w:r>
              <w:rPr>
                <w:spacing w:val="-1"/>
                <w:sz w:val="18"/>
                <w:szCs w:val="18"/>
              </w:rPr>
              <w:t>营业收入(Y)</w:t>
            </w:r>
          </w:p>
        </w:tc>
        <w:tc>
          <w:tcPr>
            <w:tcW w:w="694" w:type="dxa"/>
            <w:shd w:val="clear" w:color="auto" w:fill="00B0F0"/>
            <w:vAlign w:val="top"/>
          </w:tcPr>
          <w:p w14:paraId="15527054">
            <w:pPr>
              <w:pStyle w:val="31"/>
              <w:keepNext w:val="0"/>
              <w:keepLines w:val="0"/>
              <w:pageBreakBefore w:val="0"/>
              <w:kinsoku/>
              <w:wordWrap/>
              <w:overflowPunct/>
              <w:topLinePunct w:val="0"/>
              <w:bidi w:val="0"/>
              <w:spacing w:before="105" w:line="222" w:lineRule="auto"/>
              <w:ind w:left="260"/>
              <w:rPr>
                <w:sz w:val="18"/>
                <w:szCs w:val="18"/>
              </w:rPr>
            </w:pPr>
            <w:r>
              <w:rPr>
                <w:sz w:val="18"/>
                <w:szCs w:val="18"/>
              </w:rPr>
              <w:t>人</w:t>
            </w:r>
          </w:p>
          <w:p w14:paraId="4203D5DF">
            <w:pPr>
              <w:pStyle w:val="31"/>
              <w:keepNext w:val="0"/>
              <w:keepLines w:val="0"/>
              <w:pageBreakBefore w:val="0"/>
              <w:kinsoku/>
              <w:wordWrap/>
              <w:overflowPunct/>
              <w:topLinePunct w:val="0"/>
              <w:bidi w:val="0"/>
              <w:spacing w:before="181" w:line="220" w:lineRule="auto"/>
              <w:ind w:left="172"/>
              <w:rPr>
                <w:sz w:val="18"/>
                <w:szCs w:val="18"/>
              </w:rPr>
            </w:pPr>
            <w:r>
              <w:rPr>
                <w:spacing w:val="-5"/>
                <w:sz w:val="18"/>
                <w:szCs w:val="18"/>
              </w:rPr>
              <w:t>万元</w:t>
            </w:r>
          </w:p>
        </w:tc>
        <w:tc>
          <w:tcPr>
            <w:tcW w:w="1095" w:type="dxa"/>
            <w:shd w:val="clear" w:color="auto" w:fill="00B0F0"/>
            <w:vAlign w:val="top"/>
          </w:tcPr>
          <w:p w14:paraId="1E0BB6EB">
            <w:pPr>
              <w:pStyle w:val="31"/>
              <w:keepNext w:val="0"/>
              <w:keepLines w:val="0"/>
              <w:pageBreakBefore w:val="0"/>
              <w:kinsoku/>
              <w:wordWrap/>
              <w:overflowPunct/>
              <w:topLinePunct w:val="0"/>
              <w:bidi w:val="0"/>
              <w:spacing w:before="106" w:line="237" w:lineRule="auto"/>
              <w:ind w:left="275"/>
              <w:rPr>
                <w:sz w:val="18"/>
                <w:szCs w:val="18"/>
              </w:rPr>
            </w:pPr>
            <w:r>
              <w:rPr>
                <w:spacing w:val="-1"/>
                <w:sz w:val="18"/>
                <w:szCs w:val="18"/>
              </w:rPr>
              <w:t>X≥200</w:t>
            </w:r>
          </w:p>
          <w:p w14:paraId="2119761F">
            <w:pPr>
              <w:pStyle w:val="31"/>
              <w:keepNext w:val="0"/>
              <w:keepLines w:val="0"/>
              <w:pageBreakBefore w:val="0"/>
              <w:kinsoku/>
              <w:wordWrap/>
              <w:overflowPunct/>
              <w:topLinePunct w:val="0"/>
              <w:bidi w:val="0"/>
              <w:spacing w:before="167" w:line="237" w:lineRule="auto"/>
              <w:ind w:left="183"/>
              <w:rPr>
                <w:sz w:val="18"/>
                <w:szCs w:val="18"/>
              </w:rPr>
            </w:pPr>
            <w:r>
              <w:rPr>
                <w:sz w:val="18"/>
                <w:szCs w:val="18"/>
              </w:rPr>
              <w:t>Y≥40000</w:t>
            </w:r>
          </w:p>
        </w:tc>
        <w:tc>
          <w:tcPr>
            <w:tcW w:w="1653" w:type="dxa"/>
            <w:shd w:val="clear" w:color="auto" w:fill="00B0F0"/>
            <w:vAlign w:val="top"/>
          </w:tcPr>
          <w:p w14:paraId="60292DB4">
            <w:pPr>
              <w:pStyle w:val="31"/>
              <w:keepNext w:val="0"/>
              <w:keepLines w:val="0"/>
              <w:pageBreakBefore w:val="0"/>
              <w:kinsoku/>
              <w:wordWrap/>
              <w:overflowPunct/>
              <w:topLinePunct w:val="0"/>
              <w:bidi w:val="0"/>
              <w:spacing w:before="105" w:line="236" w:lineRule="auto"/>
              <w:ind w:left="377"/>
              <w:rPr>
                <w:sz w:val="18"/>
                <w:szCs w:val="18"/>
              </w:rPr>
            </w:pPr>
            <w:r>
              <w:rPr>
                <w:spacing w:val="-1"/>
                <w:sz w:val="18"/>
                <w:szCs w:val="18"/>
              </w:rPr>
              <w:t>20≤X＜200</w:t>
            </w:r>
          </w:p>
          <w:p w14:paraId="282FC097">
            <w:pPr>
              <w:pStyle w:val="31"/>
              <w:keepNext w:val="0"/>
              <w:keepLines w:val="0"/>
              <w:pageBreakBefore w:val="0"/>
              <w:kinsoku/>
              <w:wordWrap/>
              <w:overflowPunct/>
              <w:topLinePunct w:val="0"/>
              <w:bidi w:val="0"/>
              <w:spacing w:before="168" w:line="236" w:lineRule="auto"/>
              <w:ind w:left="194"/>
              <w:rPr>
                <w:sz w:val="18"/>
                <w:szCs w:val="18"/>
              </w:rPr>
            </w:pPr>
            <w:r>
              <w:rPr>
                <w:sz w:val="18"/>
                <w:szCs w:val="18"/>
              </w:rPr>
              <w:t>5000≤Y＜40000</w:t>
            </w:r>
          </w:p>
        </w:tc>
        <w:tc>
          <w:tcPr>
            <w:tcW w:w="1387" w:type="dxa"/>
            <w:shd w:val="clear" w:color="auto" w:fill="00B0F0"/>
            <w:vAlign w:val="top"/>
          </w:tcPr>
          <w:p w14:paraId="6FF57DC7">
            <w:pPr>
              <w:pStyle w:val="31"/>
              <w:keepNext w:val="0"/>
              <w:keepLines w:val="0"/>
              <w:pageBreakBefore w:val="0"/>
              <w:kinsoku/>
              <w:wordWrap/>
              <w:overflowPunct/>
              <w:topLinePunct w:val="0"/>
              <w:bidi w:val="0"/>
              <w:spacing w:before="105" w:line="236" w:lineRule="auto"/>
              <w:ind w:left="382"/>
              <w:rPr>
                <w:sz w:val="18"/>
                <w:szCs w:val="18"/>
              </w:rPr>
            </w:pPr>
            <w:r>
              <w:rPr>
                <w:spacing w:val="-1"/>
                <w:sz w:val="18"/>
                <w:szCs w:val="18"/>
              </w:rPr>
              <w:t>5≤X＜20</w:t>
            </w:r>
          </w:p>
          <w:p w14:paraId="75AD2354">
            <w:pPr>
              <w:pStyle w:val="31"/>
              <w:keepNext w:val="0"/>
              <w:keepLines w:val="0"/>
              <w:pageBreakBefore w:val="0"/>
              <w:kinsoku/>
              <w:wordWrap/>
              <w:overflowPunct/>
              <w:topLinePunct w:val="0"/>
              <w:bidi w:val="0"/>
              <w:spacing w:before="132" w:line="236" w:lineRule="auto"/>
              <w:ind w:left="300"/>
              <w:rPr>
                <w:sz w:val="18"/>
                <w:szCs w:val="18"/>
              </w:rPr>
            </w:pPr>
            <w:r>
              <w:rPr>
                <w:spacing w:val="8"/>
                <w:sz w:val="18"/>
                <w:szCs w:val="18"/>
              </w:rPr>
              <w:t>1000≤Y&lt;</w:t>
            </w:r>
          </w:p>
        </w:tc>
        <w:tc>
          <w:tcPr>
            <w:tcW w:w="972" w:type="dxa"/>
            <w:shd w:val="clear" w:color="auto" w:fill="00B0F0"/>
            <w:vAlign w:val="top"/>
          </w:tcPr>
          <w:p w14:paraId="7FF4D5D9">
            <w:pPr>
              <w:pStyle w:val="31"/>
              <w:keepNext w:val="0"/>
              <w:keepLines w:val="0"/>
              <w:pageBreakBefore w:val="0"/>
              <w:kinsoku/>
              <w:wordWrap/>
              <w:overflowPunct/>
              <w:topLinePunct w:val="0"/>
              <w:bidi w:val="0"/>
              <w:spacing w:before="105"/>
              <w:ind w:left="304"/>
              <w:rPr>
                <w:sz w:val="18"/>
                <w:szCs w:val="18"/>
              </w:rPr>
            </w:pPr>
            <w:r>
              <w:rPr>
                <w:sz w:val="18"/>
                <w:szCs w:val="18"/>
              </w:rPr>
              <w:t>X＜5</w:t>
            </w:r>
          </w:p>
          <w:p w14:paraId="07029813">
            <w:pPr>
              <w:pStyle w:val="31"/>
              <w:keepNext w:val="0"/>
              <w:keepLines w:val="0"/>
              <w:pageBreakBefore w:val="0"/>
              <w:kinsoku/>
              <w:wordWrap/>
              <w:overflowPunct/>
              <w:topLinePunct w:val="0"/>
              <w:bidi w:val="0"/>
              <w:spacing w:before="164"/>
              <w:ind w:left="167"/>
              <w:rPr>
                <w:sz w:val="18"/>
                <w:szCs w:val="18"/>
              </w:rPr>
            </w:pPr>
            <w:r>
              <w:rPr>
                <w:sz w:val="18"/>
                <w:szCs w:val="18"/>
              </w:rPr>
              <w:t>Y＜1000</w:t>
            </w:r>
          </w:p>
        </w:tc>
      </w:tr>
      <w:tr w14:paraId="11FA7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056" w:type="dxa"/>
            <w:vAlign w:val="top"/>
          </w:tcPr>
          <w:p w14:paraId="5F387F8C">
            <w:pPr>
              <w:keepNext w:val="0"/>
              <w:keepLines w:val="0"/>
              <w:pageBreakBefore w:val="0"/>
              <w:kinsoku/>
              <w:wordWrap/>
              <w:overflowPunct/>
              <w:topLinePunct w:val="0"/>
              <w:bidi w:val="0"/>
              <w:spacing w:line="246" w:lineRule="auto"/>
              <w:rPr>
                <w:rFonts w:ascii="Arial"/>
                <w:sz w:val="21"/>
              </w:rPr>
            </w:pPr>
          </w:p>
          <w:p w14:paraId="1F9804CC">
            <w:pPr>
              <w:pStyle w:val="31"/>
              <w:keepNext w:val="0"/>
              <w:keepLines w:val="0"/>
              <w:pageBreakBefore w:val="0"/>
              <w:kinsoku/>
              <w:wordWrap/>
              <w:overflowPunct/>
              <w:topLinePunct w:val="0"/>
              <w:bidi w:val="0"/>
              <w:spacing w:before="59" w:line="219" w:lineRule="auto"/>
              <w:ind w:left="116"/>
              <w:rPr>
                <w:sz w:val="18"/>
                <w:szCs w:val="18"/>
              </w:rPr>
            </w:pPr>
            <w:r>
              <w:rPr>
                <w:spacing w:val="-1"/>
                <w:sz w:val="18"/>
                <w:szCs w:val="18"/>
              </w:rPr>
              <w:t>零售业</w:t>
            </w:r>
          </w:p>
        </w:tc>
        <w:tc>
          <w:tcPr>
            <w:tcW w:w="1331" w:type="dxa"/>
            <w:vAlign w:val="top"/>
          </w:tcPr>
          <w:p w14:paraId="4816477C">
            <w:pPr>
              <w:pStyle w:val="31"/>
              <w:keepNext w:val="0"/>
              <w:keepLines w:val="0"/>
              <w:pageBreakBefore w:val="0"/>
              <w:kinsoku/>
              <w:wordWrap/>
              <w:overflowPunct/>
              <w:topLinePunct w:val="0"/>
              <w:bidi w:val="0"/>
              <w:spacing w:before="107" w:line="220" w:lineRule="auto"/>
              <w:ind w:left="168"/>
              <w:rPr>
                <w:sz w:val="18"/>
                <w:szCs w:val="18"/>
              </w:rPr>
            </w:pPr>
            <w:r>
              <w:rPr>
                <w:sz w:val="18"/>
                <w:szCs w:val="18"/>
              </w:rPr>
              <w:t>从业人员(X)</w:t>
            </w:r>
          </w:p>
          <w:p w14:paraId="167EDB0A">
            <w:pPr>
              <w:pStyle w:val="31"/>
              <w:keepNext w:val="0"/>
              <w:keepLines w:val="0"/>
              <w:pageBreakBefore w:val="0"/>
              <w:kinsoku/>
              <w:wordWrap/>
              <w:overflowPunct/>
              <w:topLinePunct w:val="0"/>
              <w:bidi w:val="0"/>
              <w:spacing w:before="181" w:line="219" w:lineRule="auto"/>
              <w:ind w:left="172"/>
              <w:rPr>
                <w:sz w:val="18"/>
                <w:szCs w:val="18"/>
              </w:rPr>
            </w:pPr>
            <w:r>
              <w:rPr>
                <w:spacing w:val="-1"/>
                <w:sz w:val="18"/>
                <w:szCs w:val="18"/>
              </w:rPr>
              <w:t>营业收入(Y)</w:t>
            </w:r>
          </w:p>
        </w:tc>
        <w:tc>
          <w:tcPr>
            <w:tcW w:w="694" w:type="dxa"/>
            <w:vAlign w:val="top"/>
          </w:tcPr>
          <w:p w14:paraId="7DDFA8C6">
            <w:pPr>
              <w:pStyle w:val="31"/>
              <w:keepNext w:val="0"/>
              <w:keepLines w:val="0"/>
              <w:pageBreakBefore w:val="0"/>
              <w:kinsoku/>
              <w:wordWrap/>
              <w:overflowPunct/>
              <w:topLinePunct w:val="0"/>
              <w:bidi w:val="0"/>
              <w:spacing w:before="107" w:line="344" w:lineRule="auto"/>
              <w:ind w:left="172" w:right="165" w:firstLine="88"/>
              <w:rPr>
                <w:sz w:val="18"/>
                <w:szCs w:val="18"/>
              </w:rPr>
            </w:pPr>
            <w:r>
              <w:rPr>
                <w:spacing w:val="-9"/>
                <w:sz w:val="18"/>
                <w:szCs w:val="18"/>
              </w:rPr>
              <w:t>人</w:t>
            </w:r>
            <w:r>
              <w:rPr>
                <w:spacing w:val="-5"/>
                <w:sz w:val="18"/>
                <w:szCs w:val="18"/>
              </w:rPr>
              <w:t>万元</w:t>
            </w:r>
          </w:p>
        </w:tc>
        <w:tc>
          <w:tcPr>
            <w:tcW w:w="1095" w:type="dxa"/>
            <w:vAlign w:val="top"/>
          </w:tcPr>
          <w:p w14:paraId="54001C8F">
            <w:pPr>
              <w:pStyle w:val="31"/>
              <w:keepNext w:val="0"/>
              <w:keepLines w:val="0"/>
              <w:pageBreakBefore w:val="0"/>
              <w:kinsoku/>
              <w:wordWrap/>
              <w:overflowPunct/>
              <w:topLinePunct w:val="0"/>
              <w:bidi w:val="0"/>
              <w:spacing w:before="107" w:line="237" w:lineRule="auto"/>
              <w:ind w:left="275"/>
              <w:rPr>
                <w:sz w:val="18"/>
                <w:szCs w:val="18"/>
              </w:rPr>
            </w:pPr>
            <w:r>
              <w:rPr>
                <w:spacing w:val="-1"/>
                <w:sz w:val="18"/>
                <w:szCs w:val="18"/>
              </w:rPr>
              <w:t>X≥300</w:t>
            </w:r>
          </w:p>
          <w:p w14:paraId="3472E64A">
            <w:pPr>
              <w:pStyle w:val="31"/>
              <w:keepNext w:val="0"/>
              <w:keepLines w:val="0"/>
              <w:pageBreakBefore w:val="0"/>
              <w:kinsoku/>
              <w:wordWrap/>
              <w:overflowPunct/>
              <w:topLinePunct w:val="0"/>
              <w:bidi w:val="0"/>
              <w:spacing w:before="164" w:line="237" w:lineRule="auto"/>
              <w:ind w:left="183"/>
              <w:rPr>
                <w:sz w:val="18"/>
                <w:szCs w:val="18"/>
              </w:rPr>
            </w:pPr>
            <w:r>
              <w:rPr>
                <w:sz w:val="18"/>
                <w:szCs w:val="18"/>
              </w:rPr>
              <w:t>Y≥20000</w:t>
            </w:r>
          </w:p>
        </w:tc>
        <w:tc>
          <w:tcPr>
            <w:tcW w:w="1653" w:type="dxa"/>
            <w:vAlign w:val="top"/>
          </w:tcPr>
          <w:p w14:paraId="4B847708">
            <w:pPr>
              <w:pStyle w:val="31"/>
              <w:keepNext w:val="0"/>
              <w:keepLines w:val="0"/>
              <w:pageBreakBefore w:val="0"/>
              <w:kinsoku/>
              <w:wordWrap/>
              <w:overflowPunct/>
              <w:topLinePunct w:val="0"/>
              <w:bidi w:val="0"/>
              <w:spacing w:before="107" w:line="236" w:lineRule="auto"/>
              <w:ind w:left="379"/>
              <w:rPr>
                <w:sz w:val="18"/>
                <w:szCs w:val="18"/>
              </w:rPr>
            </w:pPr>
            <w:r>
              <w:rPr>
                <w:spacing w:val="-1"/>
                <w:sz w:val="18"/>
                <w:szCs w:val="18"/>
              </w:rPr>
              <w:t>50≤X＜300</w:t>
            </w:r>
          </w:p>
          <w:p w14:paraId="4851CA4D">
            <w:pPr>
              <w:pStyle w:val="31"/>
              <w:keepNext w:val="0"/>
              <w:keepLines w:val="0"/>
              <w:pageBreakBefore w:val="0"/>
              <w:kinsoku/>
              <w:wordWrap/>
              <w:overflowPunct/>
              <w:topLinePunct w:val="0"/>
              <w:bidi w:val="0"/>
              <w:spacing w:before="165" w:line="236" w:lineRule="auto"/>
              <w:ind w:left="285"/>
              <w:rPr>
                <w:sz w:val="18"/>
                <w:szCs w:val="18"/>
              </w:rPr>
            </w:pPr>
            <w:r>
              <w:rPr>
                <w:sz w:val="18"/>
                <w:szCs w:val="18"/>
              </w:rPr>
              <w:t>500≤Y＜20000</w:t>
            </w:r>
          </w:p>
        </w:tc>
        <w:tc>
          <w:tcPr>
            <w:tcW w:w="1387" w:type="dxa"/>
            <w:vAlign w:val="top"/>
          </w:tcPr>
          <w:p w14:paraId="4EE89566">
            <w:pPr>
              <w:pStyle w:val="31"/>
              <w:keepNext w:val="0"/>
              <w:keepLines w:val="0"/>
              <w:pageBreakBefore w:val="0"/>
              <w:kinsoku/>
              <w:wordWrap/>
              <w:overflowPunct/>
              <w:topLinePunct w:val="0"/>
              <w:bidi w:val="0"/>
              <w:spacing w:before="107" w:line="236" w:lineRule="auto"/>
              <w:ind w:left="300"/>
              <w:rPr>
                <w:sz w:val="18"/>
                <w:szCs w:val="18"/>
              </w:rPr>
            </w:pPr>
            <w:r>
              <w:rPr>
                <w:spacing w:val="-2"/>
                <w:sz w:val="18"/>
                <w:szCs w:val="18"/>
              </w:rPr>
              <w:t>10≤X＜50</w:t>
            </w:r>
          </w:p>
          <w:p w14:paraId="12C0D002">
            <w:pPr>
              <w:pStyle w:val="31"/>
              <w:keepNext w:val="0"/>
              <w:keepLines w:val="0"/>
              <w:pageBreakBefore w:val="0"/>
              <w:kinsoku/>
              <w:wordWrap/>
              <w:overflowPunct/>
              <w:topLinePunct w:val="0"/>
              <w:bidi w:val="0"/>
              <w:spacing w:before="165" w:line="236" w:lineRule="auto"/>
              <w:ind w:left="209"/>
              <w:rPr>
                <w:sz w:val="18"/>
                <w:szCs w:val="18"/>
              </w:rPr>
            </w:pPr>
            <w:r>
              <w:rPr>
                <w:spacing w:val="-1"/>
                <w:sz w:val="18"/>
                <w:szCs w:val="18"/>
              </w:rPr>
              <w:t>100≤Y＜500</w:t>
            </w:r>
          </w:p>
        </w:tc>
        <w:tc>
          <w:tcPr>
            <w:tcW w:w="972" w:type="dxa"/>
            <w:vAlign w:val="top"/>
          </w:tcPr>
          <w:p w14:paraId="339F920B">
            <w:pPr>
              <w:pStyle w:val="31"/>
              <w:keepNext w:val="0"/>
              <w:keepLines w:val="0"/>
              <w:pageBreakBefore w:val="0"/>
              <w:kinsoku/>
              <w:wordWrap/>
              <w:overflowPunct/>
              <w:topLinePunct w:val="0"/>
              <w:bidi w:val="0"/>
              <w:spacing w:before="106"/>
              <w:ind w:left="259"/>
              <w:rPr>
                <w:sz w:val="18"/>
                <w:szCs w:val="18"/>
              </w:rPr>
            </w:pPr>
            <w:r>
              <w:rPr>
                <w:spacing w:val="-1"/>
                <w:sz w:val="18"/>
                <w:szCs w:val="18"/>
              </w:rPr>
              <w:t>X＜10</w:t>
            </w:r>
          </w:p>
          <w:p w14:paraId="293CE681">
            <w:pPr>
              <w:pStyle w:val="31"/>
              <w:keepNext w:val="0"/>
              <w:keepLines w:val="0"/>
              <w:pageBreakBefore w:val="0"/>
              <w:kinsoku/>
              <w:wordWrap/>
              <w:overflowPunct/>
              <w:topLinePunct w:val="0"/>
              <w:bidi w:val="0"/>
              <w:spacing w:before="162"/>
              <w:ind w:left="212"/>
              <w:rPr>
                <w:sz w:val="18"/>
                <w:szCs w:val="18"/>
              </w:rPr>
            </w:pPr>
            <w:r>
              <w:rPr>
                <w:sz w:val="18"/>
                <w:szCs w:val="18"/>
              </w:rPr>
              <w:t>Y＜100</w:t>
            </w:r>
          </w:p>
        </w:tc>
      </w:tr>
      <w:tr w14:paraId="5AB19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2056" w:type="dxa"/>
            <w:shd w:val="clear" w:color="auto" w:fill="00B0F0"/>
            <w:vAlign w:val="top"/>
          </w:tcPr>
          <w:p w14:paraId="0AB36C8C">
            <w:pPr>
              <w:keepNext w:val="0"/>
              <w:keepLines w:val="0"/>
              <w:pageBreakBefore w:val="0"/>
              <w:kinsoku/>
              <w:wordWrap/>
              <w:overflowPunct/>
              <w:topLinePunct w:val="0"/>
              <w:bidi w:val="0"/>
              <w:spacing w:line="245" w:lineRule="auto"/>
              <w:rPr>
                <w:rFonts w:ascii="Arial"/>
                <w:sz w:val="21"/>
              </w:rPr>
            </w:pPr>
          </w:p>
          <w:p w14:paraId="32A2C4C6">
            <w:pPr>
              <w:pStyle w:val="31"/>
              <w:keepNext w:val="0"/>
              <w:keepLines w:val="0"/>
              <w:pageBreakBefore w:val="0"/>
              <w:kinsoku/>
              <w:wordWrap/>
              <w:overflowPunct/>
              <w:topLinePunct w:val="0"/>
              <w:bidi w:val="0"/>
              <w:spacing w:before="59" w:line="219" w:lineRule="auto"/>
              <w:ind w:left="119"/>
              <w:rPr>
                <w:sz w:val="18"/>
                <w:szCs w:val="18"/>
              </w:rPr>
            </w:pPr>
            <w:r>
              <w:rPr>
                <w:sz w:val="18"/>
                <w:szCs w:val="18"/>
              </w:rPr>
              <w:t>交通运输业</w:t>
            </w:r>
            <w:r>
              <w:rPr>
                <w:spacing w:val="10"/>
                <w:sz w:val="18"/>
                <w:szCs w:val="18"/>
              </w:rPr>
              <w:t xml:space="preserve"> </w:t>
            </w:r>
            <w:r>
              <w:rPr>
                <w:sz w:val="18"/>
                <w:szCs w:val="18"/>
              </w:rPr>
              <w:t>*</w:t>
            </w:r>
          </w:p>
        </w:tc>
        <w:tc>
          <w:tcPr>
            <w:tcW w:w="1331" w:type="dxa"/>
            <w:shd w:val="clear" w:color="auto" w:fill="00B0F0"/>
            <w:vAlign w:val="top"/>
          </w:tcPr>
          <w:p w14:paraId="319D533F">
            <w:pPr>
              <w:pStyle w:val="31"/>
              <w:keepNext w:val="0"/>
              <w:keepLines w:val="0"/>
              <w:pageBreakBefore w:val="0"/>
              <w:kinsoku/>
              <w:wordWrap/>
              <w:overflowPunct/>
              <w:topLinePunct w:val="0"/>
              <w:bidi w:val="0"/>
              <w:spacing w:before="108" w:line="220" w:lineRule="auto"/>
              <w:ind w:left="168"/>
              <w:rPr>
                <w:sz w:val="18"/>
                <w:szCs w:val="18"/>
              </w:rPr>
            </w:pPr>
            <w:r>
              <w:rPr>
                <w:sz w:val="18"/>
                <w:szCs w:val="18"/>
              </w:rPr>
              <w:t>从业人员(X)</w:t>
            </w:r>
          </w:p>
          <w:p w14:paraId="4E3BBF52">
            <w:pPr>
              <w:pStyle w:val="31"/>
              <w:keepNext w:val="0"/>
              <w:keepLines w:val="0"/>
              <w:pageBreakBefore w:val="0"/>
              <w:kinsoku/>
              <w:wordWrap/>
              <w:overflowPunct/>
              <w:topLinePunct w:val="0"/>
              <w:bidi w:val="0"/>
              <w:spacing w:before="181" w:line="219" w:lineRule="auto"/>
              <w:ind w:left="172"/>
              <w:rPr>
                <w:sz w:val="18"/>
                <w:szCs w:val="18"/>
              </w:rPr>
            </w:pPr>
            <w:r>
              <w:rPr>
                <w:spacing w:val="-1"/>
                <w:sz w:val="18"/>
                <w:szCs w:val="18"/>
              </w:rPr>
              <w:t>营业收入(Y)</w:t>
            </w:r>
          </w:p>
        </w:tc>
        <w:tc>
          <w:tcPr>
            <w:tcW w:w="694" w:type="dxa"/>
            <w:shd w:val="clear" w:color="auto" w:fill="00B0F0"/>
            <w:vAlign w:val="top"/>
          </w:tcPr>
          <w:p w14:paraId="1652CF2D">
            <w:pPr>
              <w:pStyle w:val="31"/>
              <w:keepNext w:val="0"/>
              <w:keepLines w:val="0"/>
              <w:pageBreakBefore w:val="0"/>
              <w:kinsoku/>
              <w:wordWrap/>
              <w:overflowPunct/>
              <w:topLinePunct w:val="0"/>
              <w:bidi w:val="0"/>
              <w:spacing w:before="108" w:line="222" w:lineRule="auto"/>
              <w:ind w:left="260"/>
              <w:rPr>
                <w:sz w:val="18"/>
                <w:szCs w:val="18"/>
              </w:rPr>
            </w:pPr>
            <w:r>
              <w:rPr>
                <w:sz w:val="18"/>
                <w:szCs w:val="18"/>
              </w:rPr>
              <w:t>人</w:t>
            </w:r>
          </w:p>
          <w:p w14:paraId="553A23EA">
            <w:pPr>
              <w:pStyle w:val="31"/>
              <w:keepNext w:val="0"/>
              <w:keepLines w:val="0"/>
              <w:pageBreakBefore w:val="0"/>
              <w:kinsoku/>
              <w:wordWrap/>
              <w:overflowPunct/>
              <w:topLinePunct w:val="0"/>
              <w:bidi w:val="0"/>
              <w:spacing w:before="179" w:line="220" w:lineRule="auto"/>
              <w:ind w:left="172"/>
              <w:rPr>
                <w:sz w:val="18"/>
                <w:szCs w:val="18"/>
              </w:rPr>
            </w:pPr>
            <w:r>
              <w:rPr>
                <w:spacing w:val="-5"/>
                <w:sz w:val="18"/>
                <w:szCs w:val="18"/>
              </w:rPr>
              <w:t>万元</w:t>
            </w:r>
          </w:p>
        </w:tc>
        <w:tc>
          <w:tcPr>
            <w:tcW w:w="1095" w:type="dxa"/>
            <w:shd w:val="clear" w:color="auto" w:fill="00B0F0"/>
            <w:vAlign w:val="top"/>
          </w:tcPr>
          <w:p w14:paraId="3E4FD476">
            <w:pPr>
              <w:pStyle w:val="31"/>
              <w:keepNext w:val="0"/>
              <w:keepLines w:val="0"/>
              <w:pageBreakBefore w:val="0"/>
              <w:kinsoku/>
              <w:wordWrap/>
              <w:overflowPunct/>
              <w:topLinePunct w:val="0"/>
              <w:bidi w:val="0"/>
              <w:spacing w:before="108" w:line="237" w:lineRule="auto"/>
              <w:ind w:left="230"/>
              <w:rPr>
                <w:sz w:val="18"/>
                <w:szCs w:val="18"/>
              </w:rPr>
            </w:pPr>
            <w:r>
              <w:rPr>
                <w:spacing w:val="-1"/>
                <w:sz w:val="18"/>
                <w:szCs w:val="18"/>
              </w:rPr>
              <w:t>X≥1000</w:t>
            </w:r>
          </w:p>
          <w:p w14:paraId="0192C3DE">
            <w:pPr>
              <w:pStyle w:val="31"/>
              <w:keepNext w:val="0"/>
              <w:keepLines w:val="0"/>
              <w:pageBreakBefore w:val="0"/>
              <w:kinsoku/>
              <w:wordWrap/>
              <w:overflowPunct/>
              <w:topLinePunct w:val="0"/>
              <w:bidi w:val="0"/>
              <w:spacing w:before="164" w:line="237" w:lineRule="auto"/>
              <w:ind w:left="183"/>
              <w:rPr>
                <w:sz w:val="18"/>
                <w:szCs w:val="18"/>
              </w:rPr>
            </w:pPr>
            <w:r>
              <w:rPr>
                <w:sz w:val="18"/>
                <w:szCs w:val="18"/>
              </w:rPr>
              <w:t>Y≥30000</w:t>
            </w:r>
          </w:p>
        </w:tc>
        <w:tc>
          <w:tcPr>
            <w:tcW w:w="1653" w:type="dxa"/>
            <w:shd w:val="clear" w:color="auto" w:fill="00B0F0"/>
            <w:vAlign w:val="top"/>
          </w:tcPr>
          <w:p w14:paraId="0A054FD7">
            <w:pPr>
              <w:pStyle w:val="31"/>
              <w:keepNext w:val="0"/>
              <w:keepLines w:val="0"/>
              <w:pageBreakBefore w:val="0"/>
              <w:kinsoku/>
              <w:wordWrap/>
              <w:overflowPunct/>
              <w:topLinePunct w:val="0"/>
              <w:bidi w:val="0"/>
              <w:spacing w:before="108" w:line="236" w:lineRule="auto"/>
              <w:ind w:left="288"/>
              <w:rPr>
                <w:sz w:val="18"/>
                <w:szCs w:val="18"/>
              </w:rPr>
            </w:pPr>
            <w:r>
              <w:rPr>
                <w:sz w:val="18"/>
                <w:szCs w:val="18"/>
              </w:rPr>
              <w:t>300≤X＜1000</w:t>
            </w:r>
          </w:p>
          <w:p w14:paraId="621655C0">
            <w:pPr>
              <w:pStyle w:val="31"/>
              <w:keepNext w:val="0"/>
              <w:keepLines w:val="0"/>
              <w:pageBreakBefore w:val="0"/>
              <w:kinsoku/>
              <w:wordWrap/>
              <w:overflowPunct/>
              <w:topLinePunct w:val="0"/>
              <w:bidi w:val="0"/>
              <w:spacing w:before="165" w:line="236" w:lineRule="auto"/>
              <w:ind w:left="194"/>
              <w:rPr>
                <w:sz w:val="18"/>
                <w:szCs w:val="18"/>
              </w:rPr>
            </w:pPr>
            <w:r>
              <w:rPr>
                <w:sz w:val="18"/>
                <w:szCs w:val="18"/>
              </w:rPr>
              <w:t>3000≤Y＜30000</w:t>
            </w:r>
          </w:p>
        </w:tc>
        <w:tc>
          <w:tcPr>
            <w:tcW w:w="1387" w:type="dxa"/>
            <w:shd w:val="clear" w:color="auto" w:fill="00B0F0"/>
            <w:vAlign w:val="top"/>
          </w:tcPr>
          <w:p w14:paraId="5178F74E">
            <w:pPr>
              <w:pStyle w:val="31"/>
              <w:keepNext w:val="0"/>
              <w:keepLines w:val="0"/>
              <w:pageBreakBefore w:val="0"/>
              <w:kinsoku/>
              <w:wordWrap/>
              <w:overflowPunct/>
              <w:topLinePunct w:val="0"/>
              <w:bidi w:val="0"/>
              <w:spacing w:before="108" w:line="236" w:lineRule="auto"/>
              <w:ind w:left="289"/>
              <w:rPr>
                <w:sz w:val="18"/>
                <w:szCs w:val="18"/>
              </w:rPr>
            </w:pPr>
            <w:r>
              <w:rPr>
                <w:sz w:val="18"/>
                <w:szCs w:val="18"/>
              </w:rPr>
              <w:t>20≤X＜300</w:t>
            </w:r>
          </w:p>
          <w:p w14:paraId="0E496149">
            <w:pPr>
              <w:pStyle w:val="31"/>
              <w:keepNext w:val="0"/>
              <w:keepLines w:val="0"/>
              <w:pageBreakBefore w:val="0"/>
              <w:kinsoku/>
              <w:wordWrap/>
              <w:overflowPunct/>
              <w:topLinePunct w:val="0"/>
              <w:bidi w:val="0"/>
              <w:spacing w:before="132" w:line="236" w:lineRule="auto"/>
              <w:ind w:left="380"/>
              <w:rPr>
                <w:sz w:val="18"/>
                <w:szCs w:val="18"/>
              </w:rPr>
            </w:pPr>
            <w:r>
              <w:rPr>
                <w:spacing w:val="11"/>
                <w:sz w:val="18"/>
                <w:szCs w:val="18"/>
              </w:rPr>
              <w:t>200≤Y&lt;</w:t>
            </w:r>
          </w:p>
        </w:tc>
        <w:tc>
          <w:tcPr>
            <w:tcW w:w="972" w:type="dxa"/>
            <w:shd w:val="clear" w:color="auto" w:fill="00B0F0"/>
            <w:vAlign w:val="top"/>
          </w:tcPr>
          <w:p w14:paraId="201FED5F">
            <w:pPr>
              <w:pStyle w:val="31"/>
              <w:keepNext w:val="0"/>
              <w:keepLines w:val="0"/>
              <w:pageBreakBefore w:val="0"/>
              <w:kinsoku/>
              <w:wordWrap/>
              <w:overflowPunct/>
              <w:topLinePunct w:val="0"/>
              <w:bidi w:val="0"/>
              <w:spacing w:before="108"/>
              <w:ind w:left="259"/>
              <w:rPr>
                <w:sz w:val="18"/>
                <w:szCs w:val="18"/>
              </w:rPr>
            </w:pPr>
            <w:r>
              <w:rPr>
                <w:spacing w:val="-1"/>
                <w:sz w:val="18"/>
                <w:szCs w:val="18"/>
              </w:rPr>
              <w:t>X＜20</w:t>
            </w:r>
          </w:p>
          <w:p w14:paraId="529DD47C">
            <w:pPr>
              <w:pStyle w:val="31"/>
              <w:keepNext w:val="0"/>
              <w:keepLines w:val="0"/>
              <w:pageBreakBefore w:val="0"/>
              <w:kinsoku/>
              <w:wordWrap/>
              <w:overflowPunct/>
              <w:topLinePunct w:val="0"/>
              <w:bidi w:val="0"/>
              <w:spacing w:before="161"/>
              <w:ind w:left="212"/>
              <w:rPr>
                <w:sz w:val="18"/>
                <w:szCs w:val="18"/>
              </w:rPr>
            </w:pPr>
            <w:r>
              <w:rPr>
                <w:sz w:val="18"/>
                <w:szCs w:val="18"/>
              </w:rPr>
              <w:t>Y＜200</w:t>
            </w:r>
          </w:p>
        </w:tc>
      </w:tr>
      <w:tr w14:paraId="26BC2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2056" w:type="dxa"/>
            <w:vAlign w:val="top"/>
          </w:tcPr>
          <w:p w14:paraId="5C7D49D8">
            <w:pPr>
              <w:keepNext w:val="0"/>
              <w:keepLines w:val="0"/>
              <w:pageBreakBefore w:val="0"/>
              <w:kinsoku/>
              <w:wordWrap/>
              <w:overflowPunct/>
              <w:topLinePunct w:val="0"/>
              <w:bidi w:val="0"/>
              <w:spacing w:line="245" w:lineRule="auto"/>
              <w:rPr>
                <w:rFonts w:ascii="Arial"/>
                <w:sz w:val="21"/>
              </w:rPr>
            </w:pPr>
          </w:p>
          <w:p w14:paraId="5C77F655">
            <w:pPr>
              <w:pStyle w:val="31"/>
              <w:keepNext w:val="0"/>
              <w:keepLines w:val="0"/>
              <w:pageBreakBefore w:val="0"/>
              <w:kinsoku/>
              <w:wordWrap/>
              <w:overflowPunct/>
              <w:topLinePunct w:val="0"/>
              <w:bidi w:val="0"/>
              <w:spacing w:before="59" w:line="220" w:lineRule="auto"/>
              <w:ind w:left="114"/>
              <w:rPr>
                <w:sz w:val="18"/>
                <w:szCs w:val="18"/>
              </w:rPr>
            </w:pPr>
            <w:r>
              <w:rPr>
                <w:sz w:val="18"/>
                <w:szCs w:val="18"/>
              </w:rPr>
              <w:t>仓储业*</w:t>
            </w:r>
          </w:p>
        </w:tc>
        <w:tc>
          <w:tcPr>
            <w:tcW w:w="1331" w:type="dxa"/>
            <w:vAlign w:val="top"/>
          </w:tcPr>
          <w:p w14:paraId="365F186A">
            <w:pPr>
              <w:pStyle w:val="31"/>
              <w:keepNext w:val="0"/>
              <w:keepLines w:val="0"/>
              <w:pageBreakBefore w:val="0"/>
              <w:kinsoku/>
              <w:wordWrap/>
              <w:overflowPunct/>
              <w:topLinePunct w:val="0"/>
              <w:bidi w:val="0"/>
              <w:spacing w:before="109" w:line="220" w:lineRule="auto"/>
              <w:ind w:left="168"/>
              <w:rPr>
                <w:sz w:val="18"/>
                <w:szCs w:val="18"/>
              </w:rPr>
            </w:pPr>
            <w:r>
              <w:rPr>
                <w:sz w:val="18"/>
                <w:szCs w:val="18"/>
              </w:rPr>
              <w:t>从业人员(X)</w:t>
            </w:r>
          </w:p>
          <w:p w14:paraId="43F02A79">
            <w:pPr>
              <w:pStyle w:val="31"/>
              <w:keepNext w:val="0"/>
              <w:keepLines w:val="0"/>
              <w:pageBreakBefore w:val="0"/>
              <w:kinsoku/>
              <w:wordWrap/>
              <w:overflowPunct/>
              <w:topLinePunct w:val="0"/>
              <w:bidi w:val="0"/>
              <w:spacing w:before="181" w:line="219" w:lineRule="auto"/>
              <w:ind w:left="172"/>
              <w:rPr>
                <w:sz w:val="18"/>
                <w:szCs w:val="18"/>
              </w:rPr>
            </w:pPr>
            <w:r>
              <w:rPr>
                <w:spacing w:val="-1"/>
                <w:sz w:val="18"/>
                <w:szCs w:val="18"/>
              </w:rPr>
              <w:t>营业收入(Y)</w:t>
            </w:r>
          </w:p>
        </w:tc>
        <w:tc>
          <w:tcPr>
            <w:tcW w:w="694" w:type="dxa"/>
            <w:vAlign w:val="top"/>
          </w:tcPr>
          <w:p w14:paraId="7A2944AA">
            <w:pPr>
              <w:pStyle w:val="31"/>
              <w:keepNext w:val="0"/>
              <w:keepLines w:val="0"/>
              <w:pageBreakBefore w:val="0"/>
              <w:kinsoku/>
              <w:wordWrap/>
              <w:overflowPunct/>
              <w:topLinePunct w:val="0"/>
              <w:bidi w:val="0"/>
              <w:spacing w:before="108" w:line="344" w:lineRule="auto"/>
              <w:ind w:left="172" w:right="165" w:firstLine="88"/>
              <w:rPr>
                <w:sz w:val="18"/>
                <w:szCs w:val="18"/>
              </w:rPr>
            </w:pPr>
            <w:r>
              <w:rPr>
                <w:spacing w:val="-9"/>
                <w:sz w:val="18"/>
                <w:szCs w:val="18"/>
              </w:rPr>
              <w:t>人</w:t>
            </w:r>
            <w:r>
              <w:rPr>
                <w:spacing w:val="-5"/>
                <w:sz w:val="18"/>
                <w:szCs w:val="18"/>
              </w:rPr>
              <w:t>万元</w:t>
            </w:r>
          </w:p>
        </w:tc>
        <w:tc>
          <w:tcPr>
            <w:tcW w:w="1095" w:type="dxa"/>
            <w:vAlign w:val="top"/>
          </w:tcPr>
          <w:p w14:paraId="732FD87B">
            <w:pPr>
              <w:pStyle w:val="31"/>
              <w:keepNext w:val="0"/>
              <w:keepLines w:val="0"/>
              <w:pageBreakBefore w:val="0"/>
              <w:kinsoku/>
              <w:wordWrap/>
              <w:overflowPunct/>
              <w:topLinePunct w:val="0"/>
              <w:bidi w:val="0"/>
              <w:spacing w:before="109" w:line="237" w:lineRule="auto"/>
              <w:ind w:left="275"/>
              <w:rPr>
                <w:sz w:val="18"/>
                <w:szCs w:val="18"/>
              </w:rPr>
            </w:pPr>
            <w:r>
              <w:rPr>
                <w:spacing w:val="-1"/>
                <w:sz w:val="18"/>
                <w:szCs w:val="18"/>
              </w:rPr>
              <w:t>X≥200</w:t>
            </w:r>
          </w:p>
          <w:p w14:paraId="154A3D0C">
            <w:pPr>
              <w:pStyle w:val="31"/>
              <w:keepNext w:val="0"/>
              <w:keepLines w:val="0"/>
              <w:pageBreakBefore w:val="0"/>
              <w:kinsoku/>
              <w:wordWrap/>
              <w:overflowPunct/>
              <w:topLinePunct w:val="0"/>
              <w:bidi w:val="0"/>
              <w:spacing w:before="164" w:line="237" w:lineRule="auto"/>
              <w:ind w:left="183"/>
              <w:rPr>
                <w:sz w:val="18"/>
                <w:szCs w:val="18"/>
              </w:rPr>
            </w:pPr>
            <w:r>
              <w:rPr>
                <w:sz w:val="18"/>
                <w:szCs w:val="18"/>
              </w:rPr>
              <w:t>Y≥30000</w:t>
            </w:r>
          </w:p>
        </w:tc>
        <w:tc>
          <w:tcPr>
            <w:tcW w:w="1653" w:type="dxa"/>
            <w:vAlign w:val="top"/>
          </w:tcPr>
          <w:p w14:paraId="72C8286B">
            <w:pPr>
              <w:pStyle w:val="31"/>
              <w:keepNext w:val="0"/>
              <w:keepLines w:val="0"/>
              <w:pageBreakBefore w:val="0"/>
              <w:kinsoku/>
              <w:wordWrap/>
              <w:overflowPunct/>
              <w:topLinePunct w:val="0"/>
              <w:bidi w:val="0"/>
              <w:spacing w:before="108" w:line="236" w:lineRule="auto"/>
              <w:ind w:left="340"/>
              <w:rPr>
                <w:sz w:val="18"/>
                <w:szCs w:val="18"/>
              </w:rPr>
            </w:pPr>
            <w:r>
              <w:rPr>
                <w:spacing w:val="-1"/>
                <w:sz w:val="18"/>
                <w:szCs w:val="18"/>
              </w:rPr>
              <w:t>100≤X＜200</w:t>
            </w:r>
          </w:p>
          <w:p w14:paraId="06DD6FB9">
            <w:pPr>
              <w:pStyle w:val="31"/>
              <w:keepNext w:val="0"/>
              <w:keepLines w:val="0"/>
              <w:pageBreakBefore w:val="0"/>
              <w:kinsoku/>
              <w:wordWrap/>
              <w:overflowPunct/>
              <w:topLinePunct w:val="0"/>
              <w:bidi w:val="0"/>
              <w:spacing w:before="165" w:line="236" w:lineRule="auto"/>
              <w:ind w:left="204"/>
              <w:rPr>
                <w:sz w:val="18"/>
                <w:szCs w:val="18"/>
              </w:rPr>
            </w:pPr>
            <w:r>
              <w:rPr>
                <w:spacing w:val="-1"/>
                <w:sz w:val="18"/>
                <w:szCs w:val="18"/>
              </w:rPr>
              <w:t>1000≤Y＜30000</w:t>
            </w:r>
          </w:p>
        </w:tc>
        <w:tc>
          <w:tcPr>
            <w:tcW w:w="1387" w:type="dxa"/>
            <w:vAlign w:val="top"/>
          </w:tcPr>
          <w:p w14:paraId="5308E39F">
            <w:pPr>
              <w:pStyle w:val="31"/>
              <w:keepNext w:val="0"/>
              <w:keepLines w:val="0"/>
              <w:pageBreakBefore w:val="0"/>
              <w:kinsoku/>
              <w:wordWrap/>
              <w:overflowPunct/>
              <w:topLinePunct w:val="0"/>
              <w:bidi w:val="0"/>
              <w:spacing w:before="108" w:line="236" w:lineRule="auto"/>
              <w:ind w:left="289"/>
              <w:rPr>
                <w:sz w:val="18"/>
                <w:szCs w:val="18"/>
              </w:rPr>
            </w:pPr>
            <w:r>
              <w:rPr>
                <w:sz w:val="18"/>
                <w:szCs w:val="18"/>
              </w:rPr>
              <w:t>20≤X＜100</w:t>
            </w:r>
          </w:p>
          <w:p w14:paraId="716A3C8A">
            <w:pPr>
              <w:pStyle w:val="31"/>
              <w:keepNext w:val="0"/>
              <w:keepLines w:val="0"/>
              <w:pageBreakBefore w:val="0"/>
              <w:kinsoku/>
              <w:wordWrap/>
              <w:overflowPunct/>
              <w:topLinePunct w:val="0"/>
              <w:bidi w:val="0"/>
              <w:spacing w:before="132" w:line="236" w:lineRule="auto"/>
              <w:ind w:left="391"/>
              <w:rPr>
                <w:sz w:val="18"/>
                <w:szCs w:val="18"/>
              </w:rPr>
            </w:pPr>
            <w:r>
              <w:rPr>
                <w:spacing w:val="9"/>
                <w:sz w:val="18"/>
                <w:szCs w:val="18"/>
              </w:rPr>
              <w:t>100≤Y&lt;</w:t>
            </w:r>
          </w:p>
        </w:tc>
        <w:tc>
          <w:tcPr>
            <w:tcW w:w="972" w:type="dxa"/>
            <w:vAlign w:val="top"/>
          </w:tcPr>
          <w:p w14:paraId="59099351">
            <w:pPr>
              <w:pStyle w:val="31"/>
              <w:keepNext w:val="0"/>
              <w:keepLines w:val="0"/>
              <w:pageBreakBefore w:val="0"/>
              <w:kinsoku/>
              <w:wordWrap/>
              <w:overflowPunct/>
              <w:topLinePunct w:val="0"/>
              <w:bidi w:val="0"/>
              <w:spacing w:before="108"/>
              <w:ind w:left="259"/>
              <w:rPr>
                <w:sz w:val="18"/>
                <w:szCs w:val="18"/>
              </w:rPr>
            </w:pPr>
            <w:r>
              <w:rPr>
                <w:spacing w:val="-1"/>
                <w:sz w:val="18"/>
                <w:szCs w:val="18"/>
              </w:rPr>
              <w:t>X＜20</w:t>
            </w:r>
          </w:p>
          <w:p w14:paraId="67855DB2">
            <w:pPr>
              <w:pStyle w:val="31"/>
              <w:keepNext w:val="0"/>
              <w:keepLines w:val="0"/>
              <w:pageBreakBefore w:val="0"/>
              <w:kinsoku/>
              <w:wordWrap/>
              <w:overflowPunct/>
              <w:topLinePunct w:val="0"/>
              <w:bidi w:val="0"/>
              <w:spacing w:before="162"/>
              <w:ind w:left="212"/>
              <w:rPr>
                <w:sz w:val="18"/>
                <w:szCs w:val="18"/>
              </w:rPr>
            </w:pPr>
            <w:r>
              <w:rPr>
                <w:sz w:val="18"/>
                <w:szCs w:val="18"/>
              </w:rPr>
              <w:t>Y＜100</w:t>
            </w:r>
          </w:p>
        </w:tc>
      </w:tr>
      <w:tr w14:paraId="6B8F6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056" w:type="dxa"/>
            <w:shd w:val="clear" w:color="auto" w:fill="00B0F0"/>
            <w:vAlign w:val="top"/>
          </w:tcPr>
          <w:p w14:paraId="0A034F2A">
            <w:pPr>
              <w:keepNext w:val="0"/>
              <w:keepLines w:val="0"/>
              <w:pageBreakBefore w:val="0"/>
              <w:kinsoku/>
              <w:wordWrap/>
              <w:overflowPunct/>
              <w:topLinePunct w:val="0"/>
              <w:bidi w:val="0"/>
              <w:spacing w:line="245" w:lineRule="auto"/>
              <w:rPr>
                <w:rFonts w:ascii="Arial"/>
                <w:sz w:val="21"/>
              </w:rPr>
            </w:pPr>
          </w:p>
          <w:p w14:paraId="2A116202">
            <w:pPr>
              <w:pStyle w:val="31"/>
              <w:keepNext w:val="0"/>
              <w:keepLines w:val="0"/>
              <w:pageBreakBefore w:val="0"/>
              <w:kinsoku/>
              <w:wordWrap/>
              <w:overflowPunct/>
              <w:topLinePunct w:val="0"/>
              <w:bidi w:val="0"/>
              <w:spacing w:before="59" w:line="221" w:lineRule="auto"/>
              <w:ind w:left="128"/>
              <w:rPr>
                <w:sz w:val="18"/>
                <w:szCs w:val="18"/>
              </w:rPr>
            </w:pPr>
            <w:r>
              <w:rPr>
                <w:spacing w:val="-6"/>
                <w:sz w:val="18"/>
                <w:szCs w:val="18"/>
              </w:rPr>
              <w:t>邮政业</w:t>
            </w:r>
          </w:p>
        </w:tc>
        <w:tc>
          <w:tcPr>
            <w:tcW w:w="1331" w:type="dxa"/>
            <w:shd w:val="clear" w:color="auto" w:fill="00B0F0"/>
            <w:vAlign w:val="top"/>
          </w:tcPr>
          <w:p w14:paraId="04C3E512">
            <w:pPr>
              <w:pStyle w:val="31"/>
              <w:keepNext w:val="0"/>
              <w:keepLines w:val="0"/>
              <w:pageBreakBefore w:val="0"/>
              <w:kinsoku/>
              <w:wordWrap/>
              <w:overflowPunct/>
              <w:topLinePunct w:val="0"/>
              <w:bidi w:val="0"/>
              <w:spacing w:before="109" w:line="220" w:lineRule="auto"/>
              <w:ind w:left="168"/>
              <w:rPr>
                <w:sz w:val="18"/>
                <w:szCs w:val="18"/>
              </w:rPr>
            </w:pPr>
            <w:r>
              <w:rPr>
                <w:sz w:val="18"/>
                <w:szCs w:val="18"/>
              </w:rPr>
              <w:t>从业人员(X)</w:t>
            </w:r>
          </w:p>
          <w:p w14:paraId="4F604A44">
            <w:pPr>
              <w:pStyle w:val="31"/>
              <w:keepNext w:val="0"/>
              <w:keepLines w:val="0"/>
              <w:pageBreakBefore w:val="0"/>
              <w:kinsoku/>
              <w:wordWrap/>
              <w:overflowPunct/>
              <w:topLinePunct w:val="0"/>
              <w:bidi w:val="0"/>
              <w:spacing w:before="181" w:line="219" w:lineRule="auto"/>
              <w:ind w:left="172"/>
              <w:rPr>
                <w:sz w:val="18"/>
                <w:szCs w:val="18"/>
              </w:rPr>
            </w:pPr>
            <w:r>
              <w:rPr>
                <w:spacing w:val="-1"/>
                <w:sz w:val="18"/>
                <w:szCs w:val="18"/>
              </w:rPr>
              <w:t>营业收入(Y)</w:t>
            </w:r>
          </w:p>
        </w:tc>
        <w:tc>
          <w:tcPr>
            <w:tcW w:w="694" w:type="dxa"/>
            <w:shd w:val="clear" w:color="auto" w:fill="00B0F0"/>
            <w:vAlign w:val="top"/>
          </w:tcPr>
          <w:p w14:paraId="7F954552">
            <w:pPr>
              <w:pStyle w:val="31"/>
              <w:keepNext w:val="0"/>
              <w:keepLines w:val="0"/>
              <w:pageBreakBefore w:val="0"/>
              <w:kinsoku/>
              <w:wordWrap/>
              <w:overflowPunct/>
              <w:topLinePunct w:val="0"/>
              <w:bidi w:val="0"/>
              <w:spacing w:before="109" w:line="222" w:lineRule="auto"/>
              <w:ind w:left="260"/>
              <w:rPr>
                <w:sz w:val="18"/>
                <w:szCs w:val="18"/>
              </w:rPr>
            </w:pPr>
            <w:r>
              <w:rPr>
                <w:sz w:val="18"/>
                <w:szCs w:val="18"/>
              </w:rPr>
              <w:t>人</w:t>
            </w:r>
          </w:p>
          <w:p w14:paraId="7078EDF2">
            <w:pPr>
              <w:pStyle w:val="31"/>
              <w:keepNext w:val="0"/>
              <w:keepLines w:val="0"/>
              <w:pageBreakBefore w:val="0"/>
              <w:kinsoku/>
              <w:wordWrap/>
              <w:overflowPunct/>
              <w:topLinePunct w:val="0"/>
              <w:bidi w:val="0"/>
              <w:spacing w:before="179" w:line="220" w:lineRule="auto"/>
              <w:ind w:left="172"/>
              <w:rPr>
                <w:sz w:val="18"/>
                <w:szCs w:val="18"/>
              </w:rPr>
            </w:pPr>
            <w:r>
              <w:rPr>
                <w:spacing w:val="-5"/>
                <w:sz w:val="18"/>
                <w:szCs w:val="18"/>
              </w:rPr>
              <w:t>万元</w:t>
            </w:r>
          </w:p>
        </w:tc>
        <w:tc>
          <w:tcPr>
            <w:tcW w:w="1095" w:type="dxa"/>
            <w:shd w:val="clear" w:color="auto" w:fill="00B0F0"/>
            <w:vAlign w:val="top"/>
          </w:tcPr>
          <w:p w14:paraId="3D4F6A09">
            <w:pPr>
              <w:pStyle w:val="31"/>
              <w:keepNext w:val="0"/>
              <w:keepLines w:val="0"/>
              <w:pageBreakBefore w:val="0"/>
              <w:kinsoku/>
              <w:wordWrap/>
              <w:overflowPunct/>
              <w:topLinePunct w:val="0"/>
              <w:bidi w:val="0"/>
              <w:spacing w:before="109" w:line="237" w:lineRule="auto"/>
              <w:ind w:left="230"/>
              <w:rPr>
                <w:sz w:val="18"/>
                <w:szCs w:val="18"/>
              </w:rPr>
            </w:pPr>
            <w:r>
              <w:rPr>
                <w:spacing w:val="-1"/>
                <w:sz w:val="18"/>
                <w:szCs w:val="18"/>
              </w:rPr>
              <w:t>X≥1000</w:t>
            </w:r>
          </w:p>
          <w:p w14:paraId="57FD833B">
            <w:pPr>
              <w:pStyle w:val="31"/>
              <w:keepNext w:val="0"/>
              <w:keepLines w:val="0"/>
              <w:pageBreakBefore w:val="0"/>
              <w:kinsoku/>
              <w:wordWrap/>
              <w:overflowPunct/>
              <w:topLinePunct w:val="0"/>
              <w:bidi w:val="0"/>
              <w:spacing w:before="164" w:line="237" w:lineRule="auto"/>
              <w:ind w:left="183"/>
              <w:rPr>
                <w:sz w:val="18"/>
                <w:szCs w:val="18"/>
              </w:rPr>
            </w:pPr>
            <w:r>
              <w:rPr>
                <w:sz w:val="18"/>
                <w:szCs w:val="18"/>
              </w:rPr>
              <w:t>Y≥30000</w:t>
            </w:r>
          </w:p>
        </w:tc>
        <w:tc>
          <w:tcPr>
            <w:tcW w:w="1653" w:type="dxa"/>
            <w:shd w:val="clear" w:color="auto" w:fill="00B0F0"/>
            <w:vAlign w:val="top"/>
          </w:tcPr>
          <w:p w14:paraId="44E36FEA">
            <w:pPr>
              <w:pStyle w:val="31"/>
              <w:keepNext w:val="0"/>
              <w:keepLines w:val="0"/>
              <w:pageBreakBefore w:val="0"/>
              <w:kinsoku/>
              <w:wordWrap/>
              <w:overflowPunct/>
              <w:topLinePunct w:val="0"/>
              <w:bidi w:val="0"/>
              <w:spacing w:before="109" w:line="343" w:lineRule="auto"/>
              <w:ind w:left="192" w:right="188" w:firstLine="95"/>
              <w:rPr>
                <w:sz w:val="18"/>
                <w:szCs w:val="18"/>
              </w:rPr>
            </w:pPr>
            <w:r>
              <w:rPr>
                <w:sz w:val="18"/>
                <w:szCs w:val="18"/>
              </w:rPr>
              <w:t>300≤X＜1000 2000≤Y＜30000</w:t>
            </w:r>
          </w:p>
        </w:tc>
        <w:tc>
          <w:tcPr>
            <w:tcW w:w="1387" w:type="dxa"/>
            <w:shd w:val="clear" w:color="auto" w:fill="00B0F0"/>
            <w:vAlign w:val="top"/>
          </w:tcPr>
          <w:p w14:paraId="05035860">
            <w:pPr>
              <w:pStyle w:val="31"/>
              <w:keepNext w:val="0"/>
              <w:keepLines w:val="0"/>
              <w:pageBreakBefore w:val="0"/>
              <w:kinsoku/>
              <w:wordWrap/>
              <w:overflowPunct/>
              <w:topLinePunct w:val="0"/>
              <w:bidi w:val="0"/>
              <w:spacing w:before="109" w:line="236" w:lineRule="auto"/>
              <w:ind w:left="289"/>
              <w:rPr>
                <w:sz w:val="18"/>
                <w:szCs w:val="18"/>
              </w:rPr>
            </w:pPr>
            <w:r>
              <w:rPr>
                <w:sz w:val="18"/>
                <w:szCs w:val="18"/>
              </w:rPr>
              <w:t>20≤X＜300</w:t>
            </w:r>
          </w:p>
          <w:p w14:paraId="424693B0">
            <w:pPr>
              <w:pStyle w:val="31"/>
              <w:keepNext w:val="0"/>
              <w:keepLines w:val="0"/>
              <w:pageBreakBefore w:val="0"/>
              <w:kinsoku/>
              <w:wordWrap/>
              <w:overflowPunct/>
              <w:topLinePunct w:val="0"/>
              <w:bidi w:val="0"/>
              <w:spacing w:before="129" w:line="236" w:lineRule="auto"/>
              <w:ind w:left="391"/>
              <w:rPr>
                <w:sz w:val="18"/>
                <w:szCs w:val="18"/>
              </w:rPr>
            </w:pPr>
            <w:r>
              <w:rPr>
                <w:spacing w:val="9"/>
                <w:sz w:val="18"/>
                <w:szCs w:val="18"/>
              </w:rPr>
              <w:t>100≤Y&lt;</w:t>
            </w:r>
          </w:p>
        </w:tc>
        <w:tc>
          <w:tcPr>
            <w:tcW w:w="972" w:type="dxa"/>
            <w:shd w:val="clear" w:color="auto" w:fill="00B0F0"/>
            <w:vAlign w:val="top"/>
          </w:tcPr>
          <w:p w14:paraId="6FAE9E06">
            <w:pPr>
              <w:pStyle w:val="31"/>
              <w:keepNext w:val="0"/>
              <w:keepLines w:val="0"/>
              <w:pageBreakBefore w:val="0"/>
              <w:kinsoku/>
              <w:wordWrap/>
              <w:overflowPunct/>
              <w:topLinePunct w:val="0"/>
              <w:bidi w:val="0"/>
              <w:spacing w:before="108"/>
              <w:ind w:left="259"/>
              <w:rPr>
                <w:sz w:val="18"/>
                <w:szCs w:val="18"/>
              </w:rPr>
            </w:pPr>
            <w:r>
              <w:rPr>
                <w:spacing w:val="-1"/>
                <w:sz w:val="18"/>
                <w:szCs w:val="18"/>
              </w:rPr>
              <w:t>X＜20</w:t>
            </w:r>
          </w:p>
          <w:p w14:paraId="39FE17B6">
            <w:pPr>
              <w:pStyle w:val="31"/>
              <w:keepNext w:val="0"/>
              <w:keepLines w:val="0"/>
              <w:pageBreakBefore w:val="0"/>
              <w:kinsoku/>
              <w:wordWrap/>
              <w:overflowPunct/>
              <w:topLinePunct w:val="0"/>
              <w:bidi w:val="0"/>
              <w:spacing w:before="161"/>
              <w:ind w:left="212"/>
              <w:rPr>
                <w:sz w:val="18"/>
                <w:szCs w:val="18"/>
              </w:rPr>
            </w:pPr>
            <w:r>
              <w:rPr>
                <w:sz w:val="18"/>
                <w:szCs w:val="18"/>
              </w:rPr>
              <w:t>Y＜100</w:t>
            </w:r>
          </w:p>
        </w:tc>
      </w:tr>
      <w:tr w14:paraId="64FD5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2056" w:type="dxa"/>
            <w:vAlign w:val="top"/>
          </w:tcPr>
          <w:p w14:paraId="0810F915">
            <w:pPr>
              <w:keepNext w:val="0"/>
              <w:keepLines w:val="0"/>
              <w:pageBreakBefore w:val="0"/>
              <w:kinsoku/>
              <w:wordWrap/>
              <w:overflowPunct/>
              <w:topLinePunct w:val="0"/>
              <w:bidi w:val="0"/>
              <w:spacing w:line="247" w:lineRule="auto"/>
              <w:rPr>
                <w:rFonts w:ascii="Arial"/>
                <w:sz w:val="21"/>
              </w:rPr>
            </w:pPr>
          </w:p>
          <w:p w14:paraId="511C90B8">
            <w:pPr>
              <w:pStyle w:val="31"/>
              <w:keepNext w:val="0"/>
              <w:keepLines w:val="0"/>
              <w:pageBreakBefore w:val="0"/>
              <w:kinsoku/>
              <w:wordWrap/>
              <w:overflowPunct/>
              <w:topLinePunct w:val="0"/>
              <w:bidi w:val="0"/>
              <w:spacing w:before="59" w:line="219" w:lineRule="auto"/>
              <w:ind w:left="114"/>
              <w:rPr>
                <w:sz w:val="18"/>
                <w:szCs w:val="18"/>
              </w:rPr>
            </w:pPr>
            <w:r>
              <w:rPr>
                <w:spacing w:val="-1"/>
                <w:sz w:val="18"/>
                <w:szCs w:val="18"/>
              </w:rPr>
              <w:t>住宿业</w:t>
            </w:r>
          </w:p>
        </w:tc>
        <w:tc>
          <w:tcPr>
            <w:tcW w:w="1331" w:type="dxa"/>
            <w:vAlign w:val="top"/>
          </w:tcPr>
          <w:p w14:paraId="3958B5BA">
            <w:pPr>
              <w:pStyle w:val="31"/>
              <w:keepNext w:val="0"/>
              <w:keepLines w:val="0"/>
              <w:pageBreakBefore w:val="0"/>
              <w:kinsoku/>
              <w:wordWrap/>
              <w:overflowPunct/>
              <w:topLinePunct w:val="0"/>
              <w:bidi w:val="0"/>
              <w:spacing w:before="108" w:line="220" w:lineRule="auto"/>
              <w:ind w:left="168"/>
              <w:rPr>
                <w:sz w:val="18"/>
                <w:szCs w:val="18"/>
              </w:rPr>
            </w:pPr>
            <w:r>
              <w:rPr>
                <w:sz w:val="18"/>
                <w:szCs w:val="18"/>
              </w:rPr>
              <w:t>从业人员(X)</w:t>
            </w:r>
          </w:p>
          <w:p w14:paraId="4151191A">
            <w:pPr>
              <w:pStyle w:val="31"/>
              <w:keepNext w:val="0"/>
              <w:keepLines w:val="0"/>
              <w:pageBreakBefore w:val="0"/>
              <w:kinsoku/>
              <w:wordWrap/>
              <w:overflowPunct/>
              <w:topLinePunct w:val="0"/>
              <w:bidi w:val="0"/>
              <w:spacing w:before="184" w:line="219" w:lineRule="auto"/>
              <w:ind w:left="172"/>
              <w:rPr>
                <w:sz w:val="18"/>
                <w:szCs w:val="18"/>
              </w:rPr>
            </w:pPr>
            <w:r>
              <w:rPr>
                <w:spacing w:val="-1"/>
                <w:sz w:val="18"/>
                <w:szCs w:val="18"/>
              </w:rPr>
              <w:t>营业收入(Y)</w:t>
            </w:r>
          </w:p>
        </w:tc>
        <w:tc>
          <w:tcPr>
            <w:tcW w:w="694" w:type="dxa"/>
            <w:vAlign w:val="top"/>
          </w:tcPr>
          <w:p w14:paraId="60BA4ED8">
            <w:pPr>
              <w:pStyle w:val="31"/>
              <w:keepNext w:val="0"/>
              <w:keepLines w:val="0"/>
              <w:pageBreakBefore w:val="0"/>
              <w:kinsoku/>
              <w:wordWrap/>
              <w:overflowPunct/>
              <w:topLinePunct w:val="0"/>
              <w:bidi w:val="0"/>
              <w:spacing w:before="108" w:line="344" w:lineRule="auto"/>
              <w:ind w:left="172" w:right="165" w:firstLine="88"/>
              <w:rPr>
                <w:sz w:val="18"/>
                <w:szCs w:val="18"/>
              </w:rPr>
            </w:pPr>
            <w:r>
              <w:rPr>
                <w:spacing w:val="-9"/>
                <w:sz w:val="18"/>
                <w:szCs w:val="18"/>
              </w:rPr>
              <w:t>人</w:t>
            </w:r>
            <w:r>
              <w:rPr>
                <w:spacing w:val="-5"/>
                <w:sz w:val="18"/>
                <w:szCs w:val="18"/>
              </w:rPr>
              <w:t>万元</w:t>
            </w:r>
          </w:p>
        </w:tc>
        <w:tc>
          <w:tcPr>
            <w:tcW w:w="1095" w:type="dxa"/>
            <w:vAlign w:val="top"/>
          </w:tcPr>
          <w:p w14:paraId="1306E70B">
            <w:pPr>
              <w:pStyle w:val="31"/>
              <w:keepNext w:val="0"/>
              <w:keepLines w:val="0"/>
              <w:pageBreakBefore w:val="0"/>
              <w:kinsoku/>
              <w:wordWrap/>
              <w:overflowPunct/>
              <w:topLinePunct w:val="0"/>
              <w:bidi w:val="0"/>
              <w:spacing w:before="108" w:line="237" w:lineRule="auto"/>
              <w:ind w:left="275"/>
              <w:rPr>
                <w:sz w:val="18"/>
                <w:szCs w:val="18"/>
              </w:rPr>
            </w:pPr>
            <w:r>
              <w:rPr>
                <w:spacing w:val="-1"/>
                <w:sz w:val="18"/>
                <w:szCs w:val="18"/>
              </w:rPr>
              <w:t>X≥300</w:t>
            </w:r>
          </w:p>
          <w:p w14:paraId="51FC5B74">
            <w:pPr>
              <w:pStyle w:val="31"/>
              <w:keepNext w:val="0"/>
              <w:keepLines w:val="0"/>
              <w:pageBreakBefore w:val="0"/>
              <w:kinsoku/>
              <w:wordWrap/>
              <w:overflowPunct/>
              <w:topLinePunct w:val="0"/>
              <w:bidi w:val="0"/>
              <w:spacing w:before="167" w:line="237" w:lineRule="auto"/>
              <w:ind w:left="183"/>
              <w:rPr>
                <w:sz w:val="18"/>
                <w:szCs w:val="18"/>
              </w:rPr>
            </w:pPr>
            <w:r>
              <w:rPr>
                <w:sz w:val="18"/>
                <w:szCs w:val="18"/>
              </w:rPr>
              <w:t>Y≥10000</w:t>
            </w:r>
          </w:p>
        </w:tc>
        <w:tc>
          <w:tcPr>
            <w:tcW w:w="1653" w:type="dxa"/>
            <w:vAlign w:val="top"/>
          </w:tcPr>
          <w:p w14:paraId="40BF61AB">
            <w:pPr>
              <w:pStyle w:val="31"/>
              <w:keepNext w:val="0"/>
              <w:keepLines w:val="0"/>
              <w:pageBreakBefore w:val="0"/>
              <w:kinsoku/>
              <w:wordWrap/>
              <w:overflowPunct/>
              <w:topLinePunct w:val="0"/>
              <w:bidi w:val="0"/>
              <w:spacing w:before="108" w:line="236" w:lineRule="auto"/>
              <w:ind w:left="340"/>
              <w:rPr>
                <w:sz w:val="18"/>
                <w:szCs w:val="18"/>
              </w:rPr>
            </w:pPr>
            <w:r>
              <w:rPr>
                <w:spacing w:val="-1"/>
                <w:sz w:val="18"/>
                <w:szCs w:val="18"/>
              </w:rPr>
              <w:t>100≤X＜300</w:t>
            </w:r>
          </w:p>
          <w:p w14:paraId="1B7E22BD">
            <w:pPr>
              <w:pStyle w:val="31"/>
              <w:keepNext w:val="0"/>
              <w:keepLines w:val="0"/>
              <w:pageBreakBefore w:val="0"/>
              <w:kinsoku/>
              <w:wordWrap/>
              <w:overflowPunct/>
              <w:topLinePunct w:val="0"/>
              <w:bidi w:val="0"/>
              <w:spacing w:before="168" w:line="236" w:lineRule="auto"/>
              <w:ind w:left="192"/>
              <w:rPr>
                <w:sz w:val="18"/>
                <w:szCs w:val="18"/>
              </w:rPr>
            </w:pPr>
            <w:r>
              <w:rPr>
                <w:sz w:val="18"/>
                <w:szCs w:val="18"/>
              </w:rPr>
              <w:t>2000≤Y＜10000</w:t>
            </w:r>
          </w:p>
        </w:tc>
        <w:tc>
          <w:tcPr>
            <w:tcW w:w="1387" w:type="dxa"/>
            <w:vAlign w:val="top"/>
          </w:tcPr>
          <w:p w14:paraId="49B133BC">
            <w:pPr>
              <w:pStyle w:val="31"/>
              <w:keepNext w:val="0"/>
              <w:keepLines w:val="0"/>
              <w:pageBreakBefore w:val="0"/>
              <w:kinsoku/>
              <w:wordWrap/>
              <w:overflowPunct/>
              <w:topLinePunct w:val="0"/>
              <w:bidi w:val="0"/>
              <w:spacing w:before="108" w:line="236" w:lineRule="auto"/>
              <w:ind w:left="300"/>
              <w:rPr>
                <w:sz w:val="18"/>
                <w:szCs w:val="18"/>
              </w:rPr>
            </w:pPr>
            <w:r>
              <w:rPr>
                <w:spacing w:val="-2"/>
                <w:sz w:val="18"/>
                <w:szCs w:val="18"/>
              </w:rPr>
              <w:t>10≤X＜100</w:t>
            </w:r>
          </w:p>
          <w:p w14:paraId="0D4FCE59">
            <w:pPr>
              <w:pStyle w:val="31"/>
              <w:keepNext w:val="0"/>
              <w:keepLines w:val="0"/>
              <w:pageBreakBefore w:val="0"/>
              <w:kinsoku/>
              <w:wordWrap/>
              <w:overflowPunct/>
              <w:topLinePunct w:val="0"/>
              <w:bidi w:val="0"/>
              <w:spacing w:before="132" w:line="236" w:lineRule="auto"/>
              <w:ind w:left="391"/>
              <w:rPr>
                <w:sz w:val="18"/>
                <w:szCs w:val="18"/>
              </w:rPr>
            </w:pPr>
            <w:r>
              <w:rPr>
                <w:spacing w:val="9"/>
                <w:sz w:val="18"/>
                <w:szCs w:val="18"/>
              </w:rPr>
              <w:t>100≤Y&lt;</w:t>
            </w:r>
          </w:p>
        </w:tc>
        <w:tc>
          <w:tcPr>
            <w:tcW w:w="972" w:type="dxa"/>
            <w:vAlign w:val="top"/>
          </w:tcPr>
          <w:p w14:paraId="3D8714BD">
            <w:pPr>
              <w:pStyle w:val="31"/>
              <w:keepNext w:val="0"/>
              <w:keepLines w:val="0"/>
              <w:pageBreakBefore w:val="0"/>
              <w:kinsoku/>
              <w:wordWrap/>
              <w:overflowPunct/>
              <w:topLinePunct w:val="0"/>
              <w:bidi w:val="0"/>
              <w:spacing w:before="107"/>
              <w:ind w:left="259"/>
              <w:rPr>
                <w:sz w:val="18"/>
                <w:szCs w:val="18"/>
              </w:rPr>
            </w:pPr>
            <w:r>
              <w:rPr>
                <w:spacing w:val="-1"/>
                <w:sz w:val="18"/>
                <w:szCs w:val="18"/>
              </w:rPr>
              <w:t>X＜10</w:t>
            </w:r>
          </w:p>
          <w:p w14:paraId="4FD175AC">
            <w:pPr>
              <w:pStyle w:val="31"/>
              <w:keepNext w:val="0"/>
              <w:keepLines w:val="0"/>
              <w:pageBreakBefore w:val="0"/>
              <w:kinsoku/>
              <w:wordWrap/>
              <w:overflowPunct/>
              <w:topLinePunct w:val="0"/>
              <w:bidi w:val="0"/>
              <w:spacing w:before="164"/>
              <w:ind w:left="212"/>
              <w:rPr>
                <w:sz w:val="18"/>
                <w:szCs w:val="18"/>
              </w:rPr>
            </w:pPr>
            <w:r>
              <w:rPr>
                <w:sz w:val="18"/>
                <w:szCs w:val="18"/>
              </w:rPr>
              <w:t>Y＜100</w:t>
            </w:r>
          </w:p>
        </w:tc>
      </w:tr>
      <w:tr w14:paraId="2B978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2056" w:type="dxa"/>
            <w:shd w:val="clear" w:color="auto" w:fill="00B0F0"/>
            <w:vAlign w:val="top"/>
          </w:tcPr>
          <w:p w14:paraId="615A7FC7">
            <w:pPr>
              <w:keepNext w:val="0"/>
              <w:keepLines w:val="0"/>
              <w:pageBreakBefore w:val="0"/>
              <w:kinsoku/>
              <w:wordWrap/>
              <w:overflowPunct/>
              <w:topLinePunct w:val="0"/>
              <w:bidi w:val="0"/>
              <w:spacing w:line="248" w:lineRule="auto"/>
              <w:rPr>
                <w:rFonts w:ascii="Arial"/>
                <w:sz w:val="21"/>
              </w:rPr>
            </w:pPr>
          </w:p>
          <w:p w14:paraId="6E1B0F57">
            <w:pPr>
              <w:pStyle w:val="31"/>
              <w:keepNext w:val="0"/>
              <w:keepLines w:val="0"/>
              <w:pageBreakBefore w:val="0"/>
              <w:kinsoku/>
              <w:wordWrap/>
              <w:overflowPunct/>
              <w:topLinePunct w:val="0"/>
              <w:bidi w:val="0"/>
              <w:spacing w:before="58" w:line="219" w:lineRule="auto"/>
              <w:ind w:left="117"/>
              <w:rPr>
                <w:sz w:val="18"/>
                <w:szCs w:val="18"/>
              </w:rPr>
            </w:pPr>
            <w:r>
              <w:rPr>
                <w:spacing w:val="-2"/>
                <w:sz w:val="18"/>
                <w:szCs w:val="18"/>
              </w:rPr>
              <w:t>餐饮业</w:t>
            </w:r>
          </w:p>
        </w:tc>
        <w:tc>
          <w:tcPr>
            <w:tcW w:w="1331" w:type="dxa"/>
            <w:shd w:val="clear" w:color="auto" w:fill="00B0F0"/>
            <w:vAlign w:val="top"/>
          </w:tcPr>
          <w:p w14:paraId="7418AC6A">
            <w:pPr>
              <w:pStyle w:val="31"/>
              <w:keepNext w:val="0"/>
              <w:keepLines w:val="0"/>
              <w:pageBreakBefore w:val="0"/>
              <w:kinsoku/>
              <w:wordWrap/>
              <w:overflowPunct/>
              <w:topLinePunct w:val="0"/>
              <w:bidi w:val="0"/>
              <w:spacing w:before="108" w:line="220" w:lineRule="auto"/>
              <w:ind w:left="168"/>
              <w:rPr>
                <w:sz w:val="18"/>
                <w:szCs w:val="18"/>
              </w:rPr>
            </w:pPr>
            <w:r>
              <w:rPr>
                <w:sz w:val="18"/>
                <w:szCs w:val="18"/>
              </w:rPr>
              <w:t>从业人员(X)</w:t>
            </w:r>
          </w:p>
          <w:p w14:paraId="7C2C8928">
            <w:pPr>
              <w:pStyle w:val="31"/>
              <w:keepNext w:val="0"/>
              <w:keepLines w:val="0"/>
              <w:pageBreakBefore w:val="0"/>
              <w:kinsoku/>
              <w:wordWrap/>
              <w:overflowPunct/>
              <w:topLinePunct w:val="0"/>
              <w:bidi w:val="0"/>
              <w:spacing w:before="184" w:line="219" w:lineRule="auto"/>
              <w:ind w:left="172"/>
              <w:rPr>
                <w:sz w:val="18"/>
                <w:szCs w:val="18"/>
              </w:rPr>
            </w:pPr>
            <w:r>
              <w:rPr>
                <w:spacing w:val="-1"/>
                <w:sz w:val="18"/>
                <w:szCs w:val="18"/>
              </w:rPr>
              <w:t>营业收入(Y)</w:t>
            </w:r>
          </w:p>
        </w:tc>
        <w:tc>
          <w:tcPr>
            <w:tcW w:w="694" w:type="dxa"/>
            <w:shd w:val="clear" w:color="auto" w:fill="00B0F0"/>
            <w:vAlign w:val="top"/>
          </w:tcPr>
          <w:p w14:paraId="72AC5154">
            <w:pPr>
              <w:pStyle w:val="31"/>
              <w:keepNext w:val="0"/>
              <w:keepLines w:val="0"/>
              <w:pageBreakBefore w:val="0"/>
              <w:kinsoku/>
              <w:wordWrap/>
              <w:overflowPunct/>
              <w:topLinePunct w:val="0"/>
              <w:bidi w:val="0"/>
              <w:spacing w:before="108" w:line="222" w:lineRule="auto"/>
              <w:ind w:left="260"/>
              <w:rPr>
                <w:sz w:val="18"/>
                <w:szCs w:val="18"/>
              </w:rPr>
            </w:pPr>
            <w:r>
              <w:rPr>
                <w:sz w:val="18"/>
                <w:szCs w:val="18"/>
              </w:rPr>
              <w:t>人</w:t>
            </w:r>
          </w:p>
          <w:p w14:paraId="3E927757">
            <w:pPr>
              <w:pStyle w:val="31"/>
              <w:keepNext w:val="0"/>
              <w:keepLines w:val="0"/>
              <w:pageBreakBefore w:val="0"/>
              <w:kinsoku/>
              <w:wordWrap/>
              <w:overflowPunct/>
              <w:topLinePunct w:val="0"/>
              <w:bidi w:val="0"/>
              <w:spacing w:before="181" w:line="220" w:lineRule="auto"/>
              <w:ind w:left="172"/>
              <w:rPr>
                <w:sz w:val="18"/>
                <w:szCs w:val="18"/>
              </w:rPr>
            </w:pPr>
            <w:r>
              <w:rPr>
                <w:spacing w:val="-5"/>
                <w:sz w:val="18"/>
                <w:szCs w:val="18"/>
              </w:rPr>
              <w:t>万元</w:t>
            </w:r>
          </w:p>
        </w:tc>
        <w:tc>
          <w:tcPr>
            <w:tcW w:w="1095" w:type="dxa"/>
            <w:shd w:val="clear" w:color="auto" w:fill="00B0F0"/>
            <w:vAlign w:val="top"/>
          </w:tcPr>
          <w:p w14:paraId="19FCD25E">
            <w:pPr>
              <w:pStyle w:val="31"/>
              <w:keepNext w:val="0"/>
              <w:keepLines w:val="0"/>
              <w:pageBreakBefore w:val="0"/>
              <w:kinsoku/>
              <w:wordWrap/>
              <w:overflowPunct/>
              <w:topLinePunct w:val="0"/>
              <w:bidi w:val="0"/>
              <w:spacing w:before="109" w:line="237" w:lineRule="auto"/>
              <w:ind w:left="275"/>
              <w:rPr>
                <w:sz w:val="18"/>
                <w:szCs w:val="18"/>
              </w:rPr>
            </w:pPr>
            <w:r>
              <w:rPr>
                <w:spacing w:val="-1"/>
                <w:sz w:val="18"/>
                <w:szCs w:val="18"/>
              </w:rPr>
              <w:t>X≥300</w:t>
            </w:r>
          </w:p>
          <w:p w14:paraId="0571CD61">
            <w:pPr>
              <w:pStyle w:val="31"/>
              <w:keepNext w:val="0"/>
              <w:keepLines w:val="0"/>
              <w:pageBreakBefore w:val="0"/>
              <w:kinsoku/>
              <w:wordWrap/>
              <w:overflowPunct/>
              <w:topLinePunct w:val="0"/>
              <w:bidi w:val="0"/>
              <w:spacing w:before="167" w:line="237" w:lineRule="auto"/>
              <w:ind w:left="183"/>
              <w:rPr>
                <w:sz w:val="18"/>
                <w:szCs w:val="18"/>
              </w:rPr>
            </w:pPr>
            <w:r>
              <w:rPr>
                <w:sz w:val="18"/>
                <w:szCs w:val="18"/>
              </w:rPr>
              <w:t>Y≥10000</w:t>
            </w:r>
          </w:p>
        </w:tc>
        <w:tc>
          <w:tcPr>
            <w:tcW w:w="1653" w:type="dxa"/>
            <w:shd w:val="clear" w:color="auto" w:fill="00B0F0"/>
            <w:vAlign w:val="top"/>
          </w:tcPr>
          <w:p w14:paraId="772273DC">
            <w:pPr>
              <w:pStyle w:val="31"/>
              <w:keepNext w:val="0"/>
              <w:keepLines w:val="0"/>
              <w:pageBreakBefore w:val="0"/>
              <w:kinsoku/>
              <w:wordWrap/>
              <w:overflowPunct/>
              <w:topLinePunct w:val="0"/>
              <w:bidi w:val="0"/>
              <w:spacing w:before="108" w:line="344" w:lineRule="auto"/>
              <w:ind w:left="192" w:right="188" w:firstLine="147"/>
              <w:rPr>
                <w:sz w:val="18"/>
                <w:szCs w:val="18"/>
              </w:rPr>
            </w:pPr>
            <w:r>
              <w:rPr>
                <w:spacing w:val="-1"/>
                <w:sz w:val="18"/>
                <w:szCs w:val="18"/>
              </w:rPr>
              <w:t>100≤X＜300</w:t>
            </w:r>
            <w:r>
              <w:rPr>
                <w:spacing w:val="1"/>
                <w:sz w:val="18"/>
                <w:szCs w:val="18"/>
              </w:rPr>
              <w:t xml:space="preserve"> </w:t>
            </w:r>
            <w:r>
              <w:rPr>
                <w:sz w:val="18"/>
                <w:szCs w:val="18"/>
              </w:rPr>
              <w:t>2000≤Y＜10000</w:t>
            </w:r>
          </w:p>
        </w:tc>
        <w:tc>
          <w:tcPr>
            <w:tcW w:w="1387" w:type="dxa"/>
            <w:shd w:val="clear" w:color="auto" w:fill="00B0F0"/>
            <w:vAlign w:val="top"/>
          </w:tcPr>
          <w:p w14:paraId="0377CC3F">
            <w:pPr>
              <w:pStyle w:val="31"/>
              <w:keepNext w:val="0"/>
              <w:keepLines w:val="0"/>
              <w:pageBreakBefore w:val="0"/>
              <w:kinsoku/>
              <w:wordWrap/>
              <w:overflowPunct/>
              <w:topLinePunct w:val="0"/>
              <w:bidi w:val="0"/>
              <w:spacing w:before="108" w:line="236" w:lineRule="auto"/>
              <w:ind w:left="300"/>
              <w:rPr>
                <w:sz w:val="18"/>
                <w:szCs w:val="18"/>
              </w:rPr>
            </w:pPr>
            <w:r>
              <w:rPr>
                <w:spacing w:val="-2"/>
                <w:sz w:val="18"/>
                <w:szCs w:val="18"/>
              </w:rPr>
              <w:t>10≤X＜100</w:t>
            </w:r>
          </w:p>
          <w:p w14:paraId="05297FF9">
            <w:pPr>
              <w:pStyle w:val="31"/>
              <w:keepNext w:val="0"/>
              <w:keepLines w:val="0"/>
              <w:pageBreakBefore w:val="0"/>
              <w:kinsoku/>
              <w:wordWrap/>
              <w:overflowPunct/>
              <w:topLinePunct w:val="0"/>
              <w:bidi w:val="0"/>
              <w:spacing w:before="132" w:line="236" w:lineRule="auto"/>
              <w:ind w:left="391"/>
              <w:rPr>
                <w:sz w:val="18"/>
                <w:szCs w:val="18"/>
              </w:rPr>
            </w:pPr>
            <w:r>
              <w:rPr>
                <w:spacing w:val="9"/>
                <w:sz w:val="18"/>
                <w:szCs w:val="18"/>
              </w:rPr>
              <w:t>100≤Y&lt;</w:t>
            </w:r>
          </w:p>
        </w:tc>
        <w:tc>
          <w:tcPr>
            <w:tcW w:w="972" w:type="dxa"/>
            <w:shd w:val="clear" w:color="auto" w:fill="00B0F0"/>
            <w:vAlign w:val="top"/>
          </w:tcPr>
          <w:p w14:paraId="683D23BE">
            <w:pPr>
              <w:pStyle w:val="31"/>
              <w:keepNext w:val="0"/>
              <w:keepLines w:val="0"/>
              <w:pageBreakBefore w:val="0"/>
              <w:kinsoku/>
              <w:wordWrap/>
              <w:overflowPunct/>
              <w:topLinePunct w:val="0"/>
              <w:bidi w:val="0"/>
              <w:spacing w:before="108"/>
              <w:ind w:left="259"/>
              <w:rPr>
                <w:sz w:val="18"/>
                <w:szCs w:val="18"/>
              </w:rPr>
            </w:pPr>
            <w:r>
              <w:rPr>
                <w:spacing w:val="-1"/>
                <w:sz w:val="18"/>
                <w:szCs w:val="18"/>
              </w:rPr>
              <w:t>X＜10</w:t>
            </w:r>
          </w:p>
          <w:p w14:paraId="25B5319D">
            <w:pPr>
              <w:pStyle w:val="31"/>
              <w:keepNext w:val="0"/>
              <w:keepLines w:val="0"/>
              <w:pageBreakBefore w:val="0"/>
              <w:kinsoku/>
              <w:wordWrap/>
              <w:overflowPunct/>
              <w:topLinePunct w:val="0"/>
              <w:bidi w:val="0"/>
              <w:spacing w:before="164"/>
              <w:ind w:left="212"/>
              <w:rPr>
                <w:sz w:val="18"/>
                <w:szCs w:val="18"/>
              </w:rPr>
            </w:pPr>
            <w:r>
              <w:rPr>
                <w:sz w:val="18"/>
                <w:szCs w:val="18"/>
              </w:rPr>
              <w:t>Y＜100</w:t>
            </w:r>
          </w:p>
        </w:tc>
      </w:tr>
      <w:tr w14:paraId="778EC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2056" w:type="dxa"/>
            <w:vAlign w:val="top"/>
          </w:tcPr>
          <w:p w14:paraId="50AB7975">
            <w:pPr>
              <w:keepNext w:val="0"/>
              <w:keepLines w:val="0"/>
              <w:pageBreakBefore w:val="0"/>
              <w:kinsoku/>
              <w:wordWrap/>
              <w:overflowPunct/>
              <w:topLinePunct w:val="0"/>
              <w:bidi w:val="0"/>
              <w:spacing w:line="247" w:lineRule="auto"/>
              <w:rPr>
                <w:rFonts w:ascii="Arial"/>
                <w:sz w:val="21"/>
              </w:rPr>
            </w:pPr>
          </w:p>
          <w:p w14:paraId="60578DE7">
            <w:pPr>
              <w:pStyle w:val="31"/>
              <w:keepNext w:val="0"/>
              <w:keepLines w:val="0"/>
              <w:pageBreakBefore w:val="0"/>
              <w:kinsoku/>
              <w:wordWrap/>
              <w:overflowPunct/>
              <w:topLinePunct w:val="0"/>
              <w:bidi w:val="0"/>
              <w:spacing w:before="59" w:line="219" w:lineRule="auto"/>
              <w:ind w:left="115"/>
              <w:rPr>
                <w:sz w:val="18"/>
                <w:szCs w:val="18"/>
              </w:rPr>
            </w:pPr>
            <w:r>
              <w:rPr>
                <w:spacing w:val="2"/>
                <w:sz w:val="18"/>
                <w:szCs w:val="18"/>
              </w:rPr>
              <w:t>信息传输业 *</w:t>
            </w:r>
          </w:p>
        </w:tc>
        <w:tc>
          <w:tcPr>
            <w:tcW w:w="1331" w:type="dxa"/>
            <w:vAlign w:val="top"/>
          </w:tcPr>
          <w:p w14:paraId="13DE94BE">
            <w:pPr>
              <w:pStyle w:val="31"/>
              <w:keepNext w:val="0"/>
              <w:keepLines w:val="0"/>
              <w:pageBreakBefore w:val="0"/>
              <w:kinsoku/>
              <w:wordWrap/>
              <w:overflowPunct/>
              <w:topLinePunct w:val="0"/>
              <w:bidi w:val="0"/>
              <w:spacing w:before="109" w:line="220" w:lineRule="auto"/>
              <w:ind w:left="168"/>
              <w:rPr>
                <w:sz w:val="18"/>
                <w:szCs w:val="18"/>
              </w:rPr>
            </w:pPr>
            <w:r>
              <w:rPr>
                <w:sz w:val="18"/>
                <w:szCs w:val="18"/>
              </w:rPr>
              <w:t>从业人员(X)</w:t>
            </w:r>
          </w:p>
          <w:p w14:paraId="4BA86633">
            <w:pPr>
              <w:pStyle w:val="31"/>
              <w:keepNext w:val="0"/>
              <w:keepLines w:val="0"/>
              <w:pageBreakBefore w:val="0"/>
              <w:kinsoku/>
              <w:wordWrap/>
              <w:overflowPunct/>
              <w:topLinePunct w:val="0"/>
              <w:bidi w:val="0"/>
              <w:spacing w:before="181" w:line="219" w:lineRule="auto"/>
              <w:ind w:left="172"/>
              <w:rPr>
                <w:sz w:val="18"/>
                <w:szCs w:val="18"/>
              </w:rPr>
            </w:pPr>
            <w:r>
              <w:rPr>
                <w:spacing w:val="-1"/>
                <w:sz w:val="18"/>
                <w:szCs w:val="18"/>
              </w:rPr>
              <w:t>营业收入(Y)</w:t>
            </w:r>
          </w:p>
        </w:tc>
        <w:tc>
          <w:tcPr>
            <w:tcW w:w="694" w:type="dxa"/>
            <w:vAlign w:val="top"/>
          </w:tcPr>
          <w:p w14:paraId="588B693A">
            <w:pPr>
              <w:pStyle w:val="31"/>
              <w:keepNext w:val="0"/>
              <w:keepLines w:val="0"/>
              <w:pageBreakBefore w:val="0"/>
              <w:kinsoku/>
              <w:wordWrap/>
              <w:overflowPunct/>
              <w:topLinePunct w:val="0"/>
              <w:bidi w:val="0"/>
              <w:spacing w:before="110" w:line="343" w:lineRule="auto"/>
              <w:ind w:left="172" w:right="165" w:firstLine="88"/>
              <w:rPr>
                <w:sz w:val="18"/>
                <w:szCs w:val="18"/>
              </w:rPr>
            </w:pPr>
            <w:r>
              <w:rPr>
                <w:spacing w:val="-9"/>
                <w:sz w:val="18"/>
                <w:szCs w:val="18"/>
              </w:rPr>
              <w:t>人</w:t>
            </w:r>
            <w:r>
              <w:rPr>
                <w:spacing w:val="-5"/>
                <w:sz w:val="18"/>
                <w:szCs w:val="18"/>
              </w:rPr>
              <w:t>万元</w:t>
            </w:r>
          </w:p>
        </w:tc>
        <w:tc>
          <w:tcPr>
            <w:tcW w:w="1095" w:type="dxa"/>
            <w:vAlign w:val="top"/>
          </w:tcPr>
          <w:p w14:paraId="40DA41E3">
            <w:pPr>
              <w:pStyle w:val="31"/>
              <w:keepNext w:val="0"/>
              <w:keepLines w:val="0"/>
              <w:pageBreakBefore w:val="0"/>
              <w:kinsoku/>
              <w:wordWrap/>
              <w:overflowPunct/>
              <w:topLinePunct w:val="0"/>
              <w:bidi w:val="0"/>
              <w:spacing w:before="109" w:line="237" w:lineRule="auto"/>
              <w:ind w:left="230"/>
              <w:rPr>
                <w:sz w:val="18"/>
                <w:szCs w:val="18"/>
              </w:rPr>
            </w:pPr>
            <w:r>
              <w:rPr>
                <w:spacing w:val="-1"/>
                <w:sz w:val="18"/>
                <w:szCs w:val="18"/>
              </w:rPr>
              <w:t>X≥2000</w:t>
            </w:r>
          </w:p>
          <w:p w14:paraId="35DC2C86">
            <w:pPr>
              <w:pStyle w:val="31"/>
              <w:keepNext w:val="0"/>
              <w:keepLines w:val="0"/>
              <w:pageBreakBefore w:val="0"/>
              <w:kinsoku/>
              <w:wordWrap/>
              <w:overflowPunct/>
              <w:topLinePunct w:val="0"/>
              <w:bidi w:val="0"/>
              <w:spacing w:before="164" w:line="237" w:lineRule="auto"/>
              <w:ind w:left="138"/>
              <w:rPr>
                <w:sz w:val="18"/>
                <w:szCs w:val="18"/>
              </w:rPr>
            </w:pPr>
            <w:r>
              <w:rPr>
                <w:sz w:val="18"/>
                <w:szCs w:val="18"/>
              </w:rPr>
              <w:t>Y≥100000</w:t>
            </w:r>
          </w:p>
        </w:tc>
        <w:tc>
          <w:tcPr>
            <w:tcW w:w="1653" w:type="dxa"/>
            <w:vAlign w:val="top"/>
          </w:tcPr>
          <w:p w14:paraId="7F31AC44">
            <w:pPr>
              <w:pStyle w:val="31"/>
              <w:keepNext w:val="0"/>
              <w:keepLines w:val="0"/>
              <w:pageBreakBefore w:val="0"/>
              <w:kinsoku/>
              <w:wordWrap/>
              <w:overflowPunct/>
              <w:topLinePunct w:val="0"/>
              <w:bidi w:val="0"/>
              <w:spacing w:before="109" w:line="236" w:lineRule="auto"/>
              <w:ind w:left="297"/>
              <w:rPr>
                <w:sz w:val="18"/>
                <w:szCs w:val="18"/>
              </w:rPr>
            </w:pPr>
            <w:r>
              <w:rPr>
                <w:spacing w:val="-1"/>
                <w:sz w:val="18"/>
                <w:szCs w:val="18"/>
              </w:rPr>
              <w:t>100≤X＜2000</w:t>
            </w:r>
          </w:p>
          <w:p w14:paraId="16EF7D1F">
            <w:pPr>
              <w:pStyle w:val="31"/>
              <w:keepNext w:val="0"/>
              <w:keepLines w:val="0"/>
              <w:pageBreakBefore w:val="0"/>
              <w:kinsoku/>
              <w:wordWrap/>
              <w:overflowPunct/>
              <w:topLinePunct w:val="0"/>
              <w:bidi w:val="0"/>
              <w:spacing w:before="132" w:line="236" w:lineRule="auto"/>
              <w:ind w:left="480"/>
              <w:rPr>
                <w:sz w:val="18"/>
                <w:szCs w:val="18"/>
              </w:rPr>
            </w:pPr>
            <w:r>
              <w:rPr>
                <w:spacing w:val="8"/>
                <w:sz w:val="18"/>
                <w:szCs w:val="18"/>
              </w:rPr>
              <w:t>1000≤Y&lt;</w:t>
            </w:r>
          </w:p>
        </w:tc>
        <w:tc>
          <w:tcPr>
            <w:tcW w:w="1387" w:type="dxa"/>
            <w:vAlign w:val="top"/>
          </w:tcPr>
          <w:p w14:paraId="77BD7C02">
            <w:pPr>
              <w:pStyle w:val="31"/>
              <w:keepNext w:val="0"/>
              <w:keepLines w:val="0"/>
              <w:pageBreakBefore w:val="0"/>
              <w:kinsoku/>
              <w:wordWrap/>
              <w:overflowPunct/>
              <w:topLinePunct w:val="0"/>
              <w:bidi w:val="0"/>
              <w:spacing w:before="109" w:line="236" w:lineRule="auto"/>
              <w:ind w:left="300"/>
              <w:rPr>
                <w:sz w:val="18"/>
                <w:szCs w:val="18"/>
              </w:rPr>
            </w:pPr>
            <w:r>
              <w:rPr>
                <w:spacing w:val="-2"/>
                <w:sz w:val="18"/>
                <w:szCs w:val="18"/>
              </w:rPr>
              <w:t>10≤X＜100</w:t>
            </w:r>
          </w:p>
          <w:p w14:paraId="58863CBD">
            <w:pPr>
              <w:pStyle w:val="31"/>
              <w:keepNext w:val="0"/>
              <w:keepLines w:val="0"/>
              <w:pageBreakBefore w:val="0"/>
              <w:kinsoku/>
              <w:wordWrap/>
              <w:overflowPunct/>
              <w:topLinePunct w:val="0"/>
              <w:bidi w:val="0"/>
              <w:spacing w:before="132" w:line="236" w:lineRule="auto"/>
              <w:ind w:left="391"/>
              <w:rPr>
                <w:sz w:val="18"/>
                <w:szCs w:val="18"/>
              </w:rPr>
            </w:pPr>
            <w:r>
              <w:rPr>
                <w:spacing w:val="9"/>
                <w:sz w:val="18"/>
                <w:szCs w:val="18"/>
              </w:rPr>
              <w:t>100≤Y&lt;</w:t>
            </w:r>
          </w:p>
        </w:tc>
        <w:tc>
          <w:tcPr>
            <w:tcW w:w="972" w:type="dxa"/>
            <w:vAlign w:val="top"/>
          </w:tcPr>
          <w:p w14:paraId="30B7F1DF">
            <w:pPr>
              <w:pStyle w:val="31"/>
              <w:keepNext w:val="0"/>
              <w:keepLines w:val="0"/>
              <w:pageBreakBefore w:val="0"/>
              <w:kinsoku/>
              <w:wordWrap/>
              <w:overflowPunct/>
              <w:topLinePunct w:val="0"/>
              <w:bidi w:val="0"/>
              <w:spacing w:before="108"/>
              <w:ind w:left="259"/>
              <w:rPr>
                <w:sz w:val="18"/>
                <w:szCs w:val="18"/>
              </w:rPr>
            </w:pPr>
            <w:r>
              <w:rPr>
                <w:spacing w:val="-1"/>
                <w:sz w:val="18"/>
                <w:szCs w:val="18"/>
              </w:rPr>
              <w:t>X＜10</w:t>
            </w:r>
          </w:p>
          <w:p w14:paraId="530CFA35">
            <w:pPr>
              <w:pStyle w:val="31"/>
              <w:keepNext w:val="0"/>
              <w:keepLines w:val="0"/>
              <w:pageBreakBefore w:val="0"/>
              <w:kinsoku/>
              <w:wordWrap/>
              <w:overflowPunct/>
              <w:topLinePunct w:val="0"/>
              <w:bidi w:val="0"/>
              <w:spacing w:before="161"/>
              <w:ind w:left="212"/>
              <w:rPr>
                <w:sz w:val="18"/>
                <w:szCs w:val="18"/>
              </w:rPr>
            </w:pPr>
            <w:r>
              <w:rPr>
                <w:sz w:val="18"/>
                <w:szCs w:val="18"/>
              </w:rPr>
              <w:t>Y＜100</w:t>
            </w:r>
          </w:p>
        </w:tc>
      </w:tr>
      <w:tr w14:paraId="30C8C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56" w:type="dxa"/>
            <w:shd w:val="clear" w:color="auto" w:fill="00B0F0"/>
            <w:vAlign w:val="top"/>
          </w:tcPr>
          <w:p w14:paraId="5C778944">
            <w:pPr>
              <w:pStyle w:val="31"/>
              <w:keepNext w:val="0"/>
              <w:keepLines w:val="0"/>
              <w:pageBreakBefore w:val="0"/>
              <w:kinsoku/>
              <w:wordWrap/>
              <w:overflowPunct/>
              <w:topLinePunct w:val="0"/>
              <w:bidi w:val="0"/>
              <w:spacing w:before="251" w:line="219" w:lineRule="auto"/>
              <w:ind w:left="117"/>
              <w:rPr>
                <w:sz w:val="18"/>
                <w:szCs w:val="18"/>
              </w:rPr>
            </w:pPr>
            <w:r>
              <w:rPr>
                <w:spacing w:val="1"/>
                <w:sz w:val="18"/>
                <w:szCs w:val="18"/>
              </w:rPr>
              <w:t>软件和信息技术服务业</w:t>
            </w:r>
          </w:p>
        </w:tc>
        <w:tc>
          <w:tcPr>
            <w:tcW w:w="1331" w:type="dxa"/>
            <w:shd w:val="clear" w:color="auto" w:fill="00B0F0"/>
            <w:vAlign w:val="top"/>
          </w:tcPr>
          <w:p w14:paraId="6AE41C24">
            <w:pPr>
              <w:pStyle w:val="31"/>
              <w:keepNext w:val="0"/>
              <w:keepLines w:val="0"/>
              <w:pageBreakBefore w:val="0"/>
              <w:kinsoku/>
              <w:wordWrap/>
              <w:overflowPunct/>
              <w:topLinePunct w:val="0"/>
              <w:bidi w:val="0"/>
              <w:spacing w:before="80" w:line="220" w:lineRule="auto"/>
              <w:ind w:left="168"/>
              <w:rPr>
                <w:sz w:val="18"/>
                <w:szCs w:val="18"/>
              </w:rPr>
            </w:pPr>
            <w:r>
              <w:rPr>
                <w:sz w:val="18"/>
                <w:szCs w:val="18"/>
              </w:rPr>
              <w:t>从业人员(X)</w:t>
            </w:r>
          </w:p>
          <w:p w14:paraId="4215EB7A">
            <w:pPr>
              <w:pStyle w:val="31"/>
              <w:keepNext w:val="0"/>
              <w:keepLines w:val="0"/>
              <w:pageBreakBefore w:val="0"/>
              <w:kinsoku/>
              <w:wordWrap/>
              <w:overflowPunct/>
              <w:topLinePunct w:val="0"/>
              <w:bidi w:val="0"/>
              <w:spacing w:before="124" w:line="219" w:lineRule="auto"/>
              <w:ind w:left="172"/>
              <w:rPr>
                <w:sz w:val="18"/>
                <w:szCs w:val="18"/>
              </w:rPr>
            </w:pPr>
            <w:r>
              <w:rPr>
                <w:spacing w:val="-1"/>
                <w:sz w:val="18"/>
                <w:szCs w:val="18"/>
              </w:rPr>
              <w:t>营业收入(Y)</w:t>
            </w:r>
          </w:p>
        </w:tc>
        <w:tc>
          <w:tcPr>
            <w:tcW w:w="694" w:type="dxa"/>
            <w:shd w:val="clear" w:color="auto" w:fill="00B0F0"/>
            <w:vAlign w:val="top"/>
          </w:tcPr>
          <w:p w14:paraId="15C1ABF1">
            <w:pPr>
              <w:pStyle w:val="31"/>
              <w:keepNext w:val="0"/>
              <w:keepLines w:val="0"/>
              <w:pageBreakBefore w:val="0"/>
              <w:kinsoku/>
              <w:wordWrap/>
              <w:overflowPunct/>
              <w:topLinePunct w:val="0"/>
              <w:bidi w:val="0"/>
              <w:spacing w:before="80" w:line="222" w:lineRule="auto"/>
              <w:ind w:left="260"/>
              <w:rPr>
                <w:sz w:val="18"/>
                <w:szCs w:val="18"/>
              </w:rPr>
            </w:pPr>
            <w:r>
              <w:rPr>
                <w:sz w:val="18"/>
                <w:szCs w:val="18"/>
              </w:rPr>
              <w:t>人</w:t>
            </w:r>
          </w:p>
          <w:p w14:paraId="2B56ADA3">
            <w:pPr>
              <w:pStyle w:val="31"/>
              <w:keepNext w:val="0"/>
              <w:keepLines w:val="0"/>
              <w:pageBreakBefore w:val="0"/>
              <w:kinsoku/>
              <w:wordWrap/>
              <w:overflowPunct/>
              <w:topLinePunct w:val="0"/>
              <w:bidi w:val="0"/>
              <w:spacing w:before="121" w:line="220" w:lineRule="auto"/>
              <w:ind w:left="172"/>
              <w:rPr>
                <w:sz w:val="18"/>
                <w:szCs w:val="18"/>
              </w:rPr>
            </w:pPr>
            <w:r>
              <w:rPr>
                <w:spacing w:val="-5"/>
                <w:sz w:val="18"/>
                <w:szCs w:val="18"/>
              </w:rPr>
              <w:t>万元</w:t>
            </w:r>
          </w:p>
        </w:tc>
        <w:tc>
          <w:tcPr>
            <w:tcW w:w="1095" w:type="dxa"/>
            <w:shd w:val="clear" w:color="auto" w:fill="00B0F0"/>
            <w:vAlign w:val="top"/>
          </w:tcPr>
          <w:p w14:paraId="1EFA21F9">
            <w:pPr>
              <w:pStyle w:val="31"/>
              <w:keepNext w:val="0"/>
              <w:keepLines w:val="0"/>
              <w:pageBreakBefore w:val="0"/>
              <w:kinsoku/>
              <w:wordWrap/>
              <w:overflowPunct/>
              <w:topLinePunct w:val="0"/>
              <w:bidi w:val="0"/>
              <w:spacing w:before="81" w:line="237" w:lineRule="auto"/>
              <w:ind w:left="275"/>
              <w:rPr>
                <w:sz w:val="18"/>
                <w:szCs w:val="18"/>
              </w:rPr>
            </w:pPr>
            <w:r>
              <w:rPr>
                <w:spacing w:val="-1"/>
                <w:sz w:val="18"/>
                <w:szCs w:val="18"/>
              </w:rPr>
              <w:t>X≥300</w:t>
            </w:r>
          </w:p>
          <w:p w14:paraId="59BEA1E6">
            <w:pPr>
              <w:pStyle w:val="31"/>
              <w:keepNext w:val="0"/>
              <w:keepLines w:val="0"/>
              <w:pageBreakBefore w:val="0"/>
              <w:kinsoku/>
              <w:wordWrap/>
              <w:overflowPunct/>
              <w:topLinePunct w:val="0"/>
              <w:bidi w:val="0"/>
              <w:spacing w:before="107" w:line="237" w:lineRule="auto"/>
              <w:ind w:left="183"/>
              <w:rPr>
                <w:sz w:val="18"/>
                <w:szCs w:val="18"/>
              </w:rPr>
            </w:pPr>
            <w:r>
              <w:rPr>
                <w:sz w:val="18"/>
                <w:szCs w:val="18"/>
              </w:rPr>
              <w:t>Y≥10000</w:t>
            </w:r>
          </w:p>
        </w:tc>
        <w:tc>
          <w:tcPr>
            <w:tcW w:w="1653" w:type="dxa"/>
            <w:shd w:val="clear" w:color="auto" w:fill="00B0F0"/>
            <w:vAlign w:val="top"/>
          </w:tcPr>
          <w:p w14:paraId="4AD30978">
            <w:pPr>
              <w:pStyle w:val="31"/>
              <w:keepNext w:val="0"/>
              <w:keepLines w:val="0"/>
              <w:pageBreakBefore w:val="0"/>
              <w:kinsoku/>
              <w:wordWrap/>
              <w:overflowPunct/>
              <w:topLinePunct w:val="0"/>
              <w:bidi w:val="0"/>
              <w:spacing w:before="80" w:line="236" w:lineRule="auto"/>
              <w:ind w:left="340"/>
              <w:rPr>
                <w:sz w:val="18"/>
                <w:szCs w:val="18"/>
              </w:rPr>
            </w:pPr>
            <w:r>
              <w:rPr>
                <w:spacing w:val="-1"/>
                <w:sz w:val="18"/>
                <w:szCs w:val="18"/>
              </w:rPr>
              <w:t>100≤X＜300</w:t>
            </w:r>
          </w:p>
          <w:p w14:paraId="51E41E16">
            <w:pPr>
              <w:pStyle w:val="31"/>
              <w:keepNext w:val="0"/>
              <w:keepLines w:val="0"/>
              <w:pageBreakBefore w:val="0"/>
              <w:kinsoku/>
              <w:wordWrap/>
              <w:overflowPunct/>
              <w:topLinePunct w:val="0"/>
              <w:bidi w:val="0"/>
              <w:spacing w:before="108" w:line="236" w:lineRule="auto"/>
              <w:ind w:left="204"/>
              <w:rPr>
                <w:sz w:val="18"/>
                <w:szCs w:val="18"/>
              </w:rPr>
            </w:pPr>
            <w:r>
              <w:rPr>
                <w:spacing w:val="-1"/>
                <w:sz w:val="18"/>
                <w:szCs w:val="18"/>
              </w:rPr>
              <w:t>1000≤Y＜10000</w:t>
            </w:r>
          </w:p>
        </w:tc>
        <w:tc>
          <w:tcPr>
            <w:tcW w:w="1387" w:type="dxa"/>
            <w:shd w:val="clear" w:color="auto" w:fill="00B0F0"/>
            <w:vAlign w:val="top"/>
          </w:tcPr>
          <w:p w14:paraId="567B0478">
            <w:pPr>
              <w:pStyle w:val="31"/>
              <w:keepNext w:val="0"/>
              <w:keepLines w:val="0"/>
              <w:pageBreakBefore w:val="0"/>
              <w:kinsoku/>
              <w:wordWrap/>
              <w:overflowPunct/>
              <w:topLinePunct w:val="0"/>
              <w:bidi w:val="0"/>
              <w:spacing w:before="80" w:line="236" w:lineRule="auto"/>
              <w:ind w:left="300"/>
              <w:rPr>
                <w:sz w:val="18"/>
                <w:szCs w:val="18"/>
              </w:rPr>
            </w:pPr>
            <w:r>
              <w:rPr>
                <w:spacing w:val="-2"/>
                <w:sz w:val="18"/>
                <w:szCs w:val="18"/>
              </w:rPr>
              <w:t>10≤X＜100</w:t>
            </w:r>
          </w:p>
          <w:p w14:paraId="1FEDA8F3">
            <w:pPr>
              <w:pStyle w:val="31"/>
              <w:keepNext w:val="0"/>
              <w:keepLines w:val="0"/>
              <w:pageBreakBefore w:val="0"/>
              <w:kinsoku/>
              <w:wordWrap/>
              <w:overflowPunct/>
              <w:topLinePunct w:val="0"/>
              <w:bidi w:val="0"/>
              <w:spacing w:before="103" w:line="236" w:lineRule="auto"/>
              <w:ind w:left="473"/>
              <w:rPr>
                <w:sz w:val="18"/>
                <w:szCs w:val="18"/>
              </w:rPr>
            </w:pPr>
            <w:r>
              <w:rPr>
                <w:spacing w:val="12"/>
                <w:sz w:val="18"/>
                <w:szCs w:val="18"/>
              </w:rPr>
              <w:t>50≤Y&lt;</w:t>
            </w:r>
          </w:p>
        </w:tc>
        <w:tc>
          <w:tcPr>
            <w:tcW w:w="972" w:type="dxa"/>
            <w:shd w:val="clear" w:color="auto" w:fill="00B0F0"/>
            <w:vAlign w:val="top"/>
          </w:tcPr>
          <w:p w14:paraId="053E3BDA">
            <w:pPr>
              <w:pStyle w:val="31"/>
              <w:keepNext w:val="0"/>
              <w:keepLines w:val="0"/>
              <w:pageBreakBefore w:val="0"/>
              <w:kinsoku/>
              <w:wordWrap/>
              <w:overflowPunct/>
              <w:topLinePunct w:val="0"/>
              <w:bidi w:val="0"/>
              <w:spacing w:before="80"/>
              <w:ind w:left="259"/>
              <w:rPr>
                <w:sz w:val="18"/>
                <w:szCs w:val="18"/>
              </w:rPr>
            </w:pPr>
            <w:r>
              <w:rPr>
                <w:spacing w:val="-1"/>
                <w:sz w:val="18"/>
                <w:szCs w:val="18"/>
              </w:rPr>
              <w:t>X＜10</w:t>
            </w:r>
          </w:p>
          <w:p w14:paraId="0AC0C856">
            <w:pPr>
              <w:pStyle w:val="31"/>
              <w:keepNext w:val="0"/>
              <w:keepLines w:val="0"/>
              <w:pageBreakBefore w:val="0"/>
              <w:kinsoku/>
              <w:wordWrap/>
              <w:overflowPunct/>
              <w:topLinePunct w:val="0"/>
              <w:bidi w:val="0"/>
              <w:spacing w:before="104"/>
              <w:ind w:left="258"/>
              <w:rPr>
                <w:sz w:val="18"/>
                <w:szCs w:val="18"/>
              </w:rPr>
            </w:pPr>
            <w:r>
              <w:rPr>
                <w:sz w:val="18"/>
                <w:szCs w:val="18"/>
              </w:rPr>
              <w:t>Y＜50</w:t>
            </w:r>
          </w:p>
        </w:tc>
      </w:tr>
      <w:tr w14:paraId="46183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56" w:type="dxa"/>
            <w:vAlign w:val="top"/>
          </w:tcPr>
          <w:p w14:paraId="3C91B724">
            <w:pPr>
              <w:pStyle w:val="31"/>
              <w:keepNext w:val="0"/>
              <w:keepLines w:val="0"/>
              <w:pageBreakBefore w:val="0"/>
              <w:kinsoku/>
              <w:wordWrap/>
              <w:overflowPunct/>
              <w:topLinePunct w:val="0"/>
              <w:bidi w:val="0"/>
              <w:spacing w:before="250" w:line="219" w:lineRule="auto"/>
              <w:ind w:left="116"/>
              <w:rPr>
                <w:sz w:val="18"/>
                <w:szCs w:val="18"/>
              </w:rPr>
            </w:pPr>
            <w:r>
              <w:rPr>
                <w:spacing w:val="1"/>
                <w:sz w:val="18"/>
                <w:szCs w:val="18"/>
              </w:rPr>
              <w:t>房地产开发经营</w:t>
            </w:r>
          </w:p>
        </w:tc>
        <w:tc>
          <w:tcPr>
            <w:tcW w:w="1331" w:type="dxa"/>
            <w:vAlign w:val="top"/>
          </w:tcPr>
          <w:p w14:paraId="33442BF2">
            <w:pPr>
              <w:pStyle w:val="31"/>
              <w:keepNext w:val="0"/>
              <w:keepLines w:val="0"/>
              <w:pageBreakBefore w:val="0"/>
              <w:kinsoku/>
              <w:wordWrap/>
              <w:overflowPunct/>
              <w:topLinePunct w:val="0"/>
              <w:bidi w:val="0"/>
              <w:spacing w:before="80" w:line="219" w:lineRule="auto"/>
              <w:ind w:left="172"/>
              <w:rPr>
                <w:sz w:val="18"/>
                <w:szCs w:val="18"/>
              </w:rPr>
            </w:pPr>
            <w:r>
              <w:rPr>
                <w:spacing w:val="-1"/>
                <w:sz w:val="18"/>
                <w:szCs w:val="18"/>
              </w:rPr>
              <w:t>营业收入(Y)</w:t>
            </w:r>
          </w:p>
          <w:p w14:paraId="18065E7E">
            <w:pPr>
              <w:pStyle w:val="31"/>
              <w:keepNext w:val="0"/>
              <w:keepLines w:val="0"/>
              <w:pageBreakBefore w:val="0"/>
              <w:kinsoku/>
              <w:wordWrap/>
              <w:overflowPunct/>
              <w:topLinePunct w:val="0"/>
              <w:bidi w:val="0"/>
              <w:spacing w:before="127" w:line="219" w:lineRule="auto"/>
              <w:ind w:left="174"/>
              <w:rPr>
                <w:sz w:val="18"/>
                <w:szCs w:val="18"/>
              </w:rPr>
            </w:pPr>
            <w:r>
              <w:rPr>
                <w:spacing w:val="-1"/>
                <w:sz w:val="18"/>
                <w:szCs w:val="18"/>
              </w:rPr>
              <w:t>资产总额(Z)</w:t>
            </w:r>
          </w:p>
        </w:tc>
        <w:tc>
          <w:tcPr>
            <w:tcW w:w="694" w:type="dxa"/>
            <w:vAlign w:val="top"/>
          </w:tcPr>
          <w:p w14:paraId="1F9C92BA">
            <w:pPr>
              <w:pStyle w:val="31"/>
              <w:keepNext w:val="0"/>
              <w:keepLines w:val="0"/>
              <w:pageBreakBefore w:val="0"/>
              <w:kinsoku/>
              <w:wordWrap/>
              <w:overflowPunct/>
              <w:topLinePunct w:val="0"/>
              <w:bidi w:val="0"/>
              <w:spacing w:before="80" w:line="220" w:lineRule="auto"/>
              <w:ind w:left="172"/>
              <w:rPr>
                <w:sz w:val="18"/>
                <w:szCs w:val="18"/>
              </w:rPr>
            </w:pPr>
            <w:r>
              <w:rPr>
                <w:spacing w:val="-5"/>
                <w:sz w:val="18"/>
                <w:szCs w:val="18"/>
              </w:rPr>
              <w:t>万元</w:t>
            </w:r>
          </w:p>
          <w:p w14:paraId="449B5D7D">
            <w:pPr>
              <w:pStyle w:val="31"/>
              <w:keepNext w:val="0"/>
              <w:keepLines w:val="0"/>
              <w:pageBreakBefore w:val="0"/>
              <w:kinsoku/>
              <w:wordWrap/>
              <w:overflowPunct/>
              <w:topLinePunct w:val="0"/>
              <w:bidi w:val="0"/>
              <w:spacing w:before="126" w:line="220" w:lineRule="auto"/>
              <w:ind w:left="172"/>
              <w:rPr>
                <w:sz w:val="18"/>
                <w:szCs w:val="18"/>
              </w:rPr>
            </w:pPr>
            <w:r>
              <w:rPr>
                <w:spacing w:val="-5"/>
                <w:sz w:val="18"/>
                <w:szCs w:val="18"/>
              </w:rPr>
              <w:t>万元</w:t>
            </w:r>
          </w:p>
        </w:tc>
        <w:tc>
          <w:tcPr>
            <w:tcW w:w="1095" w:type="dxa"/>
            <w:vAlign w:val="top"/>
          </w:tcPr>
          <w:p w14:paraId="4AB6BEC2">
            <w:pPr>
              <w:pStyle w:val="31"/>
              <w:keepNext w:val="0"/>
              <w:keepLines w:val="0"/>
              <w:pageBreakBefore w:val="0"/>
              <w:kinsoku/>
              <w:wordWrap/>
              <w:overflowPunct/>
              <w:topLinePunct w:val="0"/>
              <w:bidi w:val="0"/>
              <w:spacing w:before="80" w:line="237" w:lineRule="auto"/>
              <w:ind w:left="138"/>
              <w:rPr>
                <w:sz w:val="18"/>
                <w:szCs w:val="18"/>
              </w:rPr>
            </w:pPr>
            <w:r>
              <w:rPr>
                <w:sz w:val="18"/>
                <w:szCs w:val="18"/>
              </w:rPr>
              <w:t>Y≥200000</w:t>
            </w:r>
          </w:p>
          <w:p w14:paraId="42BE5FB9">
            <w:pPr>
              <w:pStyle w:val="31"/>
              <w:keepNext w:val="0"/>
              <w:keepLines w:val="0"/>
              <w:pageBreakBefore w:val="0"/>
              <w:kinsoku/>
              <w:wordWrap/>
              <w:overflowPunct/>
              <w:topLinePunct w:val="0"/>
              <w:bidi w:val="0"/>
              <w:spacing w:before="109" w:line="237" w:lineRule="auto"/>
              <w:ind w:left="185"/>
              <w:rPr>
                <w:sz w:val="18"/>
                <w:szCs w:val="18"/>
              </w:rPr>
            </w:pPr>
            <w:r>
              <w:rPr>
                <w:spacing w:val="-1"/>
                <w:sz w:val="18"/>
                <w:szCs w:val="18"/>
              </w:rPr>
              <w:t>Z≥10000</w:t>
            </w:r>
          </w:p>
        </w:tc>
        <w:tc>
          <w:tcPr>
            <w:tcW w:w="1653" w:type="dxa"/>
            <w:vAlign w:val="top"/>
          </w:tcPr>
          <w:p w14:paraId="0E05E590">
            <w:pPr>
              <w:pStyle w:val="31"/>
              <w:keepNext w:val="0"/>
              <w:keepLines w:val="0"/>
              <w:pageBreakBefore w:val="0"/>
              <w:kinsoku/>
              <w:wordWrap/>
              <w:overflowPunct/>
              <w:topLinePunct w:val="0"/>
              <w:bidi w:val="0"/>
              <w:spacing w:before="75" w:line="236" w:lineRule="auto"/>
              <w:ind w:left="480"/>
              <w:rPr>
                <w:sz w:val="18"/>
                <w:szCs w:val="18"/>
              </w:rPr>
            </w:pPr>
            <w:r>
              <w:rPr>
                <w:spacing w:val="8"/>
                <w:sz w:val="18"/>
                <w:szCs w:val="18"/>
              </w:rPr>
              <w:t>1000≤Y&lt;</w:t>
            </w:r>
          </w:p>
          <w:p w14:paraId="056D8009">
            <w:pPr>
              <w:pStyle w:val="31"/>
              <w:keepNext w:val="0"/>
              <w:keepLines w:val="0"/>
              <w:pageBreakBefore w:val="0"/>
              <w:kinsoku/>
              <w:wordWrap/>
              <w:overflowPunct/>
              <w:topLinePunct w:val="0"/>
              <w:bidi w:val="0"/>
              <w:spacing w:before="115" w:line="236" w:lineRule="auto"/>
              <w:ind w:left="194"/>
              <w:rPr>
                <w:sz w:val="18"/>
                <w:szCs w:val="18"/>
              </w:rPr>
            </w:pPr>
            <w:r>
              <w:rPr>
                <w:sz w:val="18"/>
                <w:szCs w:val="18"/>
              </w:rPr>
              <w:t>5000≤Z＜10000</w:t>
            </w:r>
          </w:p>
        </w:tc>
        <w:tc>
          <w:tcPr>
            <w:tcW w:w="1387" w:type="dxa"/>
            <w:vAlign w:val="top"/>
          </w:tcPr>
          <w:p w14:paraId="4EB3FDBE">
            <w:pPr>
              <w:pStyle w:val="31"/>
              <w:keepNext w:val="0"/>
              <w:keepLines w:val="0"/>
              <w:pageBreakBefore w:val="0"/>
              <w:kinsoku/>
              <w:wordWrap/>
              <w:overflowPunct/>
              <w:topLinePunct w:val="0"/>
              <w:bidi w:val="0"/>
              <w:spacing w:before="75" w:line="236" w:lineRule="auto"/>
              <w:ind w:left="391"/>
              <w:rPr>
                <w:sz w:val="18"/>
                <w:szCs w:val="18"/>
              </w:rPr>
            </w:pPr>
            <w:r>
              <w:rPr>
                <w:spacing w:val="9"/>
                <w:sz w:val="18"/>
                <w:szCs w:val="18"/>
              </w:rPr>
              <w:t>100≤Y&lt;</w:t>
            </w:r>
          </w:p>
          <w:p w14:paraId="08735050">
            <w:pPr>
              <w:pStyle w:val="31"/>
              <w:keepNext w:val="0"/>
              <w:keepLines w:val="0"/>
              <w:pageBreakBefore w:val="0"/>
              <w:kinsoku/>
              <w:wordWrap/>
              <w:overflowPunct/>
              <w:topLinePunct w:val="0"/>
              <w:bidi w:val="0"/>
              <w:spacing w:before="108" w:line="236" w:lineRule="auto"/>
              <w:ind w:left="291"/>
              <w:rPr>
                <w:sz w:val="18"/>
                <w:szCs w:val="18"/>
              </w:rPr>
            </w:pPr>
            <w:r>
              <w:rPr>
                <w:spacing w:val="9"/>
                <w:sz w:val="18"/>
                <w:szCs w:val="18"/>
              </w:rPr>
              <w:t>2000≤Z&lt;</w:t>
            </w:r>
          </w:p>
        </w:tc>
        <w:tc>
          <w:tcPr>
            <w:tcW w:w="972" w:type="dxa"/>
            <w:vAlign w:val="top"/>
          </w:tcPr>
          <w:p w14:paraId="16D5B3DB">
            <w:pPr>
              <w:pStyle w:val="31"/>
              <w:keepNext w:val="0"/>
              <w:keepLines w:val="0"/>
              <w:pageBreakBefore w:val="0"/>
              <w:kinsoku/>
              <w:wordWrap/>
              <w:overflowPunct/>
              <w:topLinePunct w:val="0"/>
              <w:bidi w:val="0"/>
              <w:spacing w:before="79"/>
              <w:ind w:left="212"/>
              <w:rPr>
                <w:sz w:val="18"/>
                <w:szCs w:val="18"/>
              </w:rPr>
            </w:pPr>
            <w:r>
              <w:rPr>
                <w:sz w:val="18"/>
                <w:szCs w:val="18"/>
              </w:rPr>
              <w:t>Y＜100</w:t>
            </w:r>
          </w:p>
          <w:p w14:paraId="5199CF85">
            <w:pPr>
              <w:pStyle w:val="31"/>
              <w:keepNext w:val="0"/>
              <w:keepLines w:val="0"/>
              <w:pageBreakBefore w:val="0"/>
              <w:kinsoku/>
              <w:wordWrap/>
              <w:overflowPunct/>
              <w:topLinePunct w:val="0"/>
              <w:bidi w:val="0"/>
              <w:spacing w:before="106"/>
              <w:ind w:left="169"/>
              <w:rPr>
                <w:sz w:val="18"/>
                <w:szCs w:val="18"/>
              </w:rPr>
            </w:pPr>
            <w:r>
              <w:rPr>
                <w:sz w:val="18"/>
                <w:szCs w:val="18"/>
              </w:rPr>
              <w:t>Z＜2000</w:t>
            </w:r>
          </w:p>
        </w:tc>
      </w:tr>
      <w:tr w14:paraId="33AD3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56" w:type="dxa"/>
            <w:shd w:val="clear" w:color="auto" w:fill="00B0F0"/>
            <w:vAlign w:val="top"/>
          </w:tcPr>
          <w:p w14:paraId="6E51D795">
            <w:pPr>
              <w:pStyle w:val="31"/>
              <w:keepNext w:val="0"/>
              <w:keepLines w:val="0"/>
              <w:pageBreakBefore w:val="0"/>
              <w:kinsoku/>
              <w:wordWrap/>
              <w:overflowPunct/>
              <w:topLinePunct w:val="0"/>
              <w:bidi w:val="0"/>
              <w:spacing w:before="249" w:line="219" w:lineRule="auto"/>
              <w:ind w:left="115"/>
              <w:rPr>
                <w:sz w:val="18"/>
                <w:szCs w:val="18"/>
              </w:rPr>
            </w:pPr>
            <w:r>
              <w:rPr>
                <w:sz w:val="18"/>
                <w:szCs w:val="18"/>
              </w:rPr>
              <w:t>物业管理</w:t>
            </w:r>
          </w:p>
        </w:tc>
        <w:tc>
          <w:tcPr>
            <w:tcW w:w="1331" w:type="dxa"/>
            <w:shd w:val="clear" w:color="auto" w:fill="00B0F0"/>
            <w:vAlign w:val="top"/>
          </w:tcPr>
          <w:p w14:paraId="015518F4">
            <w:pPr>
              <w:pStyle w:val="31"/>
              <w:keepNext w:val="0"/>
              <w:keepLines w:val="0"/>
              <w:pageBreakBefore w:val="0"/>
              <w:kinsoku/>
              <w:wordWrap/>
              <w:overflowPunct/>
              <w:topLinePunct w:val="0"/>
              <w:bidi w:val="0"/>
              <w:spacing w:before="79" w:line="220" w:lineRule="auto"/>
              <w:ind w:left="168"/>
              <w:rPr>
                <w:sz w:val="18"/>
                <w:szCs w:val="18"/>
              </w:rPr>
            </w:pPr>
            <w:r>
              <w:rPr>
                <w:sz w:val="18"/>
                <w:szCs w:val="18"/>
              </w:rPr>
              <w:t>从业人员(X)</w:t>
            </w:r>
          </w:p>
          <w:p w14:paraId="43C5D563">
            <w:pPr>
              <w:pStyle w:val="31"/>
              <w:keepNext w:val="0"/>
              <w:keepLines w:val="0"/>
              <w:pageBreakBefore w:val="0"/>
              <w:kinsoku/>
              <w:wordWrap/>
              <w:overflowPunct/>
              <w:topLinePunct w:val="0"/>
              <w:bidi w:val="0"/>
              <w:spacing w:before="126" w:line="219" w:lineRule="auto"/>
              <w:ind w:left="172"/>
              <w:rPr>
                <w:sz w:val="18"/>
                <w:szCs w:val="18"/>
              </w:rPr>
            </w:pPr>
            <w:r>
              <w:rPr>
                <w:spacing w:val="-1"/>
                <w:sz w:val="18"/>
                <w:szCs w:val="18"/>
              </w:rPr>
              <w:t>营业收入(Y)</w:t>
            </w:r>
          </w:p>
        </w:tc>
        <w:tc>
          <w:tcPr>
            <w:tcW w:w="694" w:type="dxa"/>
            <w:shd w:val="clear" w:color="auto" w:fill="00B0F0"/>
            <w:vAlign w:val="top"/>
          </w:tcPr>
          <w:p w14:paraId="699C4616">
            <w:pPr>
              <w:pStyle w:val="31"/>
              <w:keepNext w:val="0"/>
              <w:keepLines w:val="0"/>
              <w:pageBreakBefore w:val="0"/>
              <w:kinsoku/>
              <w:wordWrap/>
              <w:overflowPunct/>
              <w:topLinePunct w:val="0"/>
              <w:bidi w:val="0"/>
              <w:spacing w:before="79" w:line="222" w:lineRule="auto"/>
              <w:ind w:left="260"/>
              <w:rPr>
                <w:sz w:val="18"/>
                <w:szCs w:val="18"/>
              </w:rPr>
            </w:pPr>
            <w:r>
              <w:rPr>
                <w:sz w:val="18"/>
                <w:szCs w:val="18"/>
              </w:rPr>
              <w:t>人</w:t>
            </w:r>
          </w:p>
          <w:p w14:paraId="4932CB9F">
            <w:pPr>
              <w:pStyle w:val="31"/>
              <w:keepNext w:val="0"/>
              <w:keepLines w:val="0"/>
              <w:pageBreakBefore w:val="0"/>
              <w:kinsoku/>
              <w:wordWrap/>
              <w:overflowPunct/>
              <w:topLinePunct w:val="0"/>
              <w:bidi w:val="0"/>
              <w:spacing w:before="124" w:line="220" w:lineRule="auto"/>
              <w:ind w:left="172"/>
              <w:rPr>
                <w:sz w:val="18"/>
                <w:szCs w:val="18"/>
              </w:rPr>
            </w:pPr>
            <w:r>
              <w:rPr>
                <w:spacing w:val="-5"/>
                <w:sz w:val="18"/>
                <w:szCs w:val="18"/>
              </w:rPr>
              <w:t>万元</w:t>
            </w:r>
          </w:p>
        </w:tc>
        <w:tc>
          <w:tcPr>
            <w:tcW w:w="1095" w:type="dxa"/>
            <w:shd w:val="clear" w:color="auto" w:fill="00B0F0"/>
            <w:vAlign w:val="top"/>
          </w:tcPr>
          <w:p w14:paraId="792A0E09">
            <w:pPr>
              <w:pStyle w:val="31"/>
              <w:keepNext w:val="0"/>
              <w:keepLines w:val="0"/>
              <w:pageBreakBefore w:val="0"/>
              <w:kinsoku/>
              <w:wordWrap/>
              <w:overflowPunct/>
              <w:topLinePunct w:val="0"/>
              <w:bidi w:val="0"/>
              <w:spacing w:before="79" w:line="237" w:lineRule="auto"/>
              <w:ind w:left="230"/>
              <w:rPr>
                <w:sz w:val="18"/>
                <w:szCs w:val="18"/>
              </w:rPr>
            </w:pPr>
            <w:r>
              <w:rPr>
                <w:spacing w:val="-1"/>
                <w:sz w:val="18"/>
                <w:szCs w:val="18"/>
              </w:rPr>
              <w:t>X≥1000</w:t>
            </w:r>
          </w:p>
          <w:p w14:paraId="5D406FBF">
            <w:pPr>
              <w:pStyle w:val="31"/>
              <w:keepNext w:val="0"/>
              <w:keepLines w:val="0"/>
              <w:pageBreakBefore w:val="0"/>
              <w:kinsoku/>
              <w:wordWrap/>
              <w:overflowPunct/>
              <w:topLinePunct w:val="0"/>
              <w:bidi w:val="0"/>
              <w:spacing w:before="109" w:line="237" w:lineRule="auto"/>
              <w:ind w:left="229"/>
              <w:rPr>
                <w:sz w:val="18"/>
                <w:szCs w:val="18"/>
              </w:rPr>
            </w:pPr>
            <w:r>
              <w:rPr>
                <w:sz w:val="18"/>
                <w:szCs w:val="18"/>
              </w:rPr>
              <w:t>Y≥5000</w:t>
            </w:r>
          </w:p>
        </w:tc>
        <w:tc>
          <w:tcPr>
            <w:tcW w:w="1653" w:type="dxa"/>
            <w:shd w:val="clear" w:color="auto" w:fill="00B0F0"/>
            <w:vAlign w:val="top"/>
          </w:tcPr>
          <w:p w14:paraId="08B34A96">
            <w:pPr>
              <w:pStyle w:val="31"/>
              <w:keepNext w:val="0"/>
              <w:keepLines w:val="0"/>
              <w:pageBreakBefore w:val="0"/>
              <w:kinsoku/>
              <w:wordWrap/>
              <w:overflowPunct/>
              <w:topLinePunct w:val="0"/>
              <w:bidi w:val="0"/>
              <w:spacing w:before="80" w:line="300" w:lineRule="auto"/>
              <w:ind w:left="252" w:right="231" w:firstLine="35"/>
              <w:rPr>
                <w:sz w:val="18"/>
                <w:szCs w:val="18"/>
              </w:rPr>
            </w:pPr>
            <w:r>
              <w:rPr>
                <w:sz w:val="18"/>
                <w:szCs w:val="18"/>
              </w:rPr>
              <w:t>300≤X＜1000</w:t>
            </w:r>
            <w:r>
              <w:rPr>
                <w:spacing w:val="1"/>
                <w:sz w:val="18"/>
                <w:szCs w:val="18"/>
              </w:rPr>
              <w:t xml:space="preserve"> </w:t>
            </w:r>
            <w:r>
              <w:rPr>
                <w:spacing w:val="-1"/>
                <w:sz w:val="18"/>
                <w:szCs w:val="18"/>
              </w:rPr>
              <w:t>1000≤Y＜5000</w:t>
            </w:r>
          </w:p>
        </w:tc>
        <w:tc>
          <w:tcPr>
            <w:tcW w:w="1387" w:type="dxa"/>
            <w:shd w:val="clear" w:color="auto" w:fill="00B0F0"/>
            <w:vAlign w:val="top"/>
          </w:tcPr>
          <w:p w14:paraId="04B705F0">
            <w:pPr>
              <w:pStyle w:val="31"/>
              <w:keepNext w:val="0"/>
              <w:keepLines w:val="0"/>
              <w:pageBreakBefore w:val="0"/>
              <w:kinsoku/>
              <w:wordWrap/>
              <w:overflowPunct/>
              <w:topLinePunct w:val="0"/>
              <w:bidi w:val="0"/>
              <w:spacing w:before="79" w:line="236" w:lineRule="auto"/>
              <w:ind w:left="209"/>
              <w:rPr>
                <w:sz w:val="18"/>
                <w:szCs w:val="18"/>
              </w:rPr>
            </w:pPr>
            <w:r>
              <w:rPr>
                <w:spacing w:val="-1"/>
                <w:sz w:val="18"/>
                <w:szCs w:val="18"/>
              </w:rPr>
              <w:t>100≤X＜300</w:t>
            </w:r>
          </w:p>
          <w:p w14:paraId="561C1D17">
            <w:pPr>
              <w:pStyle w:val="31"/>
              <w:keepNext w:val="0"/>
              <w:keepLines w:val="0"/>
              <w:pageBreakBefore w:val="0"/>
              <w:kinsoku/>
              <w:wordWrap/>
              <w:overflowPunct/>
              <w:topLinePunct w:val="0"/>
              <w:bidi w:val="0"/>
              <w:spacing w:before="105" w:line="236" w:lineRule="auto"/>
              <w:ind w:left="382"/>
              <w:rPr>
                <w:sz w:val="18"/>
                <w:szCs w:val="18"/>
              </w:rPr>
            </w:pPr>
            <w:r>
              <w:rPr>
                <w:spacing w:val="10"/>
                <w:sz w:val="18"/>
                <w:szCs w:val="18"/>
              </w:rPr>
              <w:t>500≤Y&lt;</w:t>
            </w:r>
          </w:p>
        </w:tc>
        <w:tc>
          <w:tcPr>
            <w:tcW w:w="972" w:type="dxa"/>
            <w:shd w:val="clear" w:color="auto" w:fill="00B0F0"/>
            <w:vAlign w:val="top"/>
          </w:tcPr>
          <w:p w14:paraId="2386024F">
            <w:pPr>
              <w:pStyle w:val="31"/>
              <w:keepNext w:val="0"/>
              <w:keepLines w:val="0"/>
              <w:pageBreakBefore w:val="0"/>
              <w:kinsoku/>
              <w:wordWrap/>
              <w:overflowPunct/>
              <w:topLinePunct w:val="0"/>
              <w:bidi w:val="0"/>
              <w:spacing w:before="78"/>
              <w:ind w:left="213"/>
              <w:rPr>
                <w:sz w:val="18"/>
                <w:szCs w:val="18"/>
              </w:rPr>
            </w:pPr>
            <w:r>
              <w:rPr>
                <w:sz w:val="18"/>
                <w:szCs w:val="18"/>
              </w:rPr>
              <w:t>X＜100</w:t>
            </w:r>
          </w:p>
          <w:p w14:paraId="78BC3929">
            <w:pPr>
              <w:pStyle w:val="31"/>
              <w:keepNext w:val="0"/>
              <w:keepLines w:val="0"/>
              <w:pageBreakBefore w:val="0"/>
              <w:kinsoku/>
              <w:wordWrap/>
              <w:overflowPunct/>
              <w:topLinePunct w:val="0"/>
              <w:bidi w:val="0"/>
              <w:spacing w:before="106"/>
              <w:ind w:left="212"/>
              <w:rPr>
                <w:sz w:val="18"/>
                <w:szCs w:val="18"/>
              </w:rPr>
            </w:pPr>
            <w:r>
              <w:rPr>
                <w:sz w:val="18"/>
                <w:szCs w:val="18"/>
              </w:rPr>
              <w:t>Y＜500</w:t>
            </w:r>
          </w:p>
        </w:tc>
      </w:tr>
      <w:tr w14:paraId="60528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56" w:type="dxa"/>
            <w:vAlign w:val="top"/>
          </w:tcPr>
          <w:p w14:paraId="492091B1">
            <w:pPr>
              <w:pStyle w:val="31"/>
              <w:keepNext w:val="0"/>
              <w:keepLines w:val="0"/>
              <w:pageBreakBefore w:val="0"/>
              <w:kinsoku/>
              <w:wordWrap/>
              <w:overflowPunct/>
              <w:topLinePunct w:val="0"/>
              <w:bidi w:val="0"/>
              <w:spacing w:before="251" w:line="219" w:lineRule="auto"/>
              <w:ind w:left="117"/>
              <w:rPr>
                <w:sz w:val="18"/>
                <w:szCs w:val="18"/>
              </w:rPr>
            </w:pPr>
            <w:r>
              <w:rPr>
                <w:spacing w:val="1"/>
                <w:sz w:val="18"/>
                <w:szCs w:val="18"/>
              </w:rPr>
              <w:t>租赁和商务服务业</w:t>
            </w:r>
          </w:p>
        </w:tc>
        <w:tc>
          <w:tcPr>
            <w:tcW w:w="1331" w:type="dxa"/>
            <w:vAlign w:val="top"/>
          </w:tcPr>
          <w:p w14:paraId="76D4D438">
            <w:pPr>
              <w:pStyle w:val="31"/>
              <w:keepNext w:val="0"/>
              <w:keepLines w:val="0"/>
              <w:pageBreakBefore w:val="0"/>
              <w:kinsoku/>
              <w:wordWrap/>
              <w:overflowPunct/>
              <w:topLinePunct w:val="0"/>
              <w:bidi w:val="0"/>
              <w:spacing w:before="80" w:line="220" w:lineRule="auto"/>
              <w:ind w:left="168"/>
              <w:rPr>
                <w:sz w:val="18"/>
                <w:szCs w:val="18"/>
              </w:rPr>
            </w:pPr>
            <w:r>
              <w:rPr>
                <w:sz w:val="18"/>
                <w:szCs w:val="18"/>
              </w:rPr>
              <w:t>从业人员(X)</w:t>
            </w:r>
          </w:p>
          <w:p w14:paraId="0909BC0F">
            <w:pPr>
              <w:pStyle w:val="31"/>
              <w:keepNext w:val="0"/>
              <w:keepLines w:val="0"/>
              <w:pageBreakBefore w:val="0"/>
              <w:kinsoku/>
              <w:wordWrap/>
              <w:overflowPunct/>
              <w:topLinePunct w:val="0"/>
              <w:bidi w:val="0"/>
              <w:spacing w:before="124" w:line="219" w:lineRule="auto"/>
              <w:ind w:left="174"/>
              <w:rPr>
                <w:sz w:val="18"/>
                <w:szCs w:val="18"/>
              </w:rPr>
            </w:pPr>
            <w:r>
              <w:rPr>
                <w:spacing w:val="-1"/>
                <w:sz w:val="18"/>
                <w:szCs w:val="18"/>
              </w:rPr>
              <w:t>资产总额(Z)</w:t>
            </w:r>
          </w:p>
        </w:tc>
        <w:tc>
          <w:tcPr>
            <w:tcW w:w="694" w:type="dxa"/>
            <w:vAlign w:val="top"/>
          </w:tcPr>
          <w:p w14:paraId="64FBE95A">
            <w:pPr>
              <w:pStyle w:val="31"/>
              <w:keepNext w:val="0"/>
              <w:keepLines w:val="0"/>
              <w:pageBreakBefore w:val="0"/>
              <w:kinsoku/>
              <w:wordWrap/>
              <w:overflowPunct/>
              <w:topLinePunct w:val="0"/>
              <w:bidi w:val="0"/>
              <w:spacing w:before="80" w:line="300" w:lineRule="auto"/>
              <w:ind w:left="172" w:right="165" w:firstLine="88"/>
              <w:rPr>
                <w:sz w:val="18"/>
                <w:szCs w:val="18"/>
              </w:rPr>
            </w:pPr>
            <w:r>
              <w:rPr>
                <w:spacing w:val="-9"/>
                <w:sz w:val="18"/>
                <w:szCs w:val="18"/>
              </w:rPr>
              <w:t>人</w:t>
            </w:r>
            <w:r>
              <w:rPr>
                <w:spacing w:val="-5"/>
                <w:sz w:val="18"/>
                <w:szCs w:val="18"/>
              </w:rPr>
              <w:t>万元</w:t>
            </w:r>
          </w:p>
        </w:tc>
        <w:tc>
          <w:tcPr>
            <w:tcW w:w="1095" w:type="dxa"/>
            <w:vAlign w:val="top"/>
          </w:tcPr>
          <w:p w14:paraId="500FF775">
            <w:pPr>
              <w:pStyle w:val="31"/>
              <w:keepNext w:val="0"/>
              <w:keepLines w:val="0"/>
              <w:pageBreakBefore w:val="0"/>
              <w:kinsoku/>
              <w:wordWrap/>
              <w:overflowPunct/>
              <w:topLinePunct w:val="0"/>
              <w:bidi w:val="0"/>
              <w:spacing w:before="81" w:line="237" w:lineRule="auto"/>
              <w:ind w:left="275"/>
              <w:rPr>
                <w:sz w:val="18"/>
                <w:szCs w:val="18"/>
              </w:rPr>
            </w:pPr>
            <w:r>
              <w:rPr>
                <w:spacing w:val="-1"/>
                <w:sz w:val="18"/>
                <w:szCs w:val="18"/>
              </w:rPr>
              <w:t>X≥300</w:t>
            </w:r>
          </w:p>
          <w:p w14:paraId="1D0FDE40">
            <w:pPr>
              <w:pStyle w:val="31"/>
              <w:keepNext w:val="0"/>
              <w:keepLines w:val="0"/>
              <w:pageBreakBefore w:val="0"/>
              <w:kinsoku/>
              <w:wordWrap/>
              <w:overflowPunct/>
              <w:topLinePunct w:val="0"/>
              <w:bidi w:val="0"/>
              <w:spacing w:before="107" w:line="237" w:lineRule="auto"/>
              <w:ind w:left="140"/>
              <w:rPr>
                <w:sz w:val="18"/>
                <w:szCs w:val="18"/>
              </w:rPr>
            </w:pPr>
            <w:r>
              <w:rPr>
                <w:sz w:val="18"/>
                <w:szCs w:val="18"/>
              </w:rPr>
              <w:t>Z≥120000</w:t>
            </w:r>
          </w:p>
        </w:tc>
        <w:tc>
          <w:tcPr>
            <w:tcW w:w="1653" w:type="dxa"/>
            <w:vAlign w:val="top"/>
          </w:tcPr>
          <w:p w14:paraId="2EF72C6D">
            <w:pPr>
              <w:pStyle w:val="31"/>
              <w:keepNext w:val="0"/>
              <w:keepLines w:val="0"/>
              <w:pageBreakBefore w:val="0"/>
              <w:kinsoku/>
              <w:wordWrap/>
              <w:overflowPunct/>
              <w:topLinePunct w:val="0"/>
              <w:bidi w:val="0"/>
              <w:spacing w:before="80" w:line="236" w:lineRule="auto"/>
              <w:ind w:left="340"/>
              <w:rPr>
                <w:sz w:val="18"/>
                <w:szCs w:val="18"/>
              </w:rPr>
            </w:pPr>
            <w:r>
              <w:rPr>
                <w:spacing w:val="-1"/>
                <w:sz w:val="18"/>
                <w:szCs w:val="18"/>
              </w:rPr>
              <w:t>100≤X＜300</w:t>
            </w:r>
          </w:p>
          <w:p w14:paraId="09F10478">
            <w:pPr>
              <w:pStyle w:val="31"/>
              <w:keepNext w:val="0"/>
              <w:keepLines w:val="0"/>
              <w:pageBreakBefore w:val="0"/>
              <w:kinsoku/>
              <w:wordWrap/>
              <w:overflowPunct/>
              <w:topLinePunct w:val="0"/>
              <w:bidi w:val="0"/>
              <w:spacing w:before="103" w:line="236" w:lineRule="auto"/>
              <w:ind w:left="467"/>
              <w:rPr>
                <w:sz w:val="18"/>
                <w:szCs w:val="18"/>
              </w:rPr>
            </w:pPr>
            <w:r>
              <w:rPr>
                <w:spacing w:val="9"/>
                <w:sz w:val="18"/>
                <w:szCs w:val="18"/>
              </w:rPr>
              <w:t>8000≤Z&lt;</w:t>
            </w:r>
          </w:p>
        </w:tc>
        <w:tc>
          <w:tcPr>
            <w:tcW w:w="1387" w:type="dxa"/>
            <w:vAlign w:val="top"/>
          </w:tcPr>
          <w:p w14:paraId="0F7CD7F0">
            <w:pPr>
              <w:pStyle w:val="31"/>
              <w:keepNext w:val="0"/>
              <w:keepLines w:val="0"/>
              <w:pageBreakBefore w:val="0"/>
              <w:kinsoku/>
              <w:wordWrap/>
              <w:overflowPunct/>
              <w:topLinePunct w:val="0"/>
              <w:bidi w:val="0"/>
              <w:spacing w:before="80" w:line="236" w:lineRule="auto"/>
              <w:ind w:left="300"/>
              <w:rPr>
                <w:sz w:val="18"/>
                <w:szCs w:val="18"/>
              </w:rPr>
            </w:pPr>
            <w:r>
              <w:rPr>
                <w:spacing w:val="-2"/>
                <w:sz w:val="18"/>
                <w:szCs w:val="18"/>
              </w:rPr>
              <w:t>10≤X＜100</w:t>
            </w:r>
          </w:p>
          <w:p w14:paraId="4B15CBC9">
            <w:pPr>
              <w:pStyle w:val="31"/>
              <w:keepNext w:val="0"/>
              <w:keepLines w:val="0"/>
              <w:pageBreakBefore w:val="0"/>
              <w:kinsoku/>
              <w:wordWrap/>
              <w:overflowPunct/>
              <w:topLinePunct w:val="0"/>
              <w:bidi w:val="0"/>
              <w:spacing w:before="103" w:line="236" w:lineRule="auto"/>
              <w:ind w:left="391"/>
              <w:rPr>
                <w:sz w:val="18"/>
                <w:szCs w:val="18"/>
              </w:rPr>
            </w:pPr>
            <w:r>
              <w:rPr>
                <w:spacing w:val="9"/>
                <w:sz w:val="18"/>
                <w:szCs w:val="18"/>
              </w:rPr>
              <w:t>100≤Z&lt;</w:t>
            </w:r>
          </w:p>
        </w:tc>
        <w:tc>
          <w:tcPr>
            <w:tcW w:w="972" w:type="dxa"/>
            <w:vAlign w:val="top"/>
          </w:tcPr>
          <w:p w14:paraId="60E18C4F">
            <w:pPr>
              <w:pStyle w:val="31"/>
              <w:keepNext w:val="0"/>
              <w:keepLines w:val="0"/>
              <w:pageBreakBefore w:val="0"/>
              <w:kinsoku/>
              <w:wordWrap/>
              <w:overflowPunct/>
              <w:topLinePunct w:val="0"/>
              <w:bidi w:val="0"/>
              <w:spacing w:before="80"/>
              <w:ind w:left="259"/>
              <w:rPr>
                <w:sz w:val="18"/>
                <w:szCs w:val="18"/>
              </w:rPr>
            </w:pPr>
            <w:r>
              <w:rPr>
                <w:spacing w:val="-1"/>
                <w:sz w:val="18"/>
                <w:szCs w:val="18"/>
              </w:rPr>
              <w:t>X＜10</w:t>
            </w:r>
          </w:p>
          <w:p w14:paraId="4FDA75B9">
            <w:pPr>
              <w:pStyle w:val="31"/>
              <w:keepNext w:val="0"/>
              <w:keepLines w:val="0"/>
              <w:pageBreakBefore w:val="0"/>
              <w:kinsoku/>
              <w:wordWrap/>
              <w:overflowPunct/>
              <w:topLinePunct w:val="0"/>
              <w:bidi w:val="0"/>
              <w:spacing w:before="104"/>
              <w:ind w:left="214"/>
              <w:rPr>
                <w:sz w:val="18"/>
                <w:szCs w:val="18"/>
              </w:rPr>
            </w:pPr>
            <w:r>
              <w:rPr>
                <w:spacing w:val="-1"/>
                <w:sz w:val="18"/>
                <w:szCs w:val="18"/>
              </w:rPr>
              <w:t>Z＜100</w:t>
            </w:r>
          </w:p>
        </w:tc>
      </w:tr>
      <w:tr w14:paraId="0468B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2056" w:type="dxa"/>
            <w:shd w:val="clear" w:color="auto" w:fill="00B0F0"/>
            <w:vAlign w:val="top"/>
          </w:tcPr>
          <w:p w14:paraId="59C201E5">
            <w:pPr>
              <w:pStyle w:val="31"/>
              <w:keepNext w:val="0"/>
              <w:keepLines w:val="0"/>
              <w:pageBreakBefore w:val="0"/>
              <w:kinsoku/>
              <w:wordWrap/>
              <w:overflowPunct/>
              <w:topLinePunct w:val="0"/>
              <w:bidi w:val="0"/>
              <w:spacing w:before="109" w:line="219" w:lineRule="auto"/>
              <w:ind w:left="116"/>
              <w:rPr>
                <w:sz w:val="18"/>
                <w:szCs w:val="18"/>
              </w:rPr>
            </w:pPr>
            <w:r>
              <w:rPr>
                <w:spacing w:val="2"/>
                <w:sz w:val="18"/>
                <w:szCs w:val="18"/>
              </w:rPr>
              <w:t>其他未列明行业 *</w:t>
            </w:r>
          </w:p>
        </w:tc>
        <w:tc>
          <w:tcPr>
            <w:tcW w:w="1331" w:type="dxa"/>
            <w:shd w:val="clear" w:color="auto" w:fill="00B0F0"/>
            <w:vAlign w:val="top"/>
          </w:tcPr>
          <w:p w14:paraId="301CE0A6">
            <w:pPr>
              <w:pStyle w:val="31"/>
              <w:keepNext w:val="0"/>
              <w:keepLines w:val="0"/>
              <w:pageBreakBefore w:val="0"/>
              <w:kinsoku/>
              <w:wordWrap/>
              <w:overflowPunct/>
              <w:topLinePunct w:val="0"/>
              <w:bidi w:val="0"/>
              <w:spacing w:before="108" w:line="220" w:lineRule="auto"/>
              <w:ind w:left="168"/>
              <w:rPr>
                <w:sz w:val="18"/>
                <w:szCs w:val="18"/>
              </w:rPr>
            </w:pPr>
            <w:r>
              <w:rPr>
                <w:sz w:val="18"/>
                <w:szCs w:val="18"/>
              </w:rPr>
              <w:t>从业人员(X)</w:t>
            </w:r>
          </w:p>
        </w:tc>
        <w:tc>
          <w:tcPr>
            <w:tcW w:w="694" w:type="dxa"/>
            <w:shd w:val="clear" w:color="auto" w:fill="00B0F0"/>
            <w:vAlign w:val="top"/>
          </w:tcPr>
          <w:p w14:paraId="29E07D62">
            <w:pPr>
              <w:pStyle w:val="31"/>
              <w:keepNext w:val="0"/>
              <w:keepLines w:val="0"/>
              <w:pageBreakBefore w:val="0"/>
              <w:kinsoku/>
              <w:wordWrap/>
              <w:overflowPunct/>
              <w:topLinePunct w:val="0"/>
              <w:bidi w:val="0"/>
              <w:spacing w:before="108" w:line="222" w:lineRule="auto"/>
              <w:ind w:left="260"/>
              <w:rPr>
                <w:sz w:val="18"/>
                <w:szCs w:val="18"/>
              </w:rPr>
            </w:pPr>
            <w:r>
              <w:rPr>
                <w:sz w:val="18"/>
                <w:szCs w:val="18"/>
              </w:rPr>
              <w:t>人</w:t>
            </w:r>
          </w:p>
        </w:tc>
        <w:tc>
          <w:tcPr>
            <w:tcW w:w="1095" w:type="dxa"/>
            <w:shd w:val="clear" w:color="auto" w:fill="00B0F0"/>
            <w:vAlign w:val="top"/>
          </w:tcPr>
          <w:p w14:paraId="328ADA8F">
            <w:pPr>
              <w:pStyle w:val="31"/>
              <w:keepNext w:val="0"/>
              <w:keepLines w:val="0"/>
              <w:pageBreakBefore w:val="0"/>
              <w:kinsoku/>
              <w:wordWrap/>
              <w:overflowPunct/>
              <w:topLinePunct w:val="0"/>
              <w:bidi w:val="0"/>
              <w:spacing w:before="109" w:line="237" w:lineRule="auto"/>
              <w:ind w:left="275"/>
              <w:rPr>
                <w:sz w:val="18"/>
                <w:szCs w:val="18"/>
              </w:rPr>
            </w:pPr>
            <w:r>
              <w:rPr>
                <w:spacing w:val="-1"/>
                <w:sz w:val="18"/>
                <w:szCs w:val="18"/>
              </w:rPr>
              <w:t>X≥300</w:t>
            </w:r>
          </w:p>
        </w:tc>
        <w:tc>
          <w:tcPr>
            <w:tcW w:w="1653" w:type="dxa"/>
            <w:shd w:val="clear" w:color="auto" w:fill="00B0F0"/>
            <w:vAlign w:val="top"/>
          </w:tcPr>
          <w:p w14:paraId="50783FA6">
            <w:pPr>
              <w:pStyle w:val="31"/>
              <w:keepNext w:val="0"/>
              <w:keepLines w:val="0"/>
              <w:pageBreakBefore w:val="0"/>
              <w:kinsoku/>
              <w:wordWrap/>
              <w:overflowPunct/>
              <w:topLinePunct w:val="0"/>
              <w:bidi w:val="0"/>
              <w:spacing w:before="108" w:line="236" w:lineRule="auto"/>
              <w:ind w:left="340"/>
              <w:rPr>
                <w:sz w:val="18"/>
                <w:szCs w:val="18"/>
              </w:rPr>
            </w:pPr>
            <w:r>
              <w:rPr>
                <w:spacing w:val="-1"/>
                <w:sz w:val="18"/>
                <w:szCs w:val="18"/>
              </w:rPr>
              <w:t>100≤X＜300</w:t>
            </w:r>
          </w:p>
        </w:tc>
        <w:tc>
          <w:tcPr>
            <w:tcW w:w="1387" w:type="dxa"/>
            <w:shd w:val="clear" w:color="auto" w:fill="00B0F0"/>
            <w:vAlign w:val="top"/>
          </w:tcPr>
          <w:p w14:paraId="4A4EE00C">
            <w:pPr>
              <w:pStyle w:val="31"/>
              <w:keepNext w:val="0"/>
              <w:keepLines w:val="0"/>
              <w:pageBreakBefore w:val="0"/>
              <w:kinsoku/>
              <w:wordWrap/>
              <w:overflowPunct/>
              <w:topLinePunct w:val="0"/>
              <w:bidi w:val="0"/>
              <w:spacing w:before="108" w:line="236" w:lineRule="auto"/>
              <w:ind w:left="300"/>
              <w:rPr>
                <w:sz w:val="18"/>
                <w:szCs w:val="18"/>
              </w:rPr>
            </w:pPr>
            <w:r>
              <w:rPr>
                <w:spacing w:val="-2"/>
                <w:sz w:val="18"/>
                <w:szCs w:val="18"/>
              </w:rPr>
              <w:t>10≤X＜100</w:t>
            </w:r>
          </w:p>
        </w:tc>
        <w:tc>
          <w:tcPr>
            <w:tcW w:w="972" w:type="dxa"/>
            <w:shd w:val="clear" w:color="auto" w:fill="00B0F0"/>
            <w:vAlign w:val="top"/>
          </w:tcPr>
          <w:p w14:paraId="0CB27DD1">
            <w:pPr>
              <w:pStyle w:val="31"/>
              <w:keepNext w:val="0"/>
              <w:keepLines w:val="0"/>
              <w:pageBreakBefore w:val="0"/>
              <w:kinsoku/>
              <w:wordWrap/>
              <w:overflowPunct/>
              <w:topLinePunct w:val="0"/>
              <w:bidi w:val="0"/>
              <w:spacing w:before="108"/>
              <w:ind w:left="259"/>
              <w:rPr>
                <w:sz w:val="18"/>
                <w:szCs w:val="18"/>
              </w:rPr>
            </w:pPr>
            <w:r>
              <w:rPr>
                <w:spacing w:val="-1"/>
                <w:sz w:val="18"/>
                <w:szCs w:val="18"/>
              </w:rPr>
              <w:t>X＜10</w:t>
            </w:r>
          </w:p>
        </w:tc>
      </w:tr>
    </w:tbl>
    <w:p w14:paraId="136173E1">
      <w:pPr>
        <w:keepNext w:val="0"/>
        <w:keepLines w:val="0"/>
        <w:pageBreakBefore w:val="0"/>
        <w:kinsoku/>
        <w:wordWrap/>
        <w:overflowPunct/>
        <w:topLinePunct w:val="0"/>
        <w:bidi w:val="0"/>
        <w:spacing w:before="253" w:line="228" w:lineRule="auto"/>
        <w:ind w:left="16"/>
        <w:rPr>
          <w:rFonts w:ascii="宋体" w:hAnsi="宋体" w:eastAsia="宋体" w:cs="宋体"/>
          <w:sz w:val="20"/>
          <w:szCs w:val="20"/>
        </w:rPr>
      </w:pPr>
      <w:r>
        <w:rPr>
          <w:rFonts w:ascii="宋体" w:hAnsi="宋体" w:eastAsia="宋体" w:cs="宋体"/>
          <w:spacing w:val="3"/>
          <w:sz w:val="20"/>
          <w:szCs w:val="20"/>
        </w:rPr>
        <w:t>说明：</w:t>
      </w:r>
    </w:p>
    <w:p w14:paraId="194702A1">
      <w:pPr>
        <w:keepNext w:val="0"/>
        <w:keepLines w:val="0"/>
        <w:pageBreakBefore w:val="0"/>
        <w:kinsoku/>
        <w:wordWrap/>
        <w:overflowPunct/>
        <w:topLinePunct w:val="0"/>
        <w:bidi w:val="0"/>
        <w:spacing w:before="296" w:line="498" w:lineRule="auto"/>
        <w:ind w:left="3" w:firstLine="440"/>
        <w:rPr>
          <w:rFonts w:ascii="宋体" w:hAnsi="宋体" w:eastAsia="宋体" w:cs="宋体"/>
          <w:sz w:val="20"/>
          <w:szCs w:val="20"/>
        </w:rPr>
      </w:pPr>
      <w:r>
        <w:rPr>
          <w:rFonts w:ascii="宋体" w:hAnsi="宋体" w:eastAsia="宋体" w:cs="宋体"/>
          <w:spacing w:val="12"/>
          <w:sz w:val="20"/>
          <w:szCs w:val="20"/>
        </w:rPr>
        <w:br w:type="page"/>
      </w:r>
      <w:r>
        <w:rPr>
          <w:rFonts w:ascii="宋体" w:hAnsi="宋体" w:eastAsia="宋体" w:cs="宋体"/>
          <w:spacing w:val="12"/>
          <w:sz w:val="20"/>
          <w:szCs w:val="20"/>
        </w:rPr>
        <w:t>1.大型、中型和小型企业须同时满足所列指标的下限，否则下划一档；微型企业只须满足所列</w:t>
      </w:r>
      <w:r>
        <w:rPr>
          <w:rFonts w:ascii="宋体" w:hAnsi="宋体" w:eastAsia="宋体" w:cs="宋体"/>
          <w:spacing w:val="9"/>
          <w:sz w:val="20"/>
          <w:szCs w:val="20"/>
        </w:rPr>
        <w:t>指标中的一项即可。</w:t>
      </w:r>
    </w:p>
    <w:p w14:paraId="2AA47E91">
      <w:pPr>
        <w:keepNext w:val="0"/>
        <w:keepLines w:val="0"/>
        <w:pageBreakBefore w:val="0"/>
        <w:kinsoku/>
        <w:wordWrap/>
        <w:overflowPunct/>
        <w:topLinePunct w:val="0"/>
        <w:bidi w:val="0"/>
        <w:spacing w:before="3" w:line="498" w:lineRule="auto"/>
        <w:ind w:firstLine="430"/>
        <w:rPr>
          <w:rFonts w:ascii="宋体" w:hAnsi="宋体" w:eastAsia="宋体" w:cs="宋体"/>
          <w:sz w:val="20"/>
          <w:szCs w:val="20"/>
        </w:rPr>
      </w:pPr>
      <w:r>
        <w:rPr>
          <w:rFonts w:ascii="宋体" w:hAnsi="宋体" w:eastAsia="宋体" w:cs="宋体"/>
          <w:spacing w:val="11"/>
          <w:sz w:val="20"/>
          <w:szCs w:val="20"/>
        </w:rPr>
        <w:t>2.附表中各行业的范围以《国民经济行业分类》</w:t>
      </w:r>
      <w:r>
        <w:rPr>
          <w:rFonts w:ascii="宋体" w:hAnsi="宋体" w:eastAsia="宋体" w:cs="宋体"/>
          <w:spacing w:val="-79"/>
          <w:sz w:val="20"/>
          <w:szCs w:val="20"/>
        </w:rPr>
        <w:t xml:space="preserve"> </w:t>
      </w:r>
      <w:r>
        <w:rPr>
          <w:rFonts w:ascii="宋体" w:hAnsi="宋体" w:eastAsia="宋体" w:cs="宋体"/>
          <w:spacing w:val="11"/>
          <w:sz w:val="20"/>
          <w:szCs w:val="20"/>
        </w:rPr>
        <w:t>（</w:t>
      </w:r>
      <w:r>
        <w:rPr>
          <w:rFonts w:ascii="宋体" w:hAnsi="宋体" w:eastAsia="宋体" w:cs="宋体"/>
          <w:sz w:val="20"/>
          <w:szCs w:val="20"/>
        </w:rPr>
        <w:t>GB</w:t>
      </w:r>
      <w:r>
        <w:rPr>
          <w:rFonts w:ascii="宋体" w:hAnsi="宋体" w:eastAsia="宋体" w:cs="宋体"/>
          <w:spacing w:val="11"/>
          <w:sz w:val="20"/>
          <w:szCs w:val="20"/>
        </w:rPr>
        <w:t>/T4</w:t>
      </w:r>
      <w:r>
        <w:rPr>
          <w:rFonts w:ascii="宋体" w:hAnsi="宋体" w:eastAsia="宋体" w:cs="宋体"/>
          <w:spacing w:val="10"/>
          <w:sz w:val="20"/>
          <w:szCs w:val="20"/>
        </w:rPr>
        <w:t>754-2017）为准。带*的项为行业组合</w:t>
      </w:r>
      <w:r>
        <w:rPr>
          <w:rFonts w:ascii="宋体" w:hAnsi="宋体" w:eastAsia="宋体" w:cs="宋体"/>
          <w:spacing w:val="12"/>
          <w:sz w:val="20"/>
          <w:szCs w:val="20"/>
        </w:rPr>
        <w:t>类别，其中，工业包括采矿业，制造业，</w:t>
      </w:r>
      <w:r>
        <w:rPr>
          <w:rFonts w:ascii="宋体" w:hAnsi="宋体" w:eastAsia="宋体" w:cs="宋体"/>
          <w:spacing w:val="-56"/>
          <w:sz w:val="20"/>
          <w:szCs w:val="20"/>
        </w:rPr>
        <w:t xml:space="preserve"> </w:t>
      </w:r>
      <w:r>
        <w:rPr>
          <w:rFonts w:ascii="宋体" w:hAnsi="宋体" w:eastAsia="宋体" w:cs="宋体"/>
          <w:spacing w:val="12"/>
          <w:sz w:val="20"/>
          <w:szCs w:val="20"/>
        </w:rPr>
        <w:t>电力、热力、燃气及水生产</w:t>
      </w:r>
      <w:r>
        <w:rPr>
          <w:rFonts w:ascii="宋体" w:hAnsi="宋体" w:eastAsia="宋体" w:cs="宋体"/>
          <w:spacing w:val="11"/>
          <w:sz w:val="20"/>
          <w:szCs w:val="20"/>
        </w:rPr>
        <w:t>和供应业；交通运输业包括道</w:t>
      </w:r>
      <w:r>
        <w:rPr>
          <w:rFonts w:ascii="宋体" w:hAnsi="宋体" w:eastAsia="宋体" w:cs="宋体"/>
          <w:spacing w:val="13"/>
          <w:sz w:val="20"/>
          <w:szCs w:val="20"/>
        </w:rPr>
        <w:t>路运输业，水上运输业，航空运输业，管道运输业，多式联运和运输代</w:t>
      </w:r>
      <w:r>
        <w:rPr>
          <w:rFonts w:ascii="宋体" w:hAnsi="宋体" w:eastAsia="宋体" w:cs="宋体"/>
          <w:spacing w:val="12"/>
          <w:sz w:val="20"/>
          <w:szCs w:val="20"/>
        </w:rPr>
        <w:t>理业、装卸搬运，不包括铁</w:t>
      </w:r>
      <w:r>
        <w:rPr>
          <w:rFonts w:ascii="宋体" w:hAnsi="宋体" w:eastAsia="宋体" w:cs="宋体"/>
          <w:spacing w:val="13"/>
          <w:sz w:val="20"/>
          <w:szCs w:val="20"/>
        </w:rPr>
        <w:t>路运输业；仓储业包括通用仓储，低温仓储，危险品仓储，谷物、棉花</w:t>
      </w:r>
      <w:r>
        <w:rPr>
          <w:rFonts w:ascii="宋体" w:hAnsi="宋体" w:eastAsia="宋体" w:cs="宋体"/>
          <w:spacing w:val="12"/>
          <w:sz w:val="20"/>
          <w:szCs w:val="20"/>
        </w:rPr>
        <w:t>等农产品仓储，中药材仓储</w:t>
      </w:r>
      <w:r>
        <w:rPr>
          <w:rFonts w:ascii="宋体" w:hAnsi="宋体" w:eastAsia="宋体" w:cs="宋体"/>
          <w:spacing w:val="9"/>
          <w:sz w:val="20"/>
          <w:szCs w:val="20"/>
        </w:rPr>
        <w:t>和其他仓储业</w:t>
      </w:r>
      <w:r>
        <w:rPr>
          <w:rFonts w:ascii="宋体" w:hAnsi="宋体" w:eastAsia="宋体" w:cs="宋体"/>
          <w:spacing w:val="-49"/>
          <w:sz w:val="20"/>
          <w:szCs w:val="20"/>
        </w:rPr>
        <w:t xml:space="preserve"> </w:t>
      </w:r>
      <w:r>
        <w:rPr>
          <w:rFonts w:ascii="宋体" w:hAnsi="宋体" w:eastAsia="宋体" w:cs="宋体"/>
          <w:spacing w:val="9"/>
          <w:sz w:val="20"/>
          <w:szCs w:val="20"/>
        </w:rPr>
        <w:t>;信息传输业包括电信、广播电视和卫星传输服务，互联网和相关服务；其他未列明行</w:t>
      </w:r>
      <w:r>
        <w:rPr>
          <w:rFonts w:ascii="宋体" w:hAnsi="宋体" w:eastAsia="宋体" w:cs="宋体"/>
          <w:spacing w:val="13"/>
          <w:sz w:val="20"/>
          <w:szCs w:val="20"/>
        </w:rPr>
        <w:t>业包括科学研究和技术服务业，水利、环境和公共设施管理业，居民服</w:t>
      </w:r>
      <w:r>
        <w:rPr>
          <w:rFonts w:ascii="宋体" w:hAnsi="宋体" w:eastAsia="宋体" w:cs="宋体"/>
          <w:spacing w:val="12"/>
          <w:sz w:val="20"/>
          <w:szCs w:val="20"/>
        </w:rPr>
        <w:t>务、修理和其他服务业，社会工作，文化、体育和娱乐业，</w:t>
      </w:r>
      <w:r>
        <w:rPr>
          <w:rFonts w:ascii="宋体" w:hAnsi="宋体" w:eastAsia="宋体" w:cs="宋体"/>
          <w:spacing w:val="-57"/>
          <w:sz w:val="20"/>
          <w:szCs w:val="20"/>
        </w:rPr>
        <w:t xml:space="preserve"> </w:t>
      </w:r>
      <w:r>
        <w:rPr>
          <w:rFonts w:ascii="宋体" w:hAnsi="宋体" w:eastAsia="宋体" w:cs="宋体"/>
          <w:spacing w:val="12"/>
          <w:sz w:val="20"/>
          <w:szCs w:val="20"/>
        </w:rPr>
        <w:t>以及房地产中介服务，其他房地产业等</w:t>
      </w:r>
      <w:r>
        <w:rPr>
          <w:rFonts w:ascii="宋体" w:hAnsi="宋体" w:eastAsia="宋体" w:cs="宋体"/>
          <w:spacing w:val="11"/>
          <w:sz w:val="20"/>
          <w:szCs w:val="20"/>
        </w:rPr>
        <w:t>，不包括自有房地产经营活</w:t>
      </w:r>
      <w:r>
        <w:rPr>
          <w:rFonts w:ascii="宋体" w:hAnsi="宋体" w:eastAsia="宋体" w:cs="宋体"/>
          <w:sz w:val="20"/>
          <w:szCs w:val="20"/>
        </w:rPr>
        <w:t>动。</w:t>
      </w:r>
    </w:p>
    <w:p w14:paraId="197B4E42">
      <w:pPr>
        <w:keepNext w:val="0"/>
        <w:keepLines w:val="0"/>
        <w:pageBreakBefore w:val="0"/>
        <w:kinsoku/>
        <w:wordWrap/>
        <w:overflowPunct/>
        <w:topLinePunct w:val="0"/>
        <w:bidi w:val="0"/>
        <w:spacing w:before="2" w:line="498" w:lineRule="auto"/>
        <w:ind w:firstLine="429"/>
        <w:rPr>
          <w:rFonts w:ascii="宋体" w:hAnsi="宋体" w:eastAsia="宋体" w:cs="宋体"/>
          <w:sz w:val="20"/>
          <w:szCs w:val="20"/>
        </w:rPr>
      </w:pPr>
      <w:r>
        <w:rPr>
          <w:rFonts w:ascii="宋体" w:hAnsi="宋体" w:eastAsia="宋体" w:cs="宋体"/>
          <w:spacing w:val="10"/>
          <w:sz w:val="20"/>
          <w:szCs w:val="20"/>
        </w:rPr>
        <w:t>3.企业划分指标以现行统计制度为准。（1）从业人员，是指</w:t>
      </w:r>
      <w:r>
        <w:rPr>
          <w:rFonts w:ascii="宋体" w:hAnsi="宋体" w:eastAsia="宋体" w:cs="宋体"/>
          <w:spacing w:val="9"/>
          <w:sz w:val="20"/>
          <w:szCs w:val="20"/>
        </w:rPr>
        <w:t>期末从业人员数，没有期末从业人</w:t>
      </w:r>
      <w:r>
        <w:rPr>
          <w:rFonts w:ascii="宋体" w:hAnsi="宋体" w:eastAsia="宋体" w:cs="宋体"/>
          <w:spacing w:val="10"/>
          <w:sz w:val="20"/>
          <w:szCs w:val="20"/>
        </w:rPr>
        <w:t>员数的，采用全年平均人员数代替。（2）营业收入，工业、建筑业、限额以上批发和零售业、限额</w:t>
      </w:r>
      <w:r>
        <w:rPr>
          <w:rFonts w:ascii="宋体" w:hAnsi="宋体" w:eastAsia="宋体" w:cs="宋体"/>
          <w:spacing w:val="12"/>
          <w:sz w:val="20"/>
          <w:szCs w:val="20"/>
        </w:rPr>
        <w:t>以上住宿和餐饮业以及其他设置主营业务收入指标的行业，采用主营业务收</w:t>
      </w:r>
      <w:r>
        <w:rPr>
          <w:rFonts w:ascii="宋体" w:hAnsi="宋体" w:eastAsia="宋体" w:cs="宋体"/>
          <w:spacing w:val="11"/>
          <w:sz w:val="20"/>
          <w:szCs w:val="20"/>
        </w:rPr>
        <w:t>入；</w:t>
      </w:r>
      <w:r>
        <w:rPr>
          <w:rFonts w:ascii="宋体" w:hAnsi="宋体" w:eastAsia="宋体" w:cs="宋体"/>
          <w:spacing w:val="-59"/>
          <w:sz w:val="20"/>
          <w:szCs w:val="20"/>
        </w:rPr>
        <w:t xml:space="preserve"> </w:t>
      </w:r>
      <w:r>
        <w:rPr>
          <w:rFonts w:ascii="宋体" w:hAnsi="宋体" w:eastAsia="宋体" w:cs="宋体"/>
          <w:spacing w:val="11"/>
          <w:sz w:val="20"/>
          <w:szCs w:val="20"/>
        </w:rPr>
        <w:t>限额以下批发与零</w:t>
      </w:r>
      <w:r>
        <w:rPr>
          <w:rFonts w:ascii="宋体" w:hAnsi="宋体" w:eastAsia="宋体" w:cs="宋体"/>
          <w:spacing w:val="12"/>
          <w:sz w:val="20"/>
          <w:szCs w:val="20"/>
        </w:rPr>
        <w:t>售业企业采用商品销售额代替；</w:t>
      </w:r>
      <w:r>
        <w:rPr>
          <w:rFonts w:ascii="宋体" w:hAnsi="宋体" w:eastAsia="宋体" w:cs="宋体"/>
          <w:spacing w:val="-59"/>
          <w:sz w:val="20"/>
          <w:szCs w:val="20"/>
        </w:rPr>
        <w:t xml:space="preserve"> </w:t>
      </w:r>
      <w:r>
        <w:rPr>
          <w:rFonts w:ascii="宋体" w:hAnsi="宋体" w:eastAsia="宋体" w:cs="宋体"/>
          <w:spacing w:val="12"/>
          <w:sz w:val="20"/>
          <w:szCs w:val="20"/>
        </w:rPr>
        <w:t>限额以下住宿与餐饮业企业采用营业额代替</w:t>
      </w:r>
      <w:r>
        <w:rPr>
          <w:rFonts w:ascii="宋体" w:hAnsi="宋体" w:eastAsia="宋体" w:cs="宋体"/>
          <w:spacing w:val="11"/>
          <w:sz w:val="20"/>
          <w:szCs w:val="20"/>
        </w:rPr>
        <w:t>；农、林、牧、渔业企</w:t>
      </w:r>
      <w:r>
        <w:rPr>
          <w:rFonts w:ascii="宋体" w:hAnsi="宋体" w:eastAsia="宋体" w:cs="宋体"/>
          <w:spacing w:val="10"/>
          <w:sz w:val="20"/>
          <w:szCs w:val="20"/>
        </w:rPr>
        <w:t>业采用营业总收入代替；其他未设置主营业务收入的行业，采用营业收入指标。（3）资产总额，采</w:t>
      </w:r>
      <w:r>
        <w:rPr>
          <w:rFonts w:ascii="宋体" w:hAnsi="宋体" w:eastAsia="宋体" w:cs="宋体"/>
          <w:spacing w:val="9"/>
          <w:sz w:val="20"/>
          <w:szCs w:val="20"/>
        </w:rPr>
        <w:t>用资产总计代替。</w:t>
      </w:r>
    </w:p>
    <w:p w14:paraId="165F6C9A">
      <w:pPr>
        <w:keepNext w:val="0"/>
        <w:keepLines w:val="0"/>
        <w:pageBreakBefore w:val="0"/>
        <w:kinsoku/>
        <w:wordWrap/>
        <w:overflowPunct/>
        <w:topLinePunct w:val="0"/>
        <w:bidi w:val="0"/>
        <w:spacing w:before="201" w:line="224" w:lineRule="auto"/>
        <w:ind w:left="2244"/>
        <w:outlineLvl w:val="0"/>
        <w:rPr>
          <w:rFonts w:ascii="宋体" w:hAnsi="宋体" w:eastAsia="宋体" w:cs="宋体"/>
          <w:sz w:val="31"/>
          <w:szCs w:val="31"/>
        </w:rPr>
      </w:pPr>
      <w:bookmarkStart w:id="30" w:name="_Toc27535"/>
      <w:r>
        <w:rPr>
          <w:rFonts w:ascii="宋体" w:hAnsi="宋体" w:eastAsia="宋体" w:cs="宋体"/>
          <w:b/>
          <w:bCs/>
          <w:spacing w:val="8"/>
          <w:sz w:val="31"/>
          <w:szCs w:val="31"/>
        </w:rPr>
        <w:br w:type="page"/>
      </w:r>
      <w:r>
        <w:rPr>
          <w:rFonts w:ascii="宋体" w:hAnsi="宋体" w:eastAsia="宋体" w:cs="宋体"/>
          <w:b/>
          <w:bCs/>
          <w:spacing w:val="8"/>
          <w:sz w:val="31"/>
          <w:szCs w:val="31"/>
        </w:rPr>
        <w:t>第三章</w:t>
      </w:r>
      <w:r>
        <w:rPr>
          <w:rFonts w:ascii="宋体" w:hAnsi="宋体" w:eastAsia="宋体" w:cs="宋体"/>
          <w:spacing w:val="8"/>
          <w:sz w:val="31"/>
          <w:szCs w:val="31"/>
        </w:rPr>
        <w:t xml:space="preserve"> </w:t>
      </w:r>
      <w:r>
        <w:rPr>
          <w:rFonts w:ascii="宋体" w:hAnsi="宋体" w:eastAsia="宋体" w:cs="宋体"/>
          <w:b/>
          <w:bCs/>
          <w:spacing w:val="8"/>
          <w:sz w:val="31"/>
          <w:szCs w:val="31"/>
        </w:rPr>
        <w:t>评标办法（综合评分法）</w:t>
      </w:r>
      <w:bookmarkEnd w:id="30"/>
    </w:p>
    <w:p w14:paraId="7A745192">
      <w:pPr>
        <w:keepNext w:val="0"/>
        <w:keepLines w:val="0"/>
        <w:pageBreakBefore w:val="0"/>
        <w:kinsoku/>
        <w:wordWrap/>
        <w:overflowPunct/>
        <w:topLinePunct w:val="0"/>
        <w:bidi w:val="0"/>
        <w:spacing w:before="232" w:line="228" w:lineRule="auto"/>
        <w:ind w:left="20"/>
        <w:rPr>
          <w:rFonts w:ascii="宋体" w:hAnsi="宋体" w:eastAsia="宋体" w:cs="宋体"/>
          <w:sz w:val="20"/>
          <w:szCs w:val="20"/>
          <w:highlight w:val="none"/>
        </w:rPr>
      </w:pPr>
      <w:r>
        <w:rPr>
          <w:rFonts w:ascii="宋体" w:hAnsi="宋体" w:eastAsia="宋体" w:cs="宋体"/>
          <w:b/>
          <w:bCs/>
          <w:spacing w:val="5"/>
          <w:sz w:val="20"/>
          <w:szCs w:val="20"/>
          <w:highlight w:val="none"/>
        </w:rPr>
        <w:t>（一）评标原则</w:t>
      </w:r>
    </w:p>
    <w:p w14:paraId="51AD380B">
      <w:pPr>
        <w:keepNext w:val="0"/>
        <w:keepLines w:val="0"/>
        <w:pageBreakBefore w:val="0"/>
        <w:kinsoku/>
        <w:wordWrap/>
        <w:overflowPunct/>
        <w:topLinePunct w:val="0"/>
        <w:bidi w:val="0"/>
        <w:spacing w:before="227" w:line="228" w:lineRule="auto"/>
        <w:ind w:left="452"/>
        <w:rPr>
          <w:rFonts w:ascii="宋体" w:hAnsi="宋体" w:eastAsia="宋体" w:cs="宋体"/>
          <w:sz w:val="20"/>
          <w:szCs w:val="20"/>
          <w:highlight w:val="none"/>
        </w:rPr>
      </w:pPr>
      <w:r>
        <w:rPr>
          <w:rFonts w:ascii="宋体" w:hAnsi="宋体" w:eastAsia="宋体" w:cs="宋体"/>
          <w:spacing w:val="6"/>
          <w:sz w:val="20"/>
          <w:szCs w:val="20"/>
          <w:highlight w:val="none"/>
        </w:rPr>
        <w:t>1．按照“公平、公正</w:t>
      </w:r>
      <w:r>
        <w:rPr>
          <w:rFonts w:ascii="宋体" w:hAnsi="宋体" w:eastAsia="宋体" w:cs="宋体"/>
          <w:spacing w:val="-56"/>
          <w:sz w:val="20"/>
          <w:szCs w:val="20"/>
          <w:highlight w:val="none"/>
        </w:rPr>
        <w:t xml:space="preserve"> </w:t>
      </w:r>
      <w:r>
        <w:rPr>
          <w:rFonts w:ascii="宋体" w:hAnsi="宋体" w:eastAsia="宋体" w:cs="宋体"/>
          <w:spacing w:val="6"/>
          <w:sz w:val="20"/>
          <w:szCs w:val="20"/>
          <w:highlight w:val="none"/>
        </w:rPr>
        <w:t>”的原则对待所有投标人。</w:t>
      </w:r>
    </w:p>
    <w:p w14:paraId="56DC74DB">
      <w:pPr>
        <w:keepNext w:val="0"/>
        <w:keepLines w:val="0"/>
        <w:pageBreakBefore w:val="0"/>
        <w:kinsoku/>
        <w:wordWrap/>
        <w:overflowPunct/>
        <w:topLinePunct w:val="0"/>
        <w:bidi w:val="0"/>
        <w:spacing w:before="230" w:line="228" w:lineRule="auto"/>
        <w:ind w:left="439"/>
        <w:rPr>
          <w:rFonts w:ascii="宋体" w:hAnsi="宋体" w:eastAsia="宋体" w:cs="宋体"/>
          <w:sz w:val="20"/>
          <w:szCs w:val="20"/>
          <w:highlight w:val="none"/>
        </w:rPr>
      </w:pPr>
      <w:r>
        <w:rPr>
          <w:rFonts w:ascii="宋体" w:hAnsi="宋体" w:eastAsia="宋体" w:cs="宋体"/>
          <w:spacing w:val="9"/>
          <w:sz w:val="20"/>
          <w:szCs w:val="20"/>
          <w:highlight w:val="none"/>
        </w:rPr>
        <w:t>2．按照招标文件的相关规定进行资格审查、评</w:t>
      </w:r>
      <w:r>
        <w:rPr>
          <w:rFonts w:ascii="宋体" w:hAnsi="宋体" w:eastAsia="宋体" w:cs="宋体"/>
          <w:spacing w:val="8"/>
          <w:sz w:val="20"/>
          <w:szCs w:val="20"/>
          <w:highlight w:val="none"/>
        </w:rPr>
        <w:t>标、定标。</w:t>
      </w:r>
    </w:p>
    <w:p w14:paraId="5DB13C9D">
      <w:pPr>
        <w:keepNext w:val="0"/>
        <w:keepLines w:val="0"/>
        <w:pageBreakBefore w:val="0"/>
        <w:kinsoku/>
        <w:wordWrap/>
        <w:overflowPunct/>
        <w:topLinePunct w:val="0"/>
        <w:bidi w:val="0"/>
        <w:spacing w:before="225" w:line="228" w:lineRule="auto"/>
        <w:ind w:left="20"/>
        <w:rPr>
          <w:rFonts w:ascii="宋体" w:hAnsi="宋体" w:eastAsia="宋体" w:cs="宋体"/>
          <w:sz w:val="20"/>
          <w:szCs w:val="20"/>
          <w:highlight w:val="none"/>
        </w:rPr>
      </w:pPr>
      <w:r>
        <w:rPr>
          <w:rFonts w:ascii="宋体" w:hAnsi="宋体" w:eastAsia="宋体" w:cs="宋体"/>
          <w:b/>
          <w:bCs/>
          <w:spacing w:val="5"/>
          <w:sz w:val="20"/>
          <w:szCs w:val="20"/>
          <w:highlight w:val="none"/>
        </w:rPr>
        <w:t>（二）资格审查</w:t>
      </w:r>
    </w:p>
    <w:p w14:paraId="6BD19EDC">
      <w:pPr>
        <w:keepNext w:val="0"/>
        <w:keepLines w:val="0"/>
        <w:pageBreakBefore w:val="0"/>
        <w:kinsoku/>
        <w:wordWrap/>
        <w:overflowPunct/>
        <w:topLinePunct w:val="0"/>
        <w:bidi w:val="0"/>
        <w:spacing w:before="231" w:line="227" w:lineRule="auto"/>
        <w:ind w:left="452"/>
        <w:rPr>
          <w:rFonts w:ascii="宋体" w:hAnsi="宋体" w:eastAsia="宋体" w:cs="宋体"/>
          <w:sz w:val="20"/>
          <w:szCs w:val="20"/>
          <w:highlight w:val="none"/>
        </w:rPr>
      </w:pPr>
      <w:r>
        <w:rPr>
          <w:rFonts w:ascii="宋体" w:hAnsi="宋体" w:eastAsia="宋体" w:cs="宋体"/>
          <w:spacing w:val="9"/>
          <w:sz w:val="20"/>
          <w:szCs w:val="20"/>
          <w:highlight w:val="none"/>
        </w:rPr>
        <w:t>1.开标结束后，采购人或采购代理机构应当</w:t>
      </w:r>
      <w:r>
        <w:rPr>
          <w:rFonts w:ascii="宋体" w:hAnsi="宋体" w:eastAsia="宋体" w:cs="宋体"/>
          <w:spacing w:val="8"/>
          <w:sz w:val="20"/>
          <w:szCs w:val="20"/>
          <w:highlight w:val="none"/>
        </w:rPr>
        <w:t>依法对投标人的资格进行审查。</w:t>
      </w:r>
    </w:p>
    <w:p w14:paraId="24693F25">
      <w:pPr>
        <w:keepNext w:val="0"/>
        <w:keepLines w:val="0"/>
        <w:pageBreakBefore w:val="0"/>
        <w:kinsoku/>
        <w:wordWrap/>
        <w:overflowPunct/>
        <w:topLinePunct w:val="0"/>
        <w:bidi w:val="0"/>
        <w:spacing w:before="228" w:line="439" w:lineRule="auto"/>
        <w:ind w:firstLine="439"/>
        <w:rPr>
          <w:rFonts w:ascii="宋体" w:hAnsi="宋体" w:eastAsia="宋体" w:cs="宋体"/>
          <w:sz w:val="20"/>
          <w:szCs w:val="20"/>
          <w:highlight w:val="none"/>
        </w:rPr>
      </w:pPr>
      <w:r>
        <w:rPr>
          <w:rFonts w:ascii="宋体" w:hAnsi="宋体" w:eastAsia="宋体" w:cs="宋体"/>
          <w:b/>
          <w:bCs/>
          <w:spacing w:val="9"/>
          <w:sz w:val="20"/>
          <w:szCs w:val="20"/>
          <w:highlight w:val="none"/>
        </w:rPr>
        <w:t>2.资格审查标准：投标人资格审查内容按照招标文件第二</w:t>
      </w:r>
      <w:r>
        <w:rPr>
          <w:rFonts w:ascii="宋体" w:hAnsi="宋体" w:eastAsia="宋体" w:cs="宋体"/>
          <w:b/>
          <w:bCs/>
          <w:spacing w:val="8"/>
          <w:sz w:val="20"/>
          <w:szCs w:val="20"/>
          <w:highlight w:val="none"/>
        </w:rPr>
        <w:t>章《投标人须知前附表》第</w:t>
      </w:r>
      <w:r>
        <w:rPr>
          <w:rFonts w:ascii="宋体" w:hAnsi="宋体" w:eastAsia="宋体" w:cs="宋体"/>
          <w:spacing w:val="-19"/>
          <w:sz w:val="20"/>
          <w:szCs w:val="20"/>
          <w:highlight w:val="none"/>
        </w:rPr>
        <w:t xml:space="preserve"> </w:t>
      </w:r>
      <w:r>
        <w:rPr>
          <w:rFonts w:ascii="宋体" w:hAnsi="宋体" w:eastAsia="宋体" w:cs="宋体"/>
          <w:b/>
          <w:bCs/>
          <w:spacing w:val="8"/>
          <w:sz w:val="20"/>
          <w:szCs w:val="20"/>
          <w:highlight w:val="none"/>
        </w:rPr>
        <w:t>1.4.1</w:t>
      </w:r>
      <w:r>
        <w:rPr>
          <w:rFonts w:ascii="宋体" w:hAnsi="宋体" w:eastAsia="宋体" w:cs="宋体"/>
          <w:spacing w:val="-32"/>
          <w:sz w:val="20"/>
          <w:szCs w:val="20"/>
          <w:highlight w:val="none"/>
        </w:rPr>
        <w:t xml:space="preserve"> </w:t>
      </w:r>
      <w:r>
        <w:rPr>
          <w:rFonts w:ascii="宋体" w:hAnsi="宋体" w:eastAsia="宋体" w:cs="宋体"/>
          <w:b/>
          <w:bCs/>
          <w:spacing w:val="8"/>
          <w:sz w:val="20"/>
          <w:szCs w:val="20"/>
          <w:highlight w:val="none"/>
        </w:rPr>
        <w:t>项</w:t>
      </w:r>
      <w:r>
        <w:rPr>
          <w:rFonts w:ascii="宋体" w:hAnsi="宋体" w:eastAsia="宋体" w:cs="宋体"/>
          <w:b/>
          <w:bCs/>
          <w:spacing w:val="7"/>
          <w:sz w:val="20"/>
          <w:szCs w:val="20"/>
          <w:highlight w:val="none"/>
        </w:rPr>
        <w:t>“投标人资质条件、能力和信誉</w:t>
      </w:r>
      <w:r>
        <w:rPr>
          <w:rFonts w:ascii="宋体" w:hAnsi="宋体" w:eastAsia="宋体" w:cs="宋体"/>
          <w:spacing w:val="-70"/>
          <w:sz w:val="20"/>
          <w:szCs w:val="20"/>
          <w:highlight w:val="none"/>
        </w:rPr>
        <w:t xml:space="preserve"> </w:t>
      </w:r>
      <w:r>
        <w:rPr>
          <w:rFonts w:ascii="宋体" w:hAnsi="宋体" w:eastAsia="宋体" w:cs="宋体"/>
          <w:b/>
          <w:bCs/>
          <w:spacing w:val="7"/>
          <w:sz w:val="20"/>
          <w:szCs w:val="20"/>
          <w:highlight w:val="none"/>
        </w:rPr>
        <w:t>”，参照投标人递交的相应资</w:t>
      </w:r>
      <w:r>
        <w:rPr>
          <w:rFonts w:ascii="宋体" w:hAnsi="宋体" w:eastAsia="宋体" w:cs="宋体"/>
          <w:b/>
          <w:bCs/>
          <w:spacing w:val="6"/>
          <w:sz w:val="20"/>
          <w:szCs w:val="20"/>
          <w:highlight w:val="none"/>
        </w:rPr>
        <w:t>料，审查投标人的资格是否符合要求，</w:t>
      </w:r>
      <w:r>
        <w:rPr>
          <w:rFonts w:ascii="宋体" w:hAnsi="宋体" w:eastAsia="宋体" w:cs="宋体"/>
          <w:b/>
          <w:bCs/>
          <w:spacing w:val="7"/>
          <w:sz w:val="20"/>
          <w:szCs w:val="20"/>
          <w:highlight w:val="none"/>
        </w:rPr>
        <w:t>详见“资格性审查表</w:t>
      </w:r>
      <w:r>
        <w:rPr>
          <w:rFonts w:ascii="宋体" w:hAnsi="宋体" w:eastAsia="宋体" w:cs="宋体"/>
          <w:spacing w:val="-64"/>
          <w:sz w:val="20"/>
          <w:szCs w:val="20"/>
          <w:highlight w:val="none"/>
        </w:rPr>
        <w:t xml:space="preserve"> </w:t>
      </w:r>
      <w:r>
        <w:rPr>
          <w:rFonts w:ascii="宋体" w:hAnsi="宋体" w:eastAsia="宋体" w:cs="宋体"/>
          <w:b/>
          <w:bCs/>
          <w:spacing w:val="7"/>
          <w:sz w:val="20"/>
          <w:szCs w:val="20"/>
          <w:highlight w:val="none"/>
        </w:rPr>
        <w:t>”。</w:t>
      </w:r>
    </w:p>
    <w:p w14:paraId="537577CC">
      <w:pPr>
        <w:keepNext w:val="0"/>
        <w:keepLines w:val="0"/>
        <w:pageBreakBefore w:val="0"/>
        <w:kinsoku/>
        <w:wordWrap/>
        <w:overflowPunct/>
        <w:topLinePunct w:val="0"/>
        <w:bidi w:val="0"/>
        <w:spacing w:before="1" w:line="439" w:lineRule="auto"/>
        <w:ind w:left="8" w:right="54" w:firstLine="428"/>
        <w:jc w:val="both"/>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b/>
          <w:bCs/>
          <w:color w:val="000000" w:themeColor="text1"/>
          <w:spacing w:val="11"/>
          <w:sz w:val="20"/>
          <w:szCs w:val="20"/>
          <w:highlight w:val="none"/>
          <w14:textFill>
            <w14:solidFill>
              <w14:schemeClr w14:val="tx1"/>
            </w14:solidFill>
          </w14:textFill>
        </w:rPr>
        <w:t>注：鉴于目前河南省公共资源交易中心开标评标系统的要</w:t>
      </w:r>
      <w:r>
        <w:rPr>
          <w:rFonts w:ascii="宋体" w:hAnsi="宋体" w:eastAsia="宋体" w:cs="宋体"/>
          <w:b/>
          <w:bCs/>
          <w:color w:val="000000" w:themeColor="text1"/>
          <w:spacing w:val="10"/>
          <w:sz w:val="20"/>
          <w:szCs w:val="20"/>
          <w:highlight w:val="none"/>
          <w14:textFill>
            <w14:solidFill>
              <w14:schemeClr w14:val="tx1"/>
            </w14:solidFill>
          </w14:textFill>
        </w:rPr>
        <w:t>求，请各投标人务必将投标文件中的</w:t>
      </w:r>
      <w:r>
        <w:rPr>
          <w:rFonts w:ascii="宋体" w:hAnsi="宋体" w:eastAsia="宋体" w:cs="宋体"/>
          <w:b/>
          <w:bCs/>
          <w:color w:val="000000" w:themeColor="text1"/>
          <w:spacing w:val="8"/>
          <w:sz w:val="20"/>
          <w:szCs w:val="20"/>
          <w:highlight w:val="none"/>
          <w14:textFill>
            <w14:solidFill>
              <w14:schemeClr w14:val="tx1"/>
            </w14:solidFill>
          </w14:textFill>
        </w:rPr>
        <w:t>所有资格证明材料（包括但不限于上表相关内</w:t>
      </w:r>
      <w:r>
        <w:rPr>
          <w:rFonts w:ascii="宋体" w:hAnsi="宋体" w:eastAsia="宋体" w:cs="宋体"/>
          <w:b/>
          <w:bCs/>
          <w:color w:val="000000" w:themeColor="text1"/>
          <w:spacing w:val="7"/>
          <w:sz w:val="20"/>
          <w:szCs w:val="20"/>
          <w:highlight w:val="none"/>
          <w14:textFill>
            <w14:solidFill>
              <w14:schemeClr w14:val="tx1"/>
            </w14:solidFill>
          </w14:textFill>
        </w:rPr>
        <w:t>容）上传至“投标文件-资格审查材料</w:t>
      </w:r>
      <w:r>
        <w:rPr>
          <w:rFonts w:ascii="宋体" w:hAnsi="宋体" w:eastAsia="宋体" w:cs="宋体"/>
          <w:color w:val="000000" w:themeColor="text1"/>
          <w:spacing w:val="-70"/>
          <w:sz w:val="20"/>
          <w:szCs w:val="20"/>
          <w:highlight w:val="none"/>
          <w14:textFill>
            <w14:solidFill>
              <w14:schemeClr w14:val="tx1"/>
            </w14:solidFill>
          </w14:textFill>
        </w:rPr>
        <w:t xml:space="preserve"> </w:t>
      </w:r>
      <w:r>
        <w:rPr>
          <w:rFonts w:ascii="宋体" w:hAnsi="宋体" w:eastAsia="宋体" w:cs="宋体"/>
          <w:b/>
          <w:bCs/>
          <w:color w:val="000000" w:themeColor="text1"/>
          <w:spacing w:val="7"/>
          <w:sz w:val="20"/>
          <w:szCs w:val="20"/>
          <w:highlight w:val="none"/>
          <w14:textFill>
            <w14:solidFill>
              <w14:schemeClr w14:val="tx1"/>
            </w14:solidFill>
          </w14:textFill>
        </w:rPr>
        <w:t>”中。开标后采</w:t>
      </w:r>
      <w:r>
        <w:rPr>
          <w:rFonts w:ascii="宋体" w:hAnsi="宋体" w:eastAsia="宋体" w:cs="宋体"/>
          <w:b/>
          <w:bCs/>
          <w:color w:val="000000" w:themeColor="text1"/>
          <w:spacing w:val="10"/>
          <w:sz w:val="20"/>
          <w:szCs w:val="20"/>
          <w:highlight w:val="none"/>
          <w14:textFill>
            <w14:solidFill>
              <w14:schemeClr w14:val="tx1"/>
            </w14:solidFill>
          </w14:textFill>
        </w:rPr>
        <w:t>购人或采购代理机构审查投标文件的资格情况时，仅能查阅投标文件中的“资格审查材料</w:t>
      </w:r>
      <w:r>
        <w:rPr>
          <w:rFonts w:ascii="宋体" w:hAnsi="宋体" w:eastAsia="宋体" w:cs="宋体"/>
          <w:color w:val="000000" w:themeColor="text1"/>
          <w:spacing w:val="-68"/>
          <w:sz w:val="20"/>
          <w:szCs w:val="20"/>
          <w:highlight w:val="none"/>
          <w14:textFill>
            <w14:solidFill>
              <w14:schemeClr w14:val="tx1"/>
            </w14:solidFill>
          </w14:textFill>
        </w:rPr>
        <w:t xml:space="preserve"> </w:t>
      </w:r>
      <w:r>
        <w:rPr>
          <w:rFonts w:ascii="宋体" w:hAnsi="宋体" w:eastAsia="宋体" w:cs="宋体"/>
          <w:b/>
          <w:bCs/>
          <w:color w:val="000000" w:themeColor="text1"/>
          <w:spacing w:val="10"/>
          <w:sz w:val="20"/>
          <w:szCs w:val="20"/>
          <w:highlight w:val="none"/>
          <w14:textFill>
            <w14:solidFill>
              <w14:schemeClr w14:val="tx1"/>
            </w14:solidFill>
          </w14:textFill>
        </w:rPr>
        <w:t>”，</w:t>
      </w:r>
      <w:r>
        <w:rPr>
          <w:rFonts w:ascii="宋体" w:hAnsi="宋体" w:eastAsia="宋体" w:cs="宋体"/>
          <w:b/>
          <w:bCs/>
          <w:color w:val="000000" w:themeColor="text1"/>
          <w:spacing w:val="9"/>
          <w:sz w:val="20"/>
          <w:szCs w:val="20"/>
          <w:highlight w:val="none"/>
          <w14:textFill>
            <w14:solidFill>
              <w14:schemeClr w14:val="tx1"/>
            </w14:solidFill>
          </w14:textFill>
        </w:rPr>
        <w:t>故若</w:t>
      </w:r>
      <w:r>
        <w:rPr>
          <w:rFonts w:ascii="宋体" w:hAnsi="宋体" w:eastAsia="宋体" w:cs="宋体"/>
          <w:b/>
          <w:bCs/>
          <w:color w:val="000000" w:themeColor="text1"/>
          <w:spacing w:val="8"/>
          <w:sz w:val="20"/>
          <w:szCs w:val="20"/>
          <w:highlight w:val="none"/>
          <w14:textFill>
            <w14:solidFill>
              <w14:schemeClr w14:val="tx1"/>
            </w14:solidFill>
          </w14:textFill>
        </w:rPr>
        <w:t>投标人的资格审查材料中缺失相关材料或没有相关资格材料，将视为不符合招标文件资格要求。</w:t>
      </w:r>
    </w:p>
    <w:p w14:paraId="15A51BE0">
      <w:pPr>
        <w:keepNext w:val="0"/>
        <w:keepLines w:val="0"/>
        <w:pageBreakBefore w:val="0"/>
        <w:kinsoku/>
        <w:wordWrap/>
        <w:overflowPunct/>
        <w:topLinePunct w:val="0"/>
        <w:bidi w:val="0"/>
        <w:spacing w:before="2" w:line="439" w:lineRule="auto"/>
        <w:ind w:left="12" w:right="19" w:firstLine="428"/>
        <w:jc w:val="both"/>
        <w:rPr>
          <w:rFonts w:ascii="宋体" w:hAnsi="宋体" w:eastAsia="宋体" w:cs="宋体"/>
          <w:sz w:val="20"/>
          <w:szCs w:val="20"/>
        </w:rPr>
      </w:pPr>
      <w:r>
        <w:rPr>
          <w:rFonts w:ascii="宋体" w:hAnsi="宋体" w:eastAsia="宋体" w:cs="宋体"/>
          <w:spacing w:val="8"/>
          <w:sz w:val="20"/>
          <w:szCs w:val="20"/>
        </w:rPr>
        <w:t>3.资格审查程序：资格审查人员依据本章资格性审查表规定的标准对投标文件进行资格性审查，</w:t>
      </w:r>
      <w:r>
        <w:rPr>
          <w:rFonts w:ascii="宋体" w:hAnsi="宋体" w:eastAsia="宋体" w:cs="宋体"/>
          <w:spacing w:val="7"/>
          <w:sz w:val="20"/>
          <w:szCs w:val="20"/>
        </w:rPr>
        <w:t>以确定投标人是否具备投标资格，有一项不符合审查标准的，资格审查人员将认定其</w:t>
      </w:r>
      <w:r>
        <w:rPr>
          <w:rFonts w:ascii="宋体" w:hAnsi="宋体" w:eastAsia="宋体" w:cs="宋体"/>
          <w:b/>
          <w:bCs/>
          <w:spacing w:val="7"/>
          <w:sz w:val="20"/>
          <w:szCs w:val="20"/>
        </w:rPr>
        <w:t>投标无效</w:t>
      </w:r>
      <w:r>
        <w:rPr>
          <w:rFonts w:ascii="宋体" w:hAnsi="宋体" w:eastAsia="宋体" w:cs="宋体"/>
          <w:spacing w:val="7"/>
          <w:sz w:val="20"/>
          <w:szCs w:val="20"/>
        </w:rPr>
        <w:t>，有效</w:t>
      </w:r>
      <w:r>
        <w:rPr>
          <w:rFonts w:ascii="宋体" w:hAnsi="宋体" w:eastAsia="宋体" w:cs="宋体"/>
          <w:spacing w:val="8"/>
          <w:sz w:val="20"/>
          <w:szCs w:val="20"/>
        </w:rPr>
        <w:t>投标人不足3家的，将不进入评审阶段。</w:t>
      </w:r>
    </w:p>
    <w:p w14:paraId="241428ED">
      <w:pPr>
        <w:pStyle w:val="4"/>
        <w:keepNext w:val="0"/>
        <w:keepLines w:val="0"/>
        <w:pageBreakBefore w:val="0"/>
        <w:kinsoku/>
        <w:wordWrap/>
        <w:overflowPunct/>
        <w:topLinePunct w:val="0"/>
        <w:bidi w:val="0"/>
        <w:spacing w:line="382" w:lineRule="auto"/>
      </w:pPr>
    </w:p>
    <w:p w14:paraId="3A2F46B2">
      <w:pPr>
        <w:keepNext w:val="0"/>
        <w:keepLines w:val="0"/>
        <w:pageBreakBefore w:val="0"/>
        <w:kinsoku/>
        <w:wordWrap/>
        <w:overflowPunct/>
        <w:topLinePunct w:val="0"/>
        <w:bidi w:val="0"/>
        <w:spacing w:before="78" w:line="219" w:lineRule="auto"/>
        <w:ind w:left="3878"/>
        <w:rPr>
          <w:rFonts w:ascii="宋体" w:hAnsi="宋体" w:eastAsia="宋体" w:cs="宋体"/>
          <w:sz w:val="24"/>
          <w:szCs w:val="24"/>
        </w:rPr>
      </w:pPr>
      <w:r>
        <w:rPr>
          <w:rFonts w:ascii="宋体" w:hAnsi="宋体" w:eastAsia="宋体" w:cs="宋体"/>
          <w:b/>
          <w:bCs/>
          <w:spacing w:val="-6"/>
          <w:sz w:val="24"/>
          <w:szCs w:val="24"/>
        </w:rPr>
        <w:t>资格性审查表</w:t>
      </w:r>
    </w:p>
    <w:p w14:paraId="30FD6758">
      <w:pPr>
        <w:keepNext w:val="0"/>
        <w:keepLines w:val="0"/>
        <w:pageBreakBefore w:val="0"/>
        <w:kinsoku/>
        <w:wordWrap/>
        <w:overflowPunct/>
        <w:topLinePunct w:val="0"/>
        <w:bidi w:val="0"/>
        <w:spacing w:line="72" w:lineRule="exact"/>
      </w:pPr>
    </w:p>
    <w:tbl>
      <w:tblPr>
        <w:tblStyle w:val="30"/>
        <w:tblW w:w="907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2391"/>
        <w:gridCol w:w="5910"/>
      </w:tblGrid>
      <w:tr w14:paraId="7324E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774" w:type="dxa"/>
            <w:vAlign w:val="top"/>
          </w:tcPr>
          <w:p w14:paraId="17F9B1C1">
            <w:pPr>
              <w:pStyle w:val="31"/>
              <w:keepNext w:val="0"/>
              <w:keepLines w:val="0"/>
              <w:pageBreakBefore w:val="0"/>
              <w:kinsoku/>
              <w:wordWrap/>
              <w:overflowPunct/>
              <w:topLinePunct w:val="0"/>
              <w:bidi w:val="0"/>
              <w:spacing w:before="182" w:line="229" w:lineRule="auto"/>
              <w:ind w:left="181"/>
            </w:pPr>
            <w:r>
              <w:rPr>
                <w:b/>
                <w:bCs/>
                <w:spacing w:val="4"/>
              </w:rPr>
              <w:t>序号</w:t>
            </w:r>
          </w:p>
        </w:tc>
        <w:tc>
          <w:tcPr>
            <w:tcW w:w="2391" w:type="dxa"/>
            <w:vAlign w:val="top"/>
          </w:tcPr>
          <w:p w14:paraId="123FAB2A">
            <w:pPr>
              <w:pStyle w:val="31"/>
              <w:keepNext w:val="0"/>
              <w:keepLines w:val="0"/>
              <w:pageBreakBefore w:val="0"/>
              <w:kinsoku/>
              <w:wordWrap/>
              <w:overflowPunct/>
              <w:topLinePunct w:val="0"/>
              <w:bidi w:val="0"/>
              <w:spacing w:before="182" w:line="228" w:lineRule="auto"/>
              <w:ind w:left="789"/>
            </w:pPr>
            <w:r>
              <w:rPr>
                <w:b/>
                <w:bCs/>
                <w:spacing w:val="3"/>
              </w:rPr>
              <w:t>审查因素</w:t>
            </w:r>
          </w:p>
        </w:tc>
        <w:tc>
          <w:tcPr>
            <w:tcW w:w="5910" w:type="dxa"/>
            <w:vAlign w:val="top"/>
          </w:tcPr>
          <w:p w14:paraId="0231D056">
            <w:pPr>
              <w:pStyle w:val="31"/>
              <w:keepNext w:val="0"/>
              <w:keepLines w:val="0"/>
              <w:pageBreakBefore w:val="0"/>
              <w:kinsoku/>
              <w:wordWrap/>
              <w:overflowPunct/>
              <w:topLinePunct w:val="0"/>
              <w:bidi w:val="0"/>
              <w:spacing w:before="182" w:line="228" w:lineRule="auto"/>
              <w:ind w:left="2547"/>
            </w:pPr>
            <w:r>
              <w:rPr>
                <w:b/>
                <w:bCs/>
                <w:spacing w:val="3"/>
              </w:rPr>
              <w:t>审查内容</w:t>
            </w:r>
          </w:p>
        </w:tc>
      </w:tr>
      <w:tr w14:paraId="45798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jc w:val="center"/>
        </w:trPr>
        <w:tc>
          <w:tcPr>
            <w:tcW w:w="774" w:type="dxa"/>
            <w:vAlign w:val="top"/>
          </w:tcPr>
          <w:p w14:paraId="5A24C324">
            <w:pPr>
              <w:keepNext w:val="0"/>
              <w:keepLines w:val="0"/>
              <w:pageBreakBefore w:val="0"/>
              <w:kinsoku/>
              <w:wordWrap/>
              <w:overflowPunct/>
              <w:topLinePunct w:val="0"/>
              <w:bidi w:val="0"/>
              <w:spacing w:line="305" w:lineRule="auto"/>
              <w:rPr>
                <w:rFonts w:ascii="Arial"/>
                <w:sz w:val="21"/>
              </w:rPr>
            </w:pPr>
          </w:p>
          <w:p w14:paraId="75CE9D37">
            <w:pPr>
              <w:pStyle w:val="31"/>
              <w:keepNext w:val="0"/>
              <w:keepLines w:val="0"/>
              <w:pageBreakBefore w:val="0"/>
              <w:kinsoku/>
              <w:wordWrap/>
              <w:overflowPunct/>
              <w:topLinePunct w:val="0"/>
              <w:bidi w:val="0"/>
              <w:spacing w:before="65" w:line="270" w:lineRule="exact"/>
              <w:ind w:left="356"/>
            </w:pPr>
            <w:r>
              <w:rPr>
                <w:position w:val="1"/>
              </w:rPr>
              <w:t>1</w:t>
            </w:r>
          </w:p>
        </w:tc>
        <w:tc>
          <w:tcPr>
            <w:tcW w:w="2391" w:type="dxa"/>
            <w:vAlign w:val="top"/>
          </w:tcPr>
          <w:p w14:paraId="29AA91F6">
            <w:pPr>
              <w:pStyle w:val="31"/>
              <w:keepNext w:val="0"/>
              <w:keepLines w:val="0"/>
              <w:pageBreakBefore w:val="0"/>
              <w:kinsoku/>
              <w:wordWrap/>
              <w:overflowPunct/>
              <w:topLinePunct w:val="0"/>
              <w:bidi w:val="0"/>
              <w:spacing w:before="134" w:line="228" w:lineRule="auto"/>
              <w:ind w:left="153"/>
            </w:pPr>
            <w:r>
              <w:rPr>
                <w:spacing w:val="8"/>
              </w:rPr>
              <w:t>具有独立承担民事责任</w:t>
            </w:r>
          </w:p>
          <w:p w14:paraId="5605843B">
            <w:pPr>
              <w:pStyle w:val="31"/>
              <w:keepNext w:val="0"/>
              <w:keepLines w:val="0"/>
              <w:pageBreakBefore w:val="0"/>
              <w:kinsoku/>
              <w:wordWrap/>
              <w:overflowPunct/>
              <w:topLinePunct w:val="0"/>
              <w:bidi w:val="0"/>
              <w:spacing w:before="228" w:line="228" w:lineRule="auto"/>
              <w:ind w:left="901"/>
            </w:pPr>
            <w:r>
              <w:rPr>
                <w:spacing w:val="1"/>
              </w:rPr>
              <w:t>的能力</w:t>
            </w:r>
          </w:p>
        </w:tc>
        <w:tc>
          <w:tcPr>
            <w:tcW w:w="5910" w:type="dxa"/>
            <w:vAlign w:val="top"/>
          </w:tcPr>
          <w:p w14:paraId="036E6B78">
            <w:pPr>
              <w:pStyle w:val="31"/>
              <w:keepNext w:val="0"/>
              <w:keepLines w:val="0"/>
              <w:pageBreakBefore w:val="0"/>
              <w:kinsoku/>
              <w:wordWrap/>
              <w:overflowPunct/>
              <w:topLinePunct w:val="0"/>
              <w:bidi w:val="0"/>
              <w:spacing w:before="134" w:line="374" w:lineRule="auto"/>
              <w:ind w:left="117" w:right="131" w:hanging="4"/>
            </w:pPr>
            <w:r>
              <w:rPr>
                <w:spacing w:val="9"/>
              </w:rPr>
              <w:t>法人或者其他组织或自然人，提供有效的营业执照或其他相同</w:t>
            </w:r>
            <w:r>
              <w:rPr>
                <w:spacing w:val="7"/>
              </w:rPr>
              <w:t>效力的证明文件</w:t>
            </w:r>
          </w:p>
        </w:tc>
      </w:tr>
      <w:tr w14:paraId="07D69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0" w:hRule="atLeast"/>
          <w:jc w:val="center"/>
        </w:trPr>
        <w:tc>
          <w:tcPr>
            <w:tcW w:w="774" w:type="dxa"/>
            <w:vAlign w:val="top"/>
          </w:tcPr>
          <w:p w14:paraId="5577D0DA">
            <w:pPr>
              <w:keepNext w:val="0"/>
              <w:keepLines w:val="0"/>
              <w:pageBreakBefore w:val="0"/>
              <w:kinsoku/>
              <w:wordWrap/>
              <w:overflowPunct/>
              <w:topLinePunct w:val="0"/>
              <w:bidi w:val="0"/>
              <w:spacing w:line="270" w:lineRule="auto"/>
              <w:rPr>
                <w:rFonts w:ascii="Arial"/>
                <w:sz w:val="21"/>
              </w:rPr>
            </w:pPr>
          </w:p>
          <w:p w14:paraId="5224F602">
            <w:pPr>
              <w:keepNext w:val="0"/>
              <w:keepLines w:val="0"/>
              <w:pageBreakBefore w:val="0"/>
              <w:kinsoku/>
              <w:wordWrap/>
              <w:overflowPunct/>
              <w:topLinePunct w:val="0"/>
              <w:bidi w:val="0"/>
              <w:spacing w:line="271" w:lineRule="auto"/>
              <w:rPr>
                <w:rFonts w:ascii="Arial"/>
                <w:sz w:val="21"/>
              </w:rPr>
            </w:pPr>
          </w:p>
          <w:p w14:paraId="5944286A">
            <w:pPr>
              <w:pStyle w:val="31"/>
              <w:keepNext w:val="0"/>
              <w:keepLines w:val="0"/>
              <w:pageBreakBefore w:val="0"/>
              <w:kinsoku/>
              <w:wordWrap/>
              <w:overflowPunct/>
              <w:topLinePunct w:val="0"/>
              <w:bidi w:val="0"/>
              <w:spacing w:before="65" w:line="270" w:lineRule="exact"/>
              <w:ind w:left="343"/>
            </w:pPr>
            <w:r>
              <w:rPr>
                <w:position w:val="1"/>
              </w:rPr>
              <w:t>2</w:t>
            </w:r>
          </w:p>
        </w:tc>
        <w:tc>
          <w:tcPr>
            <w:tcW w:w="2391" w:type="dxa"/>
            <w:vAlign w:val="top"/>
          </w:tcPr>
          <w:p w14:paraId="69EA051F">
            <w:pPr>
              <w:keepNext w:val="0"/>
              <w:keepLines w:val="0"/>
              <w:pageBreakBefore w:val="0"/>
              <w:kinsoku/>
              <w:wordWrap/>
              <w:overflowPunct/>
              <w:topLinePunct w:val="0"/>
              <w:bidi w:val="0"/>
              <w:spacing w:line="304" w:lineRule="auto"/>
              <w:rPr>
                <w:rFonts w:ascii="Arial"/>
                <w:sz w:val="21"/>
              </w:rPr>
            </w:pPr>
          </w:p>
          <w:p w14:paraId="6D9647AC">
            <w:pPr>
              <w:pStyle w:val="31"/>
              <w:keepNext w:val="0"/>
              <w:keepLines w:val="0"/>
              <w:pageBreakBefore w:val="0"/>
              <w:kinsoku/>
              <w:wordWrap/>
              <w:overflowPunct/>
              <w:topLinePunct w:val="0"/>
              <w:bidi w:val="0"/>
              <w:spacing w:before="65" w:line="440" w:lineRule="auto"/>
              <w:ind w:left="254" w:right="146" w:hanging="101"/>
            </w:pPr>
            <w:r>
              <w:rPr>
                <w:spacing w:val="8"/>
              </w:rPr>
              <w:t>具有良好的商业信誉和健全的财务会计制度</w:t>
            </w:r>
          </w:p>
        </w:tc>
        <w:tc>
          <w:tcPr>
            <w:tcW w:w="5910" w:type="dxa"/>
            <w:vAlign w:val="top"/>
          </w:tcPr>
          <w:p w14:paraId="6C8F18FE">
            <w:pPr>
              <w:pStyle w:val="31"/>
              <w:keepNext w:val="0"/>
              <w:keepLines w:val="0"/>
              <w:pageBreakBefore w:val="0"/>
              <w:kinsoku/>
              <w:wordWrap/>
              <w:overflowPunct/>
              <w:topLinePunct w:val="0"/>
              <w:bidi w:val="0"/>
              <w:spacing w:before="136" w:line="395" w:lineRule="auto"/>
              <w:ind w:left="113" w:right="131"/>
              <w:jc w:val="both"/>
            </w:pPr>
            <w:r>
              <w:rPr>
                <w:spacing w:val="7"/>
              </w:rPr>
              <w:t>提供经审计的</w:t>
            </w:r>
            <w:r>
              <w:rPr>
                <w:spacing w:val="-34"/>
              </w:rPr>
              <w:t xml:space="preserve"> </w:t>
            </w:r>
            <w:r>
              <w:rPr>
                <w:spacing w:val="7"/>
              </w:rPr>
              <w:t>2024</w:t>
            </w:r>
            <w:r>
              <w:rPr>
                <w:spacing w:val="-37"/>
              </w:rPr>
              <w:t xml:space="preserve"> </w:t>
            </w:r>
            <w:r>
              <w:rPr>
                <w:spacing w:val="7"/>
              </w:rPr>
              <w:t>年度或</w:t>
            </w:r>
            <w:r>
              <w:rPr>
                <w:spacing w:val="-37"/>
              </w:rPr>
              <w:t xml:space="preserve"> </w:t>
            </w:r>
            <w:r>
              <w:rPr>
                <w:spacing w:val="7"/>
              </w:rPr>
              <w:t>2025</w:t>
            </w:r>
            <w:r>
              <w:rPr>
                <w:spacing w:val="-40"/>
              </w:rPr>
              <w:t xml:space="preserve"> </w:t>
            </w:r>
            <w:r>
              <w:rPr>
                <w:spacing w:val="7"/>
              </w:rPr>
              <w:t>年度财务状况报告（</w:t>
            </w:r>
            <w:r>
              <w:rPr>
                <w:spacing w:val="6"/>
              </w:rPr>
              <w:t>至递交投</w:t>
            </w:r>
            <w:r>
              <w:rPr>
                <w:spacing w:val="9"/>
              </w:rPr>
              <w:t>标文件截止日成立年限不足一年的企业可提供近三个月内其基</w:t>
            </w:r>
            <w:r>
              <w:rPr>
                <w:spacing w:val="8"/>
              </w:rPr>
              <w:t>本开户银行出具的资信证明）</w:t>
            </w:r>
          </w:p>
        </w:tc>
      </w:tr>
      <w:tr w14:paraId="2241F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jc w:val="center"/>
        </w:trPr>
        <w:tc>
          <w:tcPr>
            <w:tcW w:w="774" w:type="dxa"/>
            <w:vAlign w:val="top"/>
          </w:tcPr>
          <w:p w14:paraId="79FAEBBA">
            <w:pPr>
              <w:keepNext w:val="0"/>
              <w:keepLines w:val="0"/>
              <w:pageBreakBefore w:val="0"/>
              <w:kinsoku/>
              <w:wordWrap/>
              <w:overflowPunct/>
              <w:topLinePunct w:val="0"/>
              <w:bidi w:val="0"/>
              <w:spacing w:line="305" w:lineRule="auto"/>
              <w:rPr>
                <w:rFonts w:ascii="Arial"/>
                <w:sz w:val="21"/>
              </w:rPr>
            </w:pPr>
          </w:p>
          <w:p w14:paraId="7A67EF0E">
            <w:pPr>
              <w:pStyle w:val="31"/>
              <w:keepNext w:val="0"/>
              <w:keepLines w:val="0"/>
              <w:pageBreakBefore w:val="0"/>
              <w:kinsoku/>
              <w:wordWrap/>
              <w:overflowPunct/>
              <w:topLinePunct w:val="0"/>
              <w:bidi w:val="0"/>
              <w:spacing w:before="65" w:line="269" w:lineRule="exact"/>
              <w:ind w:left="344"/>
            </w:pPr>
            <w:r>
              <w:rPr>
                <w:position w:val="1"/>
              </w:rPr>
              <w:t>3</w:t>
            </w:r>
          </w:p>
        </w:tc>
        <w:tc>
          <w:tcPr>
            <w:tcW w:w="2391" w:type="dxa"/>
            <w:vAlign w:val="top"/>
          </w:tcPr>
          <w:p w14:paraId="27BDAF64">
            <w:pPr>
              <w:pStyle w:val="31"/>
              <w:keepNext w:val="0"/>
              <w:keepLines w:val="0"/>
              <w:pageBreakBefore w:val="0"/>
              <w:kinsoku/>
              <w:wordWrap/>
              <w:overflowPunct/>
              <w:topLinePunct w:val="0"/>
              <w:bidi w:val="0"/>
              <w:spacing w:before="136" w:line="373" w:lineRule="auto"/>
              <w:ind w:left="257" w:right="146" w:hanging="104"/>
            </w:pPr>
            <w:r>
              <w:rPr>
                <w:spacing w:val="8"/>
              </w:rPr>
              <w:t>具有履行合同所必需的设备和专业技术能力</w:t>
            </w:r>
          </w:p>
        </w:tc>
        <w:tc>
          <w:tcPr>
            <w:tcW w:w="5910" w:type="dxa"/>
            <w:vAlign w:val="top"/>
          </w:tcPr>
          <w:p w14:paraId="6457168F">
            <w:pPr>
              <w:keepNext w:val="0"/>
              <w:keepLines w:val="0"/>
              <w:pageBreakBefore w:val="0"/>
              <w:kinsoku/>
              <w:wordWrap/>
              <w:overflowPunct/>
              <w:topLinePunct w:val="0"/>
              <w:bidi w:val="0"/>
              <w:spacing w:line="305" w:lineRule="auto"/>
              <w:rPr>
                <w:rFonts w:ascii="Arial"/>
                <w:sz w:val="21"/>
              </w:rPr>
            </w:pPr>
          </w:p>
          <w:p w14:paraId="740F9DC5">
            <w:pPr>
              <w:pStyle w:val="31"/>
              <w:keepNext w:val="0"/>
              <w:keepLines w:val="0"/>
              <w:pageBreakBefore w:val="0"/>
              <w:kinsoku/>
              <w:wordWrap/>
              <w:overflowPunct/>
              <w:topLinePunct w:val="0"/>
              <w:bidi w:val="0"/>
              <w:spacing w:before="65" w:line="227" w:lineRule="auto"/>
              <w:ind w:left="113"/>
            </w:pPr>
            <w:r>
              <w:rPr>
                <w:spacing w:val="8"/>
              </w:rPr>
              <w:t>提供声明函，格式自拟</w:t>
            </w:r>
          </w:p>
        </w:tc>
      </w:tr>
      <w:tr w14:paraId="33C1D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jc w:val="center"/>
        </w:trPr>
        <w:tc>
          <w:tcPr>
            <w:tcW w:w="774" w:type="dxa"/>
            <w:vAlign w:val="top"/>
          </w:tcPr>
          <w:p w14:paraId="0850BD71">
            <w:pPr>
              <w:keepNext w:val="0"/>
              <w:keepLines w:val="0"/>
              <w:pageBreakBefore w:val="0"/>
              <w:kinsoku/>
              <w:wordWrap/>
              <w:overflowPunct/>
              <w:topLinePunct w:val="0"/>
              <w:bidi w:val="0"/>
              <w:spacing w:line="307" w:lineRule="auto"/>
              <w:rPr>
                <w:rFonts w:ascii="Arial"/>
                <w:sz w:val="21"/>
              </w:rPr>
            </w:pPr>
          </w:p>
          <w:p w14:paraId="4E633609">
            <w:pPr>
              <w:pStyle w:val="31"/>
              <w:keepNext w:val="0"/>
              <w:keepLines w:val="0"/>
              <w:pageBreakBefore w:val="0"/>
              <w:kinsoku/>
              <w:wordWrap/>
              <w:overflowPunct/>
              <w:topLinePunct w:val="0"/>
              <w:bidi w:val="0"/>
              <w:spacing w:before="65" w:line="270" w:lineRule="exact"/>
              <w:ind w:left="339"/>
            </w:pPr>
            <w:r>
              <w:rPr>
                <w:position w:val="1"/>
              </w:rPr>
              <w:t>4</w:t>
            </w:r>
          </w:p>
        </w:tc>
        <w:tc>
          <w:tcPr>
            <w:tcW w:w="2391" w:type="dxa"/>
            <w:vAlign w:val="top"/>
          </w:tcPr>
          <w:p w14:paraId="69592C0C">
            <w:pPr>
              <w:pStyle w:val="31"/>
              <w:keepNext w:val="0"/>
              <w:keepLines w:val="0"/>
              <w:pageBreakBefore w:val="0"/>
              <w:kinsoku/>
              <w:wordWrap/>
              <w:overflowPunct/>
              <w:topLinePunct w:val="0"/>
              <w:bidi w:val="0"/>
              <w:spacing w:before="137" w:line="374" w:lineRule="auto"/>
              <w:ind w:left="255" w:right="146" w:hanging="105"/>
            </w:pPr>
            <w:r>
              <w:rPr>
                <w:spacing w:val="8"/>
              </w:rPr>
              <w:t>有依法缴纳税收和社会保障资金的良好记录</w:t>
            </w:r>
          </w:p>
        </w:tc>
        <w:tc>
          <w:tcPr>
            <w:tcW w:w="5910" w:type="dxa"/>
            <w:vAlign w:val="top"/>
          </w:tcPr>
          <w:p w14:paraId="22601193">
            <w:pPr>
              <w:pStyle w:val="31"/>
              <w:keepNext w:val="0"/>
              <w:keepLines w:val="0"/>
              <w:pageBreakBefore w:val="0"/>
              <w:kinsoku/>
              <w:wordWrap/>
              <w:overflowPunct/>
              <w:topLinePunct w:val="0"/>
              <w:bidi w:val="0"/>
              <w:spacing w:before="137" w:line="374" w:lineRule="auto"/>
              <w:ind w:left="113" w:right="109"/>
            </w:pPr>
            <w:r>
              <w:rPr>
                <w:spacing w:val="1"/>
              </w:rPr>
              <w:t>提供</w:t>
            </w:r>
            <w:r>
              <w:rPr>
                <w:spacing w:val="-32"/>
              </w:rPr>
              <w:t xml:space="preserve"> </w:t>
            </w:r>
            <w:r>
              <w:rPr>
                <w:spacing w:val="1"/>
              </w:rPr>
              <w:t>2025</w:t>
            </w:r>
            <w:r>
              <w:rPr>
                <w:spacing w:val="-37"/>
              </w:rPr>
              <w:t xml:space="preserve"> </w:t>
            </w:r>
            <w:r>
              <w:rPr>
                <w:spacing w:val="1"/>
              </w:rPr>
              <w:t>年</w:t>
            </w:r>
            <w:r>
              <w:rPr>
                <w:spacing w:val="-24"/>
              </w:rPr>
              <w:t xml:space="preserve"> </w:t>
            </w:r>
            <w:r>
              <w:rPr>
                <w:spacing w:val="1"/>
              </w:rPr>
              <w:t>1</w:t>
            </w:r>
            <w:r>
              <w:rPr>
                <w:spacing w:val="-33"/>
              </w:rPr>
              <w:t xml:space="preserve"> </w:t>
            </w:r>
            <w:r>
              <w:rPr>
                <w:spacing w:val="1"/>
              </w:rPr>
              <w:t>月</w:t>
            </w:r>
            <w:r>
              <w:rPr>
                <w:spacing w:val="-24"/>
              </w:rPr>
              <w:t xml:space="preserve"> </w:t>
            </w:r>
            <w:r>
              <w:rPr>
                <w:spacing w:val="1"/>
              </w:rPr>
              <w:t>1 日以来（含）至少一个月的依法缴纳税收和</w:t>
            </w:r>
            <w:r>
              <w:rPr>
                <w:spacing w:val="9"/>
              </w:rPr>
              <w:t>社会保障资金的相关证明（依法免税或不缴纳社会保障资金的</w:t>
            </w:r>
          </w:p>
        </w:tc>
      </w:tr>
    </w:tbl>
    <w:p w14:paraId="5AA0D8FB">
      <w:pPr>
        <w:keepNext w:val="0"/>
        <w:keepLines w:val="0"/>
        <w:pageBreakBefore w:val="0"/>
        <w:kinsoku/>
        <w:wordWrap/>
        <w:overflowPunct/>
        <w:topLinePunct w:val="0"/>
        <w:bidi w:val="0"/>
        <w:spacing w:line="42" w:lineRule="exact"/>
        <w:rPr>
          <w:rFonts w:hint="eastAsia" w:eastAsia="宋体"/>
          <w:lang w:eastAsia="zh-CN"/>
        </w:rPr>
      </w:pPr>
      <w:r>
        <w:rPr>
          <w:rFonts w:hint="eastAsia" w:eastAsia="宋体"/>
          <w:lang w:eastAsia="zh-CN"/>
        </w:rPr>
        <w:br w:type="page"/>
      </w:r>
    </w:p>
    <w:tbl>
      <w:tblPr>
        <w:tblStyle w:val="30"/>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2391"/>
        <w:gridCol w:w="5910"/>
      </w:tblGrid>
      <w:tr w14:paraId="7953F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774" w:type="dxa"/>
            <w:vAlign w:val="top"/>
          </w:tcPr>
          <w:p w14:paraId="61EAF027">
            <w:pPr>
              <w:keepNext w:val="0"/>
              <w:keepLines w:val="0"/>
              <w:pageBreakBefore w:val="0"/>
              <w:kinsoku/>
              <w:wordWrap/>
              <w:overflowPunct/>
              <w:topLinePunct w:val="0"/>
              <w:bidi w:val="0"/>
              <w:rPr>
                <w:rFonts w:ascii="Arial"/>
                <w:sz w:val="21"/>
              </w:rPr>
            </w:pPr>
          </w:p>
        </w:tc>
        <w:tc>
          <w:tcPr>
            <w:tcW w:w="2391" w:type="dxa"/>
            <w:vAlign w:val="top"/>
          </w:tcPr>
          <w:p w14:paraId="43C228BC">
            <w:pPr>
              <w:keepNext w:val="0"/>
              <w:keepLines w:val="0"/>
              <w:pageBreakBefore w:val="0"/>
              <w:kinsoku/>
              <w:wordWrap/>
              <w:overflowPunct/>
              <w:topLinePunct w:val="0"/>
              <w:bidi w:val="0"/>
              <w:rPr>
                <w:rFonts w:ascii="Arial"/>
                <w:sz w:val="21"/>
              </w:rPr>
            </w:pPr>
          </w:p>
        </w:tc>
        <w:tc>
          <w:tcPr>
            <w:tcW w:w="5910" w:type="dxa"/>
            <w:vAlign w:val="top"/>
          </w:tcPr>
          <w:p w14:paraId="256AED85">
            <w:pPr>
              <w:pStyle w:val="31"/>
              <w:keepNext w:val="0"/>
              <w:keepLines w:val="0"/>
              <w:pageBreakBefore w:val="0"/>
              <w:kinsoku/>
              <w:wordWrap/>
              <w:overflowPunct/>
              <w:topLinePunct w:val="0"/>
              <w:bidi w:val="0"/>
              <w:spacing w:before="137" w:line="227" w:lineRule="auto"/>
              <w:ind w:left="115"/>
            </w:pPr>
            <w:r>
              <w:rPr>
                <w:spacing w:val="8"/>
              </w:rPr>
              <w:t>投标人，应提供相关证明文件）</w:t>
            </w:r>
          </w:p>
        </w:tc>
      </w:tr>
      <w:tr w14:paraId="4822F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1" w:hRule="atLeast"/>
        </w:trPr>
        <w:tc>
          <w:tcPr>
            <w:tcW w:w="774" w:type="dxa"/>
            <w:vAlign w:val="top"/>
          </w:tcPr>
          <w:p w14:paraId="6F4A68A2">
            <w:pPr>
              <w:keepNext w:val="0"/>
              <w:keepLines w:val="0"/>
              <w:pageBreakBefore w:val="0"/>
              <w:kinsoku/>
              <w:wordWrap/>
              <w:overflowPunct/>
              <w:topLinePunct w:val="0"/>
              <w:bidi w:val="0"/>
              <w:spacing w:line="270" w:lineRule="auto"/>
              <w:rPr>
                <w:rFonts w:ascii="Arial"/>
                <w:sz w:val="21"/>
              </w:rPr>
            </w:pPr>
          </w:p>
          <w:p w14:paraId="12BA3D83">
            <w:pPr>
              <w:keepNext w:val="0"/>
              <w:keepLines w:val="0"/>
              <w:pageBreakBefore w:val="0"/>
              <w:kinsoku/>
              <w:wordWrap/>
              <w:overflowPunct/>
              <w:topLinePunct w:val="0"/>
              <w:bidi w:val="0"/>
              <w:spacing w:line="270" w:lineRule="auto"/>
              <w:rPr>
                <w:rFonts w:ascii="Arial"/>
                <w:sz w:val="21"/>
              </w:rPr>
            </w:pPr>
          </w:p>
          <w:p w14:paraId="7758C3BE">
            <w:pPr>
              <w:pStyle w:val="31"/>
              <w:keepNext w:val="0"/>
              <w:keepLines w:val="0"/>
              <w:pageBreakBefore w:val="0"/>
              <w:kinsoku/>
              <w:wordWrap/>
              <w:overflowPunct/>
              <w:topLinePunct w:val="0"/>
              <w:bidi w:val="0"/>
              <w:spacing w:before="65" w:line="269" w:lineRule="exact"/>
              <w:ind w:left="344"/>
            </w:pPr>
            <w:r>
              <w:rPr>
                <w:position w:val="1"/>
              </w:rPr>
              <w:t>5</w:t>
            </w:r>
          </w:p>
        </w:tc>
        <w:tc>
          <w:tcPr>
            <w:tcW w:w="2391" w:type="dxa"/>
            <w:vAlign w:val="top"/>
          </w:tcPr>
          <w:p w14:paraId="34D31977">
            <w:pPr>
              <w:pStyle w:val="31"/>
              <w:keepNext w:val="0"/>
              <w:keepLines w:val="0"/>
              <w:pageBreakBefore w:val="0"/>
              <w:kinsoku/>
              <w:wordWrap/>
              <w:overflowPunct/>
              <w:topLinePunct w:val="0"/>
              <w:bidi w:val="0"/>
              <w:spacing w:before="133" w:line="227" w:lineRule="auto"/>
              <w:ind w:left="151"/>
            </w:pPr>
            <w:r>
              <w:rPr>
                <w:spacing w:val="8"/>
              </w:rPr>
              <w:t>参加政府采购活动前三</w:t>
            </w:r>
          </w:p>
          <w:p w14:paraId="611563D9">
            <w:pPr>
              <w:pStyle w:val="31"/>
              <w:keepNext w:val="0"/>
              <w:keepLines w:val="0"/>
              <w:pageBreakBefore w:val="0"/>
              <w:kinsoku/>
              <w:wordWrap/>
              <w:overflowPunct/>
              <w:topLinePunct w:val="0"/>
              <w:bidi w:val="0"/>
              <w:spacing w:before="228" w:line="228" w:lineRule="auto"/>
              <w:ind w:left="61"/>
            </w:pPr>
            <w:r>
              <w:rPr>
                <w:spacing w:val="6"/>
              </w:rPr>
              <w:t>年内，在经营活动中没有</w:t>
            </w:r>
          </w:p>
          <w:p w14:paraId="161A3CE6">
            <w:pPr>
              <w:pStyle w:val="31"/>
              <w:keepNext w:val="0"/>
              <w:keepLines w:val="0"/>
              <w:pageBreakBefore w:val="0"/>
              <w:kinsoku/>
              <w:wordWrap/>
              <w:overflowPunct/>
              <w:topLinePunct w:val="0"/>
              <w:bidi w:val="0"/>
              <w:spacing w:before="228" w:line="228" w:lineRule="auto"/>
              <w:ind w:left="570"/>
            </w:pPr>
            <w:r>
              <w:rPr>
                <w:spacing w:val="8"/>
              </w:rPr>
              <w:t>重大违法记录</w:t>
            </w:r>
          </w:p>
        </w:tc>
        <w:tc>
          <w:tcPr>
            <w:tcW w:w="5910" w:type="dxa"/>
            <w:vAlign w:val="top"/>
          </w:tcPr>
          <w:p w14:paraId="6A2A3BD7">
            <w:pPr>
              <w:keepNext w:val="0"/>
              <w:keepLines w:val="0"/>
              <w:pageBreakBefore w:val="0"/>
              <w:kinsoku/>
              <w:wordWrap/>
              <w:overflowPunct/>
              <w:topLinePunct w:val="0"/>
              <w:bidi w:val="0"/>
              <w:spacing w:line="270" w:lineRule="auto"/>
              <w:rPr>
                <w:rFonts w:ascii="Arial"/>
                <w:sz w:val="21"/>
              </w:rPr>
            </w:pPr>
          </w:p>
          <w:p w14:paraId="4EB1B123">
            <w:pPr>
              <w:keepNext w:val="0"/>
              <w:keepLines w:val="0"/>
              <w:pageBreakBefore w:val="0"/>
              <w:kinsoku/>
              <w:wordWrap/>
              <w:overflowPunct/>
              <w:topLinePunct w:val="0"/>
              <w:bidi w:val="0"/>
              <w:spacing w:line="270" w:lineRule="auto"/>
              <w:rPr>
                <w:rFonts w:ascii="Arial"/>
                <w:sz w:val="21"/>
              </w:rPr>
            </w:pPr>
          </w:p>
          <w:p w14:paraId="157BA842">
            <w:pPr>
              <w:pStyle w:val="31"/>
              <w:keepNext w:val="0"/>
              <w:keepLines w:val="0"/>
              <w:pageBreakBefore w:val="0"/>
              <w:kinsoku/>
              <w:wordWrap/>
              <w:overflowPunct/>
              <w:topLinePunct w:val="0"/>
              <w:bidi w:val="0"/>
              <w:spacing w:before="65" w:line="227" w:lineRule="auto"/>
              <w:ind w:left="113"/>
            </w:pPr>
            <w:r>
              <w:rPr>
                <w:spacing w:val="8"/>
              </w:rPr>
              <w:t>提供声明函，格式自拟</w:t>
            </w:r>
          </w:p>
        </w:tc>
      </w:tr>
      <w:tr w14:paraId="21CE3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15" w:hRule="atLeast"/>
        </w:trPr>
        <w:tc>
          <w:tcPr>
            <w:tcW w:w="774" w:type="dxa"/>
            <w:vAlign w:val="top"/>
          </w:tcPr>
          <w:p w14:paraId="6D12DD09">
            <w:pPr>
              <w:keepNext w:val="0"/>
              <w:keepLines w:val="0"/>
              <w:pageBreakBefore w:val="0"/>
              <w:kinsoku/>
              <w:wordWrap/>
              <w:overflowPunct/>
              <w:topLinePunct w:val="0"/>
              <w:bidi w:val="0"/>
              <w:spacing w:line="241" w:lineRule="auto"/>
              <w:rPr>
                <w:rFonts w:ascii="Arial"/>
                <w:sz w:val="21"/>
              </w:rPr>
            </w:pPr>
          </w:p>
          <w:p w14:paraId="5F3F34C7">
            <w:pPr>
              <w:keepNext w:val="0"/>
              <w:keepLines w:val="0"/>
              <w:pageBreakBefore w:val="0"/>
              <w:kinsoku/>
              <w:wordWrap/>
              <w:overflowPunct/>
              <w:topLinePunct w:val="0"/>
              <w:bidi w:val="0"/>
              <w:spacing w:line="241" w:lineRule="auto"/>
              <w:rPr>
                <w:rFonts w:ascii="Arial"/>
                <w:sz w:val="21"/>
              </w:rPr>
            </w:pPr>
          </w:p>
          <w:p w14:paraId="7D8C9C50">
            <w:pPr>
              <w:keepNext w:val="0"/>
              <w:keepLines w:val="0"/>
              <w:pageBreakBefore w:val="0"/>
              <w:kinsoku/>
              <w:wordWrap/>
              <w:overflowPunct/>
              <w:topLinePunct w:val="0"/>
              <w:bidi w:val="0"/>
              <w:spacing w:line="241" w:lineRule="auto"/>
              <w:rPr>
                <w:rFonts w:ascii="Arial"/>
                <w:sz w:val="21"/>
              </w:rPr>
            </w:pPr>
          </w:p>
          <w:p w14:paraId="39A6CBFA">
            <w:pPr>
              <w:keepNext w:val="0"/>
              <w:keepLines w:val="0"/>
              <w:pageBreakBefore w:val="0"/>
              <w:kinsoku/>
              <w:wordWrap/>
              <w:overflowPunct/>
              <w:topLinePunct w:val="0"/>
              <w:bidi w:val="0"/>
              <w:spacing w:line="241" w:lineRule="auto"/>
              <w:rPr>
                <w:rFonts w:ascii="Arial"/>
                <w:sz w:val="21"/>
              </w:rPr>
            </w:pPr>
          </w:p>
          <w:p w14:paraId="169333CD">
            <w:pPr>
              <w:keepNext w:val="0"/>
              <w:keepLines w:val="0"/>
              <w:pageBreakBefore w:val="0"/>
              <w:kinsoku/>
              <w:wordWrap/>
              <w:overflowPunct/>
              <w:topLinePunct w:val="0"/>
              <w:bidi w:val="0"/>
              <w:spacing w:line="241" w:lineRule="auto"/>
              <w:rPr>
                <w:rFonts w:ascii="Arial"/>
                <w:sz w:val="21"/>
              </w:rPr>
            </w:pPr>
          </w:p>
          <w:p w14:paraId="0148B7B3">
            <w:pPr>
              <w:keepNext w:val="0"/>
              <w:keepLines w:val="0"/>
              <w:pageBreakBefore w:val="0"/>
              <w:kinsoku/>
              <w:wordWrap/>
              <w:overflowPunct/>
              <w:topLinePunct w:val="0"/>
              <w:bidi w:val="0"/>
              <w:spacing w:line="241" w:lineRule="auto"/>
              <w:rPr>
                <w:rFonts w:ascii="Arial"/>
                <w:sz w:val="21"/>
              </w:rPr>
            </w:pPr>
          </w:p>
          <w:p w14:paraId="5AC175BB">
            <w:pPr>
              <w:keepNext w:val="0"/>
              <w:keepLines w:val="0"/>
              <w:pageBreakBefore w:val="0"/>
              <w:kinsoku/>
              <w:wordWrap/>
              <w:overflowPunct/>
              <w:topLinePunct w:val="0"/>
              <w:bidi w:val="0"/>
              <w:spacing w:line="241" w:lineRule="auto"/>
              <w:rPr>
                <w:rFonts w:ascii="Arial"/>
                <w:sz w:val="21"/>
              </w:rPr>
            </w:pPr>
          </w:p>
          <w:p w14:paraId="1DDD9830">
            <w:pPr>
              <w:keepNext w:val="0"/>
              <w:keepLines w:val="0"/>
              <w:pageBreakBefore w:val="0"/>
              <w:kinsoku/>
              <w:wordWrap/>
              <w:overflowPunct/>
              <w:topLinePunct w:val="0"/>
              <w:bidi w:val="0"/>
              <w:spacing w:line="241" w:lineRule="auto"/>
              <w:rPr>
                <w:rFonts w:ascii="Arial"/>
                <w:sz w:val="21"/>
              </w:rPr>
            </w:pPr>
          </w:p>
          <w:p w14:paraId="5ED7FB16">
            <w:pPr>
              <w:keepNext w:val="0"/>
              <w:keepLines w:val="0"/>
              <w:pageBreakBefore w:val="0"/>
              <w:kinsoku/>
              <w:wordWrap/>
              <w:overflowPunct/>
              <w:topLinePunct w:val="0"/>
              <w:bidi w:val="0"/>
              <w:spacing w:line="241" w:lineRule="auto"/>
              <w:rPr>
                <w:rFonts w:ascii="Arial"/>
                <w:sz w:val="21"/>
              </w:rPr>
            </w:pPr>
          </w:p>
          <w:p w14:paraId="28BD6E7C">
            <w:pPr>
              <w:keepNext w:val="0"/>
              <w:keepLines w:val="0"/>
              <w:pageBreakBefore w:val="0"/>
              <w:kinsoku/>
              <w:wordWrap/>
              <w:overflowPunct/>
              <w:topLinePunct w:val="0"/>
              <w:bidi w:val="0"/>
              <w:spacing w:line="241" w:lineRule="auto"/>
              <w:rPr>
                <w:rFonts w:ascii="Arial"/>
                <w:sz w:val="21"/>
              </w:rPr>
            </w:pPr>
          </w:p>
          <w:p w14:paraId="1488F4F3">
            <w:pPr>
              <w:keepNext w:val="0"/>
              <w:keepLines w:val="0"/>
              <w:pageBreakBefore w:val="0"/>
              <w:kinsoku/>
              <w:wordWrap/>
              <w:overflowPunct/>
              <w:topLinePunct w:val="0"/>
              <w:bidi w:val="0"/>
              <w:spacing w:line="241" w:lineRule="auto"/>
              <w:rPr>
                <w:rFonts w:ascii="Arial"/>
                <w:sz w:val="21"/>
              </w:rPr>
            </w:pPr>
          </w:p>
          <w:p w14:paraId="5D683A2B">
            <w:pPr>
              <w:keepNext w:val="0"/>
              <w:keepLines w:val="0"/>
              <w:pageBreakBefore w:val="0"/>
              <w:kinsoku/>
              <w:wordWrap/>
              <w:overflowPunct/>
              <w:topLinePunct w:val="0"/>
              <w:bidi w:val="0"/>
              <w:spacing w:line="241" w:lineRule="auto"/>
              <w:rPr>
                <w:rFonts w:ascii="Arial"/>
                <w:sz w:val="21"/>
              </w:rPr>
            </w:pPr>
          </w:p>
          <w:p w14:paraId="515D02AC">
            <w:pPr>
              <w:keepNext w:val="0"/>
              <w:keepLines w:val="0"/>
              <w:pageBreakBefore w:val="0"/>
              <w:kinsoku/>
              <w:wordWrap/>
              <w:overflowPunct/>
              <w:topLinePunct w:val="0"/>
              <w:bidi w:val="0"/>
              <w:spacing w:line="242" w:lineRule="auto"/>
              <w:rPr>
                <w:rFonts w:ascii="Arial"/>
                <w:sz w:val="21"/>
              </w:rPr>
            </w:pPr>
          </w:p>
          <w:p w14:paraId="14E10C82">
            <w:pPr>
              <w:keepNext w:val="0"/>
              <w:keepLines w:val="0"/>
              <w:pageBreakBefore w:val="0"/>
              <w:kinsoku/>
              <w:wordWrap/>
              <w:overflowPunct/>
              <w:topLinePunct w:val="0"/>
              <w:bidi w:val="0"/>
              <w:spacing w:line="242" w:lineRule="auto"/>
              <w:rPr>
                <w:rFonts w:ascii="Arial"/>
                <w:sz w:val="21"/>
              </w:rPr>
            </w:pPr>
          </w:p>
          <w:p w14:paraId="5303BA41">
            <w:pPr>
              <w:pStyle w:val="31"/>
              <w:keepNext w:val="0"/>
              <w:keepLines w:val="0"/>
              <w:pageBreakBefore w:val="0"/>
              <w:kinsoku/>
              <w:wordWrap/>
              <w:overflowPunct/>
              <w:topLinePunct w:val="0"/>
              <w:bidi w:val="0"/>
              <w:spacing w:before="65" w:line="268" w:lineRule="exact"/>
              <w:ind w:left="342"/>
            </w:pPr>
            <w:r>
              <w:rPr>
                <w:position w:val="1"/>
              </w:rPr>
              <w:t>6</w:t>
            </w:r>
          </w:p>
        </w:tc>
        <w:tc>
          <w:tcPr>
            <w:tcW w:w="2391" w:type="dxa"/>
            <w:vAlign w:val="top"/>
          </w:tcPr>
          <w:p w14:paraId="192F8B72">
            <w:pPr>
              <w:keepNext w:val="0"/>
              <w:keepLines w:val="0"/>
              <w:pageBreakBefore w:val="0"/>
              <w:kinsoku/>
              <w:wordWrap/>
              <w:overflowPunct/>
              <w:topLinePunct w:val="0"/>
              <w:bidi w:val="0"/>
              <w:spacing w:line="241" w:lineRule="auto"/>
              <w:rPr>
                <w:rFonts w:ascii="Arial"/>
                <w:sz w:val="21"/>
              </w:rPr>
            </w:pPr>
          </w:p>
          <w:p w14:paraId="75A89791">
            <w:pPr>
              <w:keepNext w:val="0"/>
              <w:keepLines w:val="0"/>
              <w:pageBreakBefore w:val="0"/>
              <w:kinsoku/>
              <w:wordWrap/>
              <w:overflowPunct/>
              <w:topLinePunct w:val="0"/>
              <w:bidi w:val="0"/>
              <w:spacing w:line="241" w:lineRule="auto"/>
              <w:rPr>
                <w:rFonts w:ascii="Arial"/>
                <w:sz w:val="21"/>
              </w:rPr>
            </w:pPr>
          </w:p>
          <w:p w14:paraId="199EF874">
            <w:pPr>
              <w:keepNext w:val="0"/>
              <w:keepLines w:val="0"/>
              <w:pageBreakBefore w:val="0"/>
              <w:kinsoku/>
              <w:wordWrap/>
              <w:overflowPunct/>
              <w:topLinePunct w:val="0"/>
              <w:bidi w:val="0"/>
              <w:spacing w:line="241" w:lineRule="auto"/>
              <w:rPr>
                <w:rFonts w:ascii="Arial"/>
                <w:sz w:val="21"/>
              </w:rPr>
            </w:pPr>
          </w:p>
          <w:p w14:paraId="3803173F">
            <w:pPr>
              <w:keepNext w:val="0"/>
              <w:keepLines w:val="0"/>
              <w:pageBreakBefore w:val="0"/>
              <w:kinsoku/>
              <w:wordWrap/>
              <w:overflowPunct/>
              <w:topLinePunct w:val="0"/>
              <w:bidi w:val="0"/>
              <w:spacing w:line="241" w:lineRule="auto"/>
              <w:rPr>
                <w:rFonts w:ascii="Arial"/>
                <w:sz w:val="21"/>
              </w:rPr>
            </w:pPr>
          </w:p>
          <w:p w14:paraId="1161AF9B">
            <w:pPr>
              <w:keepNext w:val="0"/>
              <w:keepLines w:val="0"/>
              <w:pageBreakBefore w:val="0"/>
              <w:kinsoku/>
              <w:wordWrap/>
              <w:overflowPunct/>
              <w:topLinePunct w:val="0"/>
              <w:bidi w:val="0"/>
              <w:spacing w:line="241" w:lineRule="auto"/>
              <w:rPr>
                <w:rFonts w:ascii="Arial"/>
                <w:sz w:val="21"/>
              </w:rPr>
            </w:pPr>
          </w:p>
          <w:p w14:paraId="6CC02B64">
            <w:pPr>
              <w:keepNext w:val="0"/>
              <w:keepLines w:val="0"/>
              <w:pageBreakBefore w:val="0"/>
              <w:kinsoku/>
              <w:wordWrap/>
              <w:overflowPunct/>
              <w:topLinePunct w:val="0"/>
              <w:bidi w:val="0"/>
              <w:spacing w:line="241" w:lineRule="auto"/>
              <w:rPr>
                <w:rFonts w:ascii="Arial"/>
                <w:sz w:val="21"/>
              </w:rPr>
            </w:pPr>
          </w:p>
          <w:p w14:paraId="2A707C91">
            <w:pPr>
              <w:keepNext w:val="0"/>
              <w:keepLines w:val="0"/>
              <w:pageBreakBefore w:val="0"/>
              <w:kinsoku/>
              <w:wordWrap/>
              <w:overflowPunct/>
              <w:topLinePunct w:val="0"/>
              <w:bidi w:val="0"/>
              <w:spacing w:line="241" w:lineRule="auto"/>
              <w:rPr>
                <w:rFonts w:ascii="Arial"/>
                <w:sz w:val="21"/>
              </w:rPr>
            </w:pPr>
          </w:p>
          <w:p w14:paraId="2F46797A">
            <w:pPr>
              <w:keepNext w:val="0"/>
              <w:keepLines w:val="0"/>
              <w:pageBreakBefore w:val="0"/>
              <w:kinsoku/>
              <w:wordWrap/>
              <w:overflowPunct/>
              <w:topLinePunct w:val="0"/>
              <w:bidi w:val="0"/>
              <w:spacing w:line="241" w:lineRule="auto"/>
              <w:rPr>
                <w:rFonts w:ascii="Arial"/>
                <w:sz w:val="21"/>
              </w:rPr>
            </w:pPr>
          </w:p>
          <w:p w14:paraId="1D1F4CFD">
            <w:pPr>
              <w:keepNext w:val="0"/>
              <w:keepLines w:val="0"/>
              <w:pageBreakBefore w:val="0"/>
              <w:kinsoku/>
              <w:wordWrap/>
              <w:overflowPunct/>
              <w:topLinePunct w:val="0"/>
              <w:bidi w:val="0"/>
              <w:spacing w:line="241" w:lineRule="auto"/>
              <w:rPr>
                <w:rFonts w:ascii="Arial"/>
                <w:sz w:val="21"/>
              </w:rPr>
            </w:pPr>
          </w:p>
          <w:p w14:paraId="53BBB431">
            <w:pPr>
              <w:keepNext w:val="0"/>
              <w:keepLines w:val="0"/>
              <w:pageBreakBefore w:val="0"/>
              <w:kinsoku/>
              <w:wordWrap/>
              <w:overflowPunct/>
              <w:topLinePunct w:val="0"/>
              <w:bidi w:val="0"/>
              <w:spacing w:line="241" w:lineRule="auto"/>
              <w:rPr>
                <w:rFonts w:ascii="Arial"/>
                <w:sz w:val="21"/>
              </w:rPr>
            </w:pPr>
          </w:p>
          <w:p w14:paraId="04A1AF86">
            <w:pPr>
              <w:keepNext w:val="0"/>
              <w:keepLines w:val="0"/>
              <w:pageBreakBefore w:val="0"/>
              <w:kinsoku/>
              <w:wordWrap/>
              <w:overflowPunct/>
              <w:topLinePunct w:val="0"/>
              <w:bidi w:val="0"/>
              <w:spacing w:line="241" w:lineRule="auto"/>
              <w:rPr>
                <w:rFonts w:ascii="Arial"/>
                <w:sz w:val="21"/>
              </w:rPr>
            </w:pPr>
          </w:p>
          <w:p w14:paraId="6E322DC4">
            <w:pPr>
              <w:keepNext w:val="0"/>
              <w:keepLines w:val="0"/>
              <w:pageBreakBefore w:val="0"/>
              <w:kinsoku/>
              <w:wordWrap/>
              <w:overflowPunct/>
              <w:topLinePunct w:val="0"/>
              <w:bidi w:val="0"/>
              <w:spacing w:line="241" w:lineRule="auto"/>
              <w:rPr>
                <w:rFonts w:ascii="Arial"/>
                <w:sz w:val="21"/>
              </w:rPr>
            </w:pPr>
          </w:p>
          <w:p w14:paraId="3F7C53EB">
            <w:pPr>
              <w:keepNext w:val="0"/>
              <w:keepLines w:val="0"/>
              <w:pageBreakBefore w:val="0"/>
              <w:kinsoku/>
              <w:wordWrap/>
              <w:overflowPunct/>
              <w:topLinePunct w:val="0"/>
              <w:bidi w:val="0"/>
              <w:spacing w:line="241" w:lineRule="auto"/>
              <w:rPr>
                <w:rFonts w:ascii="Arial"/>
                <w:sz w:val="21"/>
              </w:rPr>
            </w:pPr>
          </w:p>
          <w:p w14:paraId="29E41F5A">
            <w:pPr>
              <w:keepNext w:val="0"/>
              <w:keepLines w:val="0"/>
              <w:pageBreakBefore w:val="0"/>
              <w:kinsoku/>
              <w:wordWrap/>
              <w:overflowPunct/>
              <w:topLinePunct w:val="0"/>
              <w:bidi w:val="0"/>
              <w:spacing w:line="242" w:lineRule="auto"/>
              <w:rPr>
                <w:rFonts w:ascii="Arial"/>
                <w:sz w:val="21"/>
              </w:rPr>
            </w:pPr>
          </w:p>
          <w:p w14:paraId="61646069">
            <w:pPr>
              <w:pStyle w:val="31"/>
              <w:keepNext w:val="0"/>
              <w:keepLines w:val="0"/>
              <w:pageBreakBefore w:val="0"/>
              <w:kinsoku/>
              <w:wordWrap/>
              <w:overflowPunct/>
              <w:topLinePunct w:val="0"/>
              <w:bidi w:val="0"/>
              <w:spacing w:before="65" w:line="228" w:lineRule="auto"/>
              <w:ind w:left="780"/>
            </w:pPr>
            <w:r>
              <w:rPr>
                <w:spacing w:val="7"/>
              </w:rPr>
              <w:t>信用要求</w:t>
            </w:r>
          </w:p>
        </w:tc>
        <w:tc>
          <w:tcPr>
            <w:tcW w:w="5910" w:type="dxa"/>
            <w:vAlign w:val="top"/>
          </w:tcPr>
          <w:p w14:paraId="571045F8">
            <w:pPr>
              <w:pStyle w:val="31"/>
              <w:keepNext w:val="0"/>
              <w:keepLines w:val="0"/>
              <w:pageBreakBefore w:val="0"/>
              <w:kinsoku/>
              <w:wordWrap/>
              <w:overflowPunct/>
              <w:topLinePunct w:val="0"/>
              <w:bidi w:val="0"/>
              <w:spacing w:before="133" w:line="439" w:lineRule="auto"/>
              <w:ind w:left="113" w:right="131"/>
              <w:jc w:val="both"/>
            </w:pPr>
            <w:r>
              <w:rPr>
                <w:spacing w:val="9"/>
              </w:rPr>
              <w:t>根据《关于在政府采购活动中查询及使用信用记录有关问题的</w:t>
            </w:r>
            <w:r>
              <w:rPr>
                <w:spacing w:val="6"/>
              </w:rPr>
              <w:t>通知》</w:t>
            </w:r>
            <w:r>
              <w:rPr>
                <w:spacing w:val="-44"/>
              </w:rPr>
              <w:t xml:space="preserve"> </w:t>
            </w:r>
            <w:r>
              <w:rPr>
                <w:spacing w:val="6"/>
              </w:rPr>
              <w:t>(财库[</w:t>
            </w:r>
            <w:r>
              <w:fldChar w:fldCharType="begin"/>
            </w:r>
            <w:r>
              <w:instrText xml:space="preserve"> HYPERLINK \l "bookmark27" </w:instrText>
            </w:r>
            <w:r>
              <w:fldChar w:fldCharType="separate"/>
            </w:r>
            <w:r>
              <w:rPr>
                <w:spacing w:val="6"/>
              </w:rPr>
              <w:t>2016</w:t>
            </w:r>
            <w:r>
              <w:rPr>
                <w:spacing w:val="6"/>
              </w:rPr>
              <w:fldChar w:fldCharType="end"/>
            </w:r>
            <w:r>
              <w:rPr>
                <w:spacing w:val="6"/>
              </w:rPr>
              <w:t>]125</w:t>
            </w:r>
            <w:r>
              <w:rPr>
                <w:spacing w:val="-33"/>
              </w:rPr>
              <w:t xml:space="preserve"> </w:t>
            </w:r>
            <w:r>
              <w:rPr>
                <w:spacing w:val="6"/>
              </w:rPr>
              <w:t>号)的规定，对列</w:t>
            </w:r>
            <w:r>
              <w:rPr>
                <w:spacing w:val="5"/>
              </w:rPr>
              <w:t>入失信被执行人、重</w:t>
            </w:r>
            <w:r>
              <w:rPr>
                <w:spacing w:val="9"/>
              </w:rPr>
              <w:t>大税收违法失信主体、政府采购严重违法失信行为记录名单的投标人，拒绝参与本项目政府采购活动；查询渠道：失信被执</w:t>
            </w:r>
            <w:r>
              <w:rPr>
                <w:spacing w:val="7"/>
              </w:rPr>
              <w:t>行人查询渠道：</w:t>
            </w:r>
            <w:r>
              <w:rPr>
                <w:spacing w:val="-80"/>
              </w:rPr>
              <w:t xml:space="preserve"> </w:t>
            </w:r>
            <w:r>
              <w:rPr>
                <w:spacing w:val="7"/>
              </w:rPr>
              <w:t>“</w:t>
            </w:r>
            <w:r>
              <w:rPr>
                <w:spacing w:val="-70"/>
              </w:rPr>
              <w:t xml:space="preserve"> </w:t>
            </w:r>
            <w:r>
              <w:rPr>
                <w:spacing w:val="7"/>
              </w:rPr>
              <w:t>中国执行信息公开网</w:t>
            </w:r>
            <w:r>
              <w:rPr>
                <w:spacing w:val="-73"/>
              </w:rPr>
              <w:t xml:space="preserve"> </w:t>
            </w:r>
            <w:r>
              <w:rPr>
                <w:spacing w:val="7"/>
              </w:rPr>
              <w:t>”；重</w:t>
            </w:r>
            <w:r>
              <w:rPr>
                <w:spacing w:val="6"/>
              </w:rPr>
              <w:t>大税收违法失信</w:t>
            </w:r>
            <w:r>
              <w:rPr>
                <w:spacing w:val="7"/>
              </w:rPr>
              <w:t>主体查询渠道：</w:t>
            </w:r>
            <w:r>
              <w:rPr>
                <w:spacing w:val="-62"/>
              </w:rPr>
              <w:t xml:space="preserve"> </w:t>
            </w:r>
            <w:r>
              <w:rPr>
                <w:spacing w:val="7"/>
              </w:rPr>
              <w:t>“信用中国</w:t>
            </w:r>
            <w:r>
              <w:rPr>
                <w:spacing w:val="-70"/>
              </w:rPr>
              <w:t xml:space="preserve"> </w:t>
            </w:r>
            <w:r>
              <w:rPr>
                <w:spacing w:val="7"/>
              </w:rPr>
              <w:t>”网站；政府采购严重违法失信行</w:t>
            </w:r>
          </w:p>
          <w:p w14:paraId="578CE252">
            <w:pPr>
              <w:pStyle w:val="31"/>
              <w:keepNext w:val="0"/>
              <w:keepLines w:val="0"/>
              <w:pageBreakBefore w:val="0"/>
              <w:kinsoku/>
              <w:wordWrap/>
              <w:overflowPunct/>
              <w:topLinePunct w:val="0"/>
              <w:bidi w:val="0"/>
              <w:spacing w:line="227" w:lineRule="auto"/>
              <w:ind w:left="115"/>
            </w:pPr>
            <w:r>
              <w:rPr>
                <w:spacing w:val="5"/>
              </w:rPr>
              <w:t>为查询渠道：</w:t>
            </w:r>
            <w:r>
              <w:rPr>
                <w:spacing w:val="-75"/>
              </w:rPr>
              <w:t xml:space="preserve"> </w:t>
            </w:r>
            <w:r>
              <w:rPr>
                <w:spacing w:val="5"/>
              </w:rPr>
              <w:t>“</w:t>
            </w:r>
            <w:r>
              <w:rPr>
                <w:spacing w:val="-72"/>
              </w:rPr>
              <w:t xml:space="preserve"> </w:t>
            </w:r>
            <w:r>
              <w:rPr>
                <w:spacing w:val="5"/>
              </w:rPr>
              <w:t>中国政府采购网</w:t>
            </w:r>
            <w:r>
              <w:rPr>
                <w:spacing w:val="-70"/>
              </w:rPr>
              <w:t xml:space="preserve"> </w:t>
            </w:r>
            <w:r>
              <w:rPr>
                <w:spacing w:val="5"/>
              </w:rPr>
              <w:t>”；</w:t>
            </w:r>
          </w:p>
          <w:p w14:paraId="57063087">
            <w:pPr>
              <w:pStyle w:val="31"/>
              <w:keepNext w:val="0"/>
              <w:keepLines w:val="0"/>
              <w:pageBreakBefore w:val="0"/>
              <w:kinsoku/>
              <w:wordWrap/>
              <w:overflowPunct/>
              <w:topLinePunct w:val="0"/>
              <w:bidi w:val="0"/>
              <w:spacing w:before="229" w:line="439" w:lineRule="auto"/>
              <w:ind w:left="111" w:right="129"/>
            </w:pPr>
            <w:r>
              <w:rPr>
                <w:spacing w:val="10"/>
              </w:rPr>
              <w:t>采购人或采购代理机构通过“中国执行信息公开网”（</w:t>
            </w:r>
            <w:r>
              <w:fldChar w:fldCharType="begin"/>
            </w:r>
            <w:r>
              <w:instrText xml:space="preserve"> HYPERLINK "http:/" </w:instrText>
            </w:r>
            <w:r>
              <w:fldChar w:fldCharType="separate"/>
            </w:r>
            <w:r>
              <w:t>http</w:t>
            </w:r>
            <w:r>
              <w:rPr>
                <w:spacing w:val="10"/>
              </w:rPr>
              <w:t>:/</w:t>
            </w:r>
            <w:r>
              <w:rPr>
                <w:spacing w:val="10"/>
              </w:rPr>
              <w:fldChar w:fldCharType="end"/>
            </w:r>
            <w:r>
              <w:rPr>
                <w:spacing w:val="1"/>
              </w:rPr>
              <w:t xml:space="preserve"> </w:t>
            </w:r>
            <w:r>
              <w:rPr>
                <w:spacing w:val="12"/>
              </w:rPr>
              <w:t>/</w:t>
            </w:r>
            <w:r>
              <w:fldChar w:fldCharType="begin"/>
            </w:r>
            <w:r>
              <w:instrText xml:space="preserve"> HYPERLINK "zxgk.court.gov.cn/" </w:instrText>
            </w:r>
            <w:r>
              <w:fldChar w:fldCharType="separate"/>
            </w:r>
            <w:r>
              <w:t>zxgk</w:t>
            </w:r>
            <w:r>
              <w:rPr>
                <w:spacing w:val="12"/>
              </w:rPr>
              <w:t>.</w:t>
            </w:r>
            <w:r>
              <w:t>court</w:t>
            </w:r>
            <w:r>
              <w:rPr>
                <w:spacing w:val="12"/>
              </w:rPr>
              <w:t>.</w:t>
            </w:r>
            <w:r>
              <w:t>gov</w:t>
            </w:r>
            <w:r>
              <w:rPr>
                <w:spacing w:val="12"/>
              </w:rPr>
              <w:t>.</w:t>
            </w:r>
            <w:r>
              <w:t>cn</w:t>
            </w:r>
            <w:r>
              <w:rPr>
                <w:spacing w:val="12"/>
              </w:rPr>
              <w:t>/</w:t>
            </w:r>
            <w:r>
              <w:rPr>
                <w:spacing w:val="12"/>
              </w:rPr>
              <w:fldChar w:fldCharType="end"/>
            </w:r>
            <w:r>
              <w:rPr>
                <w:spacing w:val="12"/>
              </w:rPr>
              <w:t>）、“信用中国”网站（</w:t>
            </w:r>
            <w:r>
              <w:fldChar w:fldCharType="begin"/>
            </w:r>
            <w:r>
              <w:instrText xml:space="preserve"> HYPERLINK "https://www.c" </w:instrText>
            </w:r>
            <w:r>
              <w:fldChar w:fldCharType="separate"/>
            </w:r>
            <w:r>
              <w:t>https</w:t>
            </w:r>
            <w:r>
              <w:rPr>
                <w:spacing w:val="12"/>
              </w:rPr>
              <w:t>://</w:t>
            </w:r>
            <w:r>
              <w:t>www</w:t>
            </w:r>
            <w:r>
              <w:rPr>
                <w:spacing w:val="12"/>
              </w:rPr>
              <w:t>.c</w:t>
            </w:r>
            <w:r>
              <w:rPr>
                <w:spacing w:val="12"/>
              </w:rPr>
              <w:fldChar w:fldCharType="end"/>
            </w:r>
            <w:r>
              <w:rPr>
                <w:spacing w:val="10"/>
              </w:rPr>
              <w:t xml:space="preserve"> </w:t>
            </w:r>
            <w:r>
              <w:fldChar w:fldCharType="begin"/>
            </w:r>
            <w:r>
              <w:instrText xml:space="preserve"> HYPERLINK "reditchina.gov.cn/" </w:instrText>
            </w:r>
            <w:r>
              <w:fldChar w:fldCharType="separate"/>
            </w:r>
            <w:r>
              <w:t>reditchina</w:t>
            </w:r>
            <w:r>
              <w:rPr>
                <w:spacing w:val="14"/>
              </w:rPr>
              <w:t>.</w:t>
            </w:r>
            <w:r>
              <w:t>gov</w:t>
            </w:r>
            <w:r>
              <w:rPr>
                <w:spacing w:val="14"/>
              </w:rPr>
              <w:t>.</w:t>
            </w:r>
            <w:r>
              <w:t>cn</w:t>
            </w:r>
            <w:r>
              <w:rPr>
                <w:spacing w:val="14"/>
              </w:rPr>
              <w:t>/</w:t>
            </w:r>
            <w:r>
              <w:rPr>
                <w:spacing w:val="14"/>
              </w:rPr>
              <w:fldChar w:fldCharType="end"/>
            </w:r>
            <w:r>
              <w:rPr>
                <w:spacing w:val="14"/>
              </w:rPr>
              <w:t>）、中国政府采购网（</w:t>
            </w:r>
            <w:r>
              <w:fldChar w:fldCharType="begin"/>
            </w:r>
            <w:r>
              <w:instrText xml:space="preserve"> HYPERLINK "http://www.ccgp" </w:instrText>
            </w:r>
            <w:r>
              <w:fldChar w:fldCharType="separate"/>
            </w:r>
            <w:r>
              <w:t>http</w:t>
            </w:r>
            <w:r>
              <w:rPr>
                <w:spacing w:val="14"/>
              </w:rPr>
              <w:t>://</w:t>
            </w:r>
            <w:r>
              <w:t>www</w:t>
            </w:r>
            <w:r>
              <w:rPr>
                <w:spacing w:val="14"/>
              </w:rPr>
              <w:t>.</w:t>
            </w:r>
            <w:r>
              <w:t>ccgp</w:t>
            </w:r>
            <w:r>
              <w:fldChar w:fldCharType="end"/>
            </w:r>
            <w:r>
              <w:rPr>
                <w:spacing w:val="14"/>
              </w:rPr>
              <w:t>.</w:t>
            </w:r>
            <w:r>
              <w:rPr>
                <w:spacing w:val="10"/>
              </w:rPr>
              <w:t xml:space="preserve"> </w:t>
            </w:r>
            <w:r>
              <w:fldChar w:fldCharType="begin"/>
            </w:r>
            <w:r>
              <w:instrText xml:space="preserve"> HYPERLINK "gov.cn/" </w:instrText>
            </w:r>
            <w:r>
              <w:fldChar w:fldCharType="separate"/>
            </w:r>
            <w:r>
              <w:t>gov</w:t>
            </w:r>
            <w:r>
              <w:rPr>
                <w:spacing w:val="10"/>
              </w:rPr>
              <w:t>.</w:t>
            </w:r>
            <w:r>
              <w:t>cn</w:t>
            </w:r>
            <w:r>
              <w:rPr>
                <w:spacing w:val="10"/>
              </w:rPr>
              <w:t>/</w:t>
            </w:r>
            <w:r>
              <w:rPr>
                <w:spacing w:val="10"/>
              </w:rPr>
              <w:fldChar w:fldCharType="end"/>
            </w:r>
            <w:r>
              <w:rPr>
                <w:spacing w:val="10"/>
              </w:rPr>
              <w:t>）等渠道查询相关主体信用记录,信用信息查询记录及</w:t>
            </w:r>
            <w:r>
              <w:rPr>
                <w:spacing w:val="9"/>
              </w:rPr>
              <w:t>相关证据与其他采购文件一并保存，投标人不良信用记录以采购人或采购代理机构查询结果为准。</w:t>
            </w:r>
          </w:p>
          <w:p w14:paraId="2FBB0D35">
            <w:pPr>
              <w:pStyle w:val="31"/>
              <w:keepNext w:val="0"/>
              <w:keepLines w:val="0"/>
              <w:pageBreakBefore w:val="0"/>
              <w:kinsoku/>
              <w:wordWrap/>
              <w:overflowPunct/>
              <w:topLinePunct w:val="0"/>
              <w:bidi w:val="0"/>
              <w:spacing w:line="226" w:lineRule="auto"/>
              <w:ind w:left="115"/>
            </w:pPr>
            <w:r>
              <w:rPr>
                <w:b/>
                <w:bCs/>
                <w:spacing w:val="8"/>
              </w:rPr>
              <w:t>投标人未提供查询截图或查询方法错误均不作无</w:t>
            </w:r>
            <w:r>
              <w:rPr>
                <w:b/>
                <w:bCs/>
                <w:spacing w:val="7"/>
              </w:rPr>
              <w:t>效投标处理。</w:t>
            </w:r>
          </w:p>
        </w:tc>
      </w:tr>
      <w:tr w14:paraId="30FE8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2" w:hRule="atLeast"/>
        </w:trPr>
        <w:tc>
          <w:tcPr>
            <w:tcW w:w="774" w:type="dxa"/>
            <w:vAlign w:val="top"/>
          </w:tcPr>
          <w:p w14:paraId="386F07FE">
            <w:pPr>
              <w:keepNext w:val="0"/>
              <w:keepLines w:val="0"/>
              <w:pageBreakBefore w:val="0"/>
              <w:kinsoku/>
              <w:wordWrap/>
              <w:overflowPunct/>
              <w:topLinePunct w:val="0"/>
              <w:bidi w:val="0"/>
              <w:spacing w:line="253" w:lineRule="auto"/>
              <w:rPr>
                <w:rFonts w:ascii="Arial"/>
                <w:sz w:val="21"/>
              </w:rPr>
            </w:pPr>
          </w:p>
          <w:p w14:paraId="571AAC32">
            <w:pPr>
              <w:keepNext w:val="0"/>
              <w:keepLines w:val="0"/>
              <w:pageBreakBefore w:val="0"/>
              <w:kinsoku/>
              <w:wordWrap/>
              <w:overflowPunct/>
              <w:topLinePunct w:val="0"/>
              <w:bidi w:val="0"/>
              <w:spacing w:line="254" w:lineRule="auto"/>
              <w:rPr>
                <w:rFonts w:ascii="Arial"/>
                <w:sz w:val="21"/>
              </w:rPr>
            </w:pPr>
          </w:p>
          <w:p w14:paraId="0D1BC2CB">
            <w:pPr>
              <w:keepNext w:val="0"/>
              <w:keepLines w:val="0"/>
              <w:pageBreakBefore w:val="0"/>
              <w:kinsoku/>
              <w:wordWrap/>
              <w:overflowPunct/>
              <w:topLinePunct w:val="0"/>
              <w:bidi w:val="0"/>
              <w:spacing w:line="254" w:lineRule="auto"/>
              <w:rPr>
                <w:rFonts w:ascii="Arial"/>
                <w:sz w:val="21"/>
              </w:rPr>
            </w:pPr>
          </w:p>
          <w:p w14:paraId="31287951">
            <w:pPr>
              <w:keepNext w:val="0"/>
              <w:keepLines w:val="0"/>
              <w:pageBreakBefore w:val="0"/>
              <w:kinsoku/>
              <w:wordWrap/>
              <w:overflowPunct/>
              <w:topLinePunct w:val="0"/>
              <w:bidi w:val="0"/>
              <w:spacing w:line="254" w:lineRule="auto"/>
              <w:rPr>
                <w:rFonts w:ascii="Arial"/>
                <w:sz w:val="21"/>
              </w:rPr>
            </w:pPr>
          </w:p>
          <w:p w14:paraId="1CAAE3DA">
            <w:pPr>
              <w:pStyle w:val="31"/>
              <w:keepNext w:val="0"/>
              <w:keepLines w:val="0"/>
              <w:pageBreakBefore w:val="0"/>
              <w:kinsoku/>
              <w:wordWrap/>
              <w:overflowPunct/>
              <w:topLinePunct w:val="0"/>
              <w:bidi w:val="0"/>
              <w:spacing w:before="65" w:line="269" w:lineRule="exact"/>
              <w:ind w:left="345"/>
            </w:pPr>
            <w:r>
              <w:rPr>
                <w:position w:val="1"/>
              </w:rPr>
              <w:t>7</w:t>
            </w:r>
          </w:p>
        </w:tc>
        <w:tc>
          <w:tcPr>
            <w:tcW w:w="2391" w:type="dxa"/>
            <w:vAlign w:val="top"/>
          </w:tcPr>
          <w:p w14:paraId="39776FB9">
            <w:pPr>
              <w:pStyle w:val="31"/>
              <w:keepNext w:val="0"/>
              <w:keepLines w:val="0"/>
              <w:pageBreakBefore w:val="0"/>
              <w:kinsoku/>
              <w:wordWrap/>
              <w:overflowPunct/>
              <w:topLinePunct w:val="0"/>
              <w:bidi w:val="0"/>
              <w:spacing w:before="136" w:line="228" w:lineRule="auto"/>
              <w:ind w:left="151"/>
            </w:pPr>
            <w:r>
              <w:rPr>
                <w:spacing w:val="8"/>
              </w:rPr>
              <w:t>单位负责人为同一人或</w:t>
            </w:r>
          </w:p>
          <w:p w14:paraId="66599D65">
            <w:pPr>
              <w:pStyle w:val="31"/>
              <w:keepNext w:val="0"/>
              <w:keepLines w:val="0"/>
              <w:pageBreakBefore w:val="0"/>
              <w:kinsoku/>
              <w:wordWrap/>
              <w:overflowPunct/>
              <w:topLinePunct w:val="0"/>
              <w:bidi w:val="0"/>
              <w:spacing w:before="228" w:line="228" w:lineRule="auto"/>
              <w:ind w:left="62"/>
            </w:pPr>
            <w:r>
              <w:rPr>
                <w:spacing w:val="6"/>
              </w:rPr>
              <w:t>者存在直接控股、管理关</w:t>
            </w:r>
          </w:p>
          <w:p w14:paraId="53DD4A37">
            <w:pPr>
              <w:pStyle w:val="31"/>
              <w:keepNext w:val="0"/>
              <w:keepLines w:val="0"/>
              <w:pageBreakBefore w:val="0"/>
              <w:kinsoku/>
              <w:wordWrap/>
              <w:overflowPunct/>
              <w:topLinePunct w:val="0"/>
              <w:bidi w:val="0"/>
              <w:spacing w:before="230" w:line="228" w:lineRule="auto"/>
              <w:ind w:left="65"/>
            </w:pPr>
            <w:r>
              <w:rPr>
                <w:spacing w:val="5"/>
              </w:rPr>
              <w:t>系的不同投标人，不得参</w:t>
            </w:r>
          </w:p>
          <w:p w14:paraId="2387F9A2">
            <w:pPr>
              <w:pStyle w:val="31"/>
              <w:keepNext w:val="0"/>
              <w:keepLines w:val="0"/>
              <w:pageBreakBefore w:val="0"/>
              <w:kinsoku/>
              <w:wordWrap/>
              <w:overflowPunct/>
              <w:topLinePunct w:val="0"/>
              <w:bidi w:val="0"/>
              <w:spacing w:before="226" w:line="227" w:lineRule="auto"/>
              <w:ind w:left="149"/>
            </w:pPr>
            <w:r>
              <w:rPr>
                <w:spacing w:val="8"/>
              </w:rPr>
              <w:t>加同一合同项下的政府</w:t>
            </w:r>
          </w:p>
          <w:p w14:paraId="35477962">
            <w:pPr>
              <w:pStyle w:val="31"/>
              <w:keepNext w:val="0"/>
              <w:keepLines w:val="0"/>
              <w:pageBreakBefore w:val="0"/>
              <w:kinsoku/>
              <w:wordWrap/>
              <w:overflowPunct/>
              <w:topLinePunct w:val="0"/>
              <w:bidi w:val="0"/>
              <w:spacing w:before="231" w:line="227" w:lineRule="auto"/>
              <w:ind w:left="780"/>
            </w:pPr>
            <w:r>
              <w:rPr>
                <w:spacing w:val="7"/>
              </w:rPr>
              <w:t>采购活动</w:t>
            </w:r>
          </w:p>
        </w:tc>
        <w:tc>
          <w:tcPr>
            <w:tcW w:w="5910" w:type="dxa"/>
            <w:vAlign w:val="top"/>
          </w:tcPr>
          <w:p w14:paraId="7AD29BDD">
            <w:pPr>
              <w:keepNext w:val="0"/>
              <w:keepLines w:val="0"/>
              <w:pageBreakBefore w:val="0"/>
              <w:kinsoku/>
              <w:wordWrap/>
              <w:overflowPunct/>
              <w:topLinePunct w:val="0"/>
              <w:bidi w:val="0"/>
              <w:spacing w:line="259" w:lineRule="auto"/>
              <w:rPr>
                <w:rFonts w:ascii="Arial"/>
                <w:sz w:val="21"/>
              </w:rPr>
            </w:pPr>
          </w:p>
          <w:p w14:paraId="7FCF3F36">
            <w:pPr>
              <w:keepNext w:val="0"/>
              <w:keepLines w:val="0"/>
              <w:pageBreakBefore w:val="0"/>
              <w:kinsoku/>
              <w:wordWrap/>
              <w:overflowPunct/>
              <w:topLinePunct w:val="0"/>
              <w:bidi w:val="0"/>
              <w:spacing w:line="259" w:lineRule="auto"/>
              <w:rPr>
                <w:rFonts w:ascii="Arial"/>
                <w:sz w:val="21"/>
              </w:rPr>
            </w:pPr>
          </w:p>
          <w:p w14:paraId="1C11FB79">
            <w:pPr>
              <w:keepNext w:val="0"/>
              <w:keepLines w:val="0"/>
              <w:pageBreakBefore w:val="0"/>
              <w:kinsoku/>
              <w:wordWrap/>
              <w:overflowPunct/>
              <w:topLinePunct w:val="0"/>
              <w:bidi w:val="0"/>
              <w:spacing w:line="260" w:lineRule="auto"/>
              <w:rPr>
                <w:rFonts w:ascii="Arial"/>
                <w:sz w:val="21"/>
              </w:rPr>
            </w:pPr>
          </w:p>
          <w:p w14:paraId="567516B8">
            <w:pPr>
              <w:pStyle w:val="31"/>
              <w:keepNext w:val="0"/>
              <w:keepLines w:val="0"/>
              <w:pageBreakBefore w:val="0"/>
              <w:kinsoku/>
              <w:wordWrap/>
              <w:overflowPunct/>
              <w:topLinePunct w:val="0"/>
              <w:bidi w:val="0"/>
              <w:spacing w:before="65" w:line="440" w:lineRule="auto"/>
              <w:ind w:left="114" w:right="131" w:hanging="1"/>
            </w:pPr>
            <w:r>
              <w:rPr>
                <w:spacing w:val="7"/>
              </w:rPr>
              <w:t>提供“</w:t>
            </w:r>
            <w:r>
              <w:rPr>
                <w:spacing w:val="-61"/>
              </w:rPr>
              <w:t xml:space="preserve"> </w:t>
            </w:r>
            <w:r>
              <w:rPr>
                <w:spacing w:val="7"/>
              </w:rPr>
              <w:t>国家企业信用信息公示系统</w:t>
            </w:r>
            <w:r>
              <w:rPr>
                <w:spacing w:val="-70"/>
              </w:rPr>
              <w:t xml:space="preserve"> </w:t>
            </w:r>
            <w:r>
              <w:rPr>
                <w:spacing w:val="7"/>
              </w:rPr>
              <w:t>”中公示的基础信息、股东</w:t>
            </w:r>
            <w:r>
              <w:rPr>
                <w:spacing w:val="8"/>
              </w:rPr>
              <w:t>或投资人信息截图或书面承诺并加盖公章。</w:t>
            </w:r>
          </w:p>
        </w:tc>
      </w:tr>
      <w:tr w14:paraId="114FD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6" w:hRule="atLeast"/>
        </w:trPr>
        <w:tc>
          <w:tcPr>
            <w:tcW w:w="774" w:type="dxa"/>
            <w:vAlign w:val="top"/>
          </w:tcPr>
          <w:p w14:paraId="0D356937">
            <w:pPr>
              <w:keepNext w:val="0"/>
              <w:keepLines w:val="0"/>
              <w:pageBreakBefore w:val="0"/>
              <w:kinsoku/>
              <w:wordWrap/>
              <w:overflowPunct/>
              <w:topLinePunct w:val="0"/>
              <w:bidi w:val="0"/>
              <w:spacing w:line="254" w:lineRule="auto"/>
              <w:rPr>
                <w:rFonts w:ascii="Arial"/>
                <w:sz w:val="21"/>
              </w:rPr>
            </w:pPr>
          </w:p>
          <w:p w14:paraId="3C7BB9C3">
            <w:pPr>
              <w:keepNext w:val="0"/>
              <w:keepLines w:val="0"/>
              <w:pageBreakBefore w:val="0"/>
              <w:kinsoku/>
              <w:wordWrap/>
              <w:overflowPunct/>
              <w:topLinePunct w:val="0"/>
              <w:bidi w:val="0"/>
              <w:spacing w:line="254" w:lineRule="auto"/>
              <w:rPr>
                <w:rFonts w:ascii="Arial"/>
                <w:sz w:val="21"/>
              </w:rPr>
            </w:pPr>
          </w:p>
          <w:p w14:paraId="349678F1">
            <w:pPr>
              <w:keepNext w:val="0"/>
              <w:keepLines w:val="0"/>
              <w:pageBreakBefore w:val="0"/>
              <w:kinsoku/>
              <w:wordWrap/>
              <w:overflowPunct/>
              <w:topLinePunct w:val="0"/>
              <w:bidi w:val="0"/>
              <w:spacing w:line="254" w:lineRule="auto"/>
              <w:rPr>
                <w:rFonts w:ascii="Arial"/>
                <w:sz w:val="21"/>
              </w:rPr>
            </w:pPr>
          </w:p>
          <w:p w14:paraId="0DEF7CFB">
            <w:pPr>
              <w:keepNext w:val="0"/>
              <w:keepLines w:val="0"/>
              <w:pageBreakBefore w:val="0"/>
              <w:kinsoku/>
              <w:wordWrap/>
              <w:overflowPunct/>
              <w:topLinePunct w:val="0"/>
              <w:bidi w:val="0"/>
              <w:spacing w:line="254" w:lineRule="auto"/>
              <w:rPr>
                <w:rFonts w:ascii="Arial"/>
                <w:sz w:val="21"/>
              </w:rPr>
            </w:pPr>
          </w:p>
          <w:p w14:paraId="6939089F">
            <w:pPr>
              <w:pStyle w:val="31"/>
              <w:keepNext w:val="0"/>
              <w:keepLines w:val="0"/>
              <w:pageBreakBefore w:val="0"/>
              <w:kinsoku/>
              <w:wordWrap/>
              <w:overflowPunct/>
              <w:topLinePunct w:val="0"/>
              <w:bidi w:val="0"/>
              <w:spacing w:before="65" w:line="269" w:lineRule="exact"/>
              <w:ind w:left="341"/>
            </w:pPr>
            <w:r>
              <w:rPr>
                <w:position w:val="1"/>
              </w:rPr>
              <w:t>8</w:t>
            </w:r>
          </w:p>
        </w:tc>
        <w:tc>
          <w:tcPr>
            <w:tcW w:w="2391" w:type="dxa"/>
            <w:vAlign w:val="top"/>
          </w:tcPr>
          <w:p w14:paraId="158B3581">
            <w:pPr>
              <w:keepNext w:val="0"/>
              <w:keepLines w:val="0"/>
              <w:pageBreakBefore w:val="0"/>
              <w:kinsoku/>
              <w:wordWrap/>
              <w:overflowPunct/>
              <w:topLinePunct w:val="0"/>
              <w:bidi w:val="0"/>
              <w:spacing w:line="260" w:lineRule="auto"/>
              <w:rPr>
                <w:rFonts w:ascii="Arial"/>
                <w:sz w:val="21"/>
              </w:rPr>
            </w:pPr>
          </w:p>
          <w:p w14:paraId="0C47DAD2">
            <w:pPr>
              <w:keepNext w:val="0"/>
              <w:keepLines w:val="0"/>
              <w:pageBreakBefore w:val="0"/>
              <w:kinsoku/>
              <w:wordWrap/>
              <w:overflowPunct/>
              <w:topLinePunct w:val="0"/>
              <w:bidi w:val="0"/>
              <w:spacing w:line="260" w:lineRule="auto"/>
              <w:rPr>
                <w:rFonts w:ascii="Arial"/>
                <w:sz w:val="21"/>
              </w:rPr>
            </w:pPr>
          </w:p>
          <w:p w14:paraId="3C5D9820">
            <w:pPr>
              <w:keepNext w:val="0"/>
              <w:keepLines w:val="0"/>
              <w:pageBreakBefore w:val="0"/>
              <w:kinsoku/>
              <w:wordWrap/>
              <w:overflowPunct/>
              <w:topLinePunct w:val="0"/>
              <w:bidi w:val="0"/>
              <w:spacing w:line="260" w:lineRule="auto"/>
              <w:rPr>
                <w:rFonts w:ascii="Arial"/>
                <w:sz w:val="21"/>
              </w:rPr>
            </w:pPr>
          </w:p>
          <w:p w14:paraId="4CCF4FE7">
            <w:pPr>
              <w:pStyle w:val="31"/>
              <w:keepNext w:val="0"/>
              <w:keepLines w:val="0"/>
              <w:pageBreakBefore w:val="0"/>
              <w:kinsoku/>
              <w:wordWrap/>
              <w:overflowPunct/>
              <w:topLinePunct w:val="0"/>
              <w:bidi w:val="0"/>
              <w:spacing w:before="65" w:line="440" w:lineRule="auto"/>
              <w:ind w:left="572" w:right="144" w:hanging="421"/>
            </w:pPr>
            <w:r>
              <w:rPr>
                <w:spacing w:val="9"/>
              </w:rPr>
              <w:t>落实政府采购政策需满</w:t>
            </w:r>
            <w:r>
              <w:rPr>
                <w:spacing w:val="7"/>
              </w:rPr>
              <w:t>足的资格要求</w:t>
            </w:r>
          </w:p>
        </w:tc>
        <w:tc>
          <w:tcPr>
            <w:tcW w:w="5910" w:type="dxa"/>
            <w:vAlign w:val="top"/>
          </w:tcPr>
          <w:p w14:paraId="411614B4">
            <w:pPr>
              <w:pStyle w:val="31"/>
              <w:keepNext w:val="0"/>
              <w:keepLines w:val="0"/>
              <w:pageBreakBefore w:val="0"/>
              <w:kinsoku/>
              <w:wordWrap/>
              <w:overflowPunct/>
              <w:topLinePunct w:val="0"/>
              <w:bidi w:val="0"/>
              <w:spacing w:before="138" w:line="413" w:lineRule="auto"/>
              <w:ind w:left="113" w:right="116"/>
            </w:pPr>
            <w:r>
              <w:rPr>
                <w:spacing w:val="10"/>
              </w:rPr>
              <w:t>参加政府采购活动的</w:t>
            </w:r>
            <w:r>
              <w:rPr>
                <w:color w:val="000000" w:themeColor="text1"/>
                <w:spacing w:val="10"/>
                <w14:textFill>
                  <w14:solidFill>
                    <w14:schemeClr w14:val="tx1"/>
                  </w14:solidFill>
                </w14:textFill>
              </w:rPr>
              <w:t>中小</w:t>
            </w:r>
            <w:r>
              <w:rPr>
                <w:rFonts w:hint="eastAsia"/>
                <w:color w:val="000000" w:themeColor="text1"/>
                <w:spacing w:val="10"/>
                <w:lang w:val="en-US" w:eastAsia="zh-CN"/>
                <w14:textFill>
                  <w14:solidFill>
                    <w14:schemeClr w14:val="tx1"/>
                  </w14:solidFill>
                </w14:textFill>
              </w:rPr>
              <w:t>微</w:t>
            </w:r>
            <w:r>
              <w:rPr>
                <w:color w:val="000000" w:themeColor="text1"/>
                <w:spacing w:val="10"/>
                <w14:textFill>
                  <w14:solidFill>
                    <w14:schemeClr w14:val="tx1"/>
                  </w14:solidFill>
                </w14:textFill>
              </w:rPr>
              <w:t>企业应当提供《中小企业声明函》；</w:t>
            </w:r>
            <w:r>
              <w:rPr>
                <w:color w:val="000000" w:themeColor="text1"/>
                <w:spacing w:val="9"/>
                <w14:textFill>
                  <w14:solidFill>
                    <w14:schemeClr w14:val="tx1"/>
                  </w14:solidFill>
                </w14:textFill>
              </w:rPr>
              <w:t>监狱企业应当提供由省级以上监</w:t>
            </w:r>
            <w:r>
              <w:rPr>
                <w:spacing w:val="9"/>
              </w:rPr>
              <w:t>狱管理局、戒毒管理局（含新疆生产建设兵团）出具的属于监狱企业的证明文件；残疾人福</w:t>
            </w:r>
            <w:r>
              <w:rPr>
                <w:spacing w:val="10"/>
              </w:rPr>
              <w:t>利性单位应当提供《残疾人福利性单位声明函》，否则不予认</w:t>
            </w:r>
            <w:r>
              <w:t>可。</w:t>
            </w:r>
          </w:p>
        </w:tc>
      </w:tr>
    </w:tbl>
    <w:p w14:paraId="559BFA43">
      <w:pPr>
        <w:pStyle w:val="4"/>
        <w:keepNext w:val="0"/>
        <w:keepLines w:val="0"/>
        <w:pageBreakBefore w:val="0"/>
        <w:kinsoku/>
        <w:wordWrap/>
        <w:overflowPunct/>
        <w:topLinePunct w:val="0"/>
        <w:bidi w:val="0"/>
      </w:pPr>
    </w:p>
    <w:p w14:paraId="2D784E98">
      <w:pPr>
        <w:keepNext w:val="0"/>
        <w:keepLines w:val="0"/>
        <w:pageBreakBefore w:val="0"/>
        <w:kinsoku/>
        <w:wordWrap/>
        <w:overflowPunct/>
        <w:topLinePunct w:val="0"/>
        <w:bidi w:val="0"/>
        <w:spacing w:before="175" w:line="228" w:lineRule="auto"/>
        <w:ind w:left="7"/>
        <w:rPr>
          <w:rFonts w:ascii="宋体" w:hAnsi="宋体" w:eastAsia="宋体" w:cs="宋体"/>
          <w:sz w:val="20"/>
          <w:szCs w:val="20"/>
        </w:rPr>
      </w:pPr>
      <w:r>
        <w:rPr>
          <w:rFonts w:ascii="宋体" w:hAnsi="宋体" w:eastAsia="宋体" w:cs="宋体"/>
          <w:b/>
          <w:bCs/>
          <w:spacing w:val="6"/>
          <w:sz w:val="20"/>
          <w:szCs w:val="20"/>
        </w:rPr>
        <w:br w:type="page"/>
      </w:r>
      <w:r>
        <w:rPr>
          <w:rFonts w:ascii="宋体" w:hAnsi="宋体" w:eastAsia="宋体" w:cs="宋体"/>
          <w:b/>
          <w:bCs/>
          <w:spacing w:val="6"/>
          <w:sz w:val="20"/>
          <w:szCs w:val="20"/>
        </w:rPr>
        <w:t>（三）符合性审查</w:t>
      </w:r>
    </w:p>
    <w:p w14:paraId="6D38D3D9">
      <w:pPr>
        <w:keepNext w:val="0"/>
        <w:keepLines w:val="0"/>
        <w:pageBreakBefore w:val="0"/>
        <w:kinsoku/>
        <w:wordWrap/>
        <w:overflowPunct/>
        <w:topLinePunct w:val="0"/>
        <w:bidi w:val="0"/>
        <w:spacing w:before="228" w:line="228" w:lineRule="auto"/>
        <w:ind w:left="440"/>
        <w:rPr>
          <w:rFonts w:ascii="宋体" w:hAnsi="宋体" w:eastAsia="宋体" w:cs="宋体"/>
          <w:sz w:val="20"/>
          <w:szCs w:val="20"/>
        </w:rPr>
      </w:pPr>
      <w:r>
        <w:rPr>
          <w:rFonts w:ascii="宋体" w:hAnsi="宋体" w:eastAsia="宋体" w:cs="宋体"/>
          <w:spacing w:val="4"/>
          <w:sz w:val="20"/>
          <w:szCs w:val="20"/>
        </w:rPr>
        <w:t>1.符合性审查</w:t>
      </w:r>
    </w:p>
    <w:p w14:paraId="4FF6D003">
      <w:pPr>
        <w:keepNext w:val="0"/>
        <w:keepLines w:val="0"/>
        <w:pageBreakBefore w:val="0"/>
        <w:kinsoku/>
        <w:wordWrap/>
        <w:overflowPunct/>
        <w:topLinePunct w:val="0"/>
        <w:bidi w:val="0"/>
        <w:spacing w:before="228" w:line="227" w:lineRule="auto"/>
        <w:ind w:left="433"/>
        <w:rPr>
          <w:rFonts w:ascii="宋体" w:hAnsi="宋体" w:eastAsia="宋体" w:cs="宋体"/>
          <w:sz w:val="20"/>
          <w:szCs w:val="20"/>
        </w:rPr>
      </w:pPr>
      <w:r>
        <w:rPr>
          <w:rFonts w:ascii="宋体" w:hAnsi="宋体" w:eastAsia="宋体" w:cs="宋体"/>
          <w:b/>
          <w:bCs/>
          <w:spacing w:val="7"/>
          <w:sz w:val="20"/>
          <w:szCs w:val="20"/>
        </w:rPr>
        <w:t>资格审查结束后，评标委员会依法对投标人的符合性进行审查。</w:t>
      </w:r>
    </w:p>
    <w:p w14:paraId="78199C61">
      <w:pPr>
        <w:keepNext w:val="0"/>
        <w:keepLines w:val="0"/>
        <w:pageBreakBefore w:val="0"/>
        <w:kinsoku/>
        <w:wordWrap/>
        <w:overflowPunct/>
        <w:topLinePunct w:val="0"/>
        <w:bidi w:val="0"/>
        <w:spacing w:before="228" w:line="228" w:lineRule="auto"/>
        <w:ind w:left="427"/>
        <w:rPr>
          <w:rFonts w:ascii="宋体" w:hAnsi="宋体" w:eastAsia="宋体" w:cs="宋体"/>
          <w:sz w:val="20"/>
          <w:szCs w:val="20"/>
        </w:rPr>
      </w:pPr>
      <w:r>
        <w:rPr>
          <w:rFonts w:ascii="宋体" w:hAnsi="宋体" w:eastAsia="宋体" w:cs="宋体"/>
          <w:spacing w:val="7"/>
          <w:sz w:val="20"/>
          <w:szCs w:val="20"/>
        </w:rPr>
        <w:t>2.符合性审查标准</w:t>
      </w:r>
    </w:p>
    <w:p w14:paraId="50356806">
      <w:pPr>
        <w:keepNext w:val="0"/>
        <w:keepLines w:val="0"/>
        <w:pageBreakBefore w:val="0"/>
        <w:kinsoku/>
        <w:wordWrap/>
        <w:overflowPunct/>
        <w:topLinePunct w:val="0"/>
        <w:bidi w:val="0"/>
        <w:spacing w:before="230" w:line="228" w:lineRule="auto"/>
        <w:ind w:left="426"/>
        <w:rPr>
          <w:rFonts w:ascii="宋体" w:hAnsi="宋体" w:eastAsia="宋体" w:cs="宋体"/>
          <w:sz w:val="20"/>
          <w:szCs w:val="20"/>
        </w:rPr>
      </w:pPr>
      <w:r>
        <w:rPr>
          <w:rFonts w:ascii="宋体" w:hAnsi="宋体" w:eastAsia="宋体" w:cs="宋体"/>
          <w:b/>
          <w:bCs/>
          <w:spacing w:val="7"/>
          <w:sz w:val="20"/>
          <w:szCs w:val="20"/>
        </w:rPr>
        <w:t>符合性审查标准：详见“符合性审查表</w:t>
      </w:r>
      <w:r>
        <w:rPr>
          <w:rFonts w:ascii="宋体" w:hAnsi="宋体" w:eastAsia="宋体" w:cs="宋体"/>
          <w:spacing w:val="-64"/>
          <w:sz w:val="20"/>
          <w:szCs w:val="20"/>
        </w:rPr>
        <w:t xml:space="preserve"> </w:t>
      </w:r>
      <w:r>
        <w:rPr>
          <w:rFonts w:ascii="宋体" w:hAnsi="宋体" w:eastAsia="宋体" w:cs="宋体"/>
          <w:b/>
          <w:bCs/>
          <w:spacing w:val="7"/>
          <w:sz w:val="20"/>
          <w:szCs w:val="20"/>
        </w:rPr>
        <w:t>”。</w:t>
      </w:r>
    </w:p>
    <w:p w14:paraId="613E595D">
      <w:pPr>
        <w:keepNext w:val="0"/>
        <w:keepLines w:val="0"/>
        <w:pageBreakBefore w:val="0"/>
        <w:kinsoku/>
        <w:wordWrap/>
        <w:overflowPunct/>
        <w:topLinePunct w:val="0"/>
        <w:bidi w:val="0"/>
        <w:spacing w:before="228" w:line="228" w:lineRule="auto"/>
        <w:ind w:left="428"/>
        <w:rPr>
          <w:rFonts w:ascii="宋体" w:hAnsi="宋体" w:eastAsia="宋体" w:cs="宋体"/>
          <w:sz w:val="20"/>
          <w:szCs w:val="20"/>
        </w:rPr>
      </w:pPr>
      <w:r>
        <w:rPr>
          <w:rFonts w:ascii="宋体" w:hAnsi="宋体" w:eastAsia="宋体" w:cs="宋体"/>
          <w:spacing w:val="7"/>
          <w:sz w:val="20"/>
          <w:szCs w:val="20"/>
        </w:rPr>
        <w:t>3.符合性审查程序</w:t>
      </w:r>
    </w:p>
    <w:p w14:paraId="69DEDD6E">
      <w:pPr>
        <w:keepNext w:val="0"/>
        <w:keepLines w:val="0"/>
        <w:pageBreakBefore w:val="0"/>
        <w:kinsoku/>
        <w:wordWrap/>
        <w:overflowPunct/>
        <w:topLinePunct w:val="0"/>
        <w:bidi w:val="0"/>
        <w:spacing w:before="229" w:line="432" w:lineRule="auto"/>
        <w:ind w:firstLine="423"/>
        <w:rPr>
          <w:rFonts w:ascii="宋体" w:hAnsi="宋体" w:eastAsia="宋体" w:cs="宋体"/>
          <w:sz w:val="20"/>
          <w:szCs w:val="20"/>
        </w:rPr>
      </w:pPr>
      <w:r>
        <w:rPr>
          <w:rFonts w:ascii="宋体" w:hAnsi="宋体" w:eastAsia="宋体" w:cs="宋体"/>
          <w:spacing w:val="7"/>
          <w:sz w:val="20"/>
          <w:szCs w:val="20"/>
        </w:rPr>
        <w:t>评标委员会依据“符合性审查表</w:t>
      </w:r>
      <w:r>
        <w:rPr>
          <w:rFonts w:ascii="宋体" w:hAnsi="宋体" w:eastAsia="宋体" w:cs="宋体"/>
          <w:spacing w:val="-70"/>
          <w:sz w:val="20"/>
          <w:szCs w:val="20"/>
        </w:rPr>
        <w:t xml:space="preserve"> </w:t>
      </w:r>
      <w:r>
        <w:rPr>
          <w:rFonts w:ascii="宋体" w:hAnsi="宋体" w:eastAsia="宋体" w:cs="宋体"/>
          <w:spacing w:val="7"/>
          <w:sz w:val="20"/>
          <w:szCs w:val="20"/>
        </w:rPr>
        <w:t>”的标准对投标文件进</w:t>
      </w:r>
      <w:r>
        <w:rPr>
          <w:rFonts w:ascii="宋体" w:hAnsi="宋体" w:eastAsia="宋体" w:cs="宋体"/>
          <w:spacing w:val="6"/>
          <w:sz w:val="20"/>
          <w:szCs w:val="20"/>
        </w:rPr>
        <w:t>行符合性审查，未通过符合性审查的，其</w:t>
      </w:r>
      <w:r>
        <w:rPr>
          <w:rFonts w:ascii="宋体" w:hAnsi="宋体" w:eastAsia="宋体" w:cs="宋体"/>
          <w:b/>
          <w:bCs/>
          <w:spacing w:val="8"/>
          <w:sz w:val="20"/>
          <w:szCs w:val="20"/>
        </w:rPr>
        <w:t>投标无效</w:t>
      </w:r>
      <w:r>
        <w:rPr>
          <w:rFonts w:ascii="宋体" w:hAnsi="宋体" w:eastAsia="宋体" w:cs="宋体"/>
          <w:spacing w:val="8"/>
          <w:sz w:val="20"/>
          <w:szCs w:val="20"/>
        </w:rPr>
        <w:t>，将不进行详细评审。</w:t>
      </w:r>
    </w:p>
    <w:p w14:paraId="42B6FFB7">
      <w:pPr>
        <w:keepNext w:val="0"/>
        <w:keepLines w:val="0"/>
        <w:pageBreakBefore w:val="0"/>
        <w:kinsoku/>
        <w:wordWrap/>
        <w:overflowPunct/>
        <w:topLinePunct w:val="0"/>
        <w:bidi w:val="0"/>
        <w:spacing w:line="219" w:lineRule="auto"/>
        <w:ind w:left="3847"/>
        <w:rPr>
          <w:rFonts w:ascii="宋体" w:hAnsi="宋体" w:eastAsia="宋体" w:cs="宋体"/>
          <w:sz w:val="24"/>
          <w:szCs w:val="24"/>
        </w:rPr>
      </w:pPr>
      <w:r>
        <w:rPr>
          <w:rFonts w:ascii="宋体" w:hAnsi="宋体" w:eastAsia="宋体" w:cs="宋体"/>
          <w:b/>
          <w:bCs/>
          <w:spacing w:val="-4"/>
          <w:sz w:val="24"/>
          <w:szCs w:val="24"/>
        </w:rPr>
        <w:t>符合性审查表</w:t>
      </w:r>
    </w:p>
    <w:p w14:paraId="25873D55">
      <w:pPr>
        <w:keepNext w:val="0"/>
        <w:keepLines w:val="0"/>
        <w:pageBreakBefore w:val="0"/>
        <w:kinsoku/>
        <w:wordWrap/>
        <w:overflowPunct/>
        <w:topLinePunct w:val="0"/>
        <w:bidi w:val="0"/>
        <w:spacing w:before="205" w:line="228" w:lineRule="auto"/>
        <w:ind w:left="3223"/>
        <w:rPr>
          <w:rFonts w:ascii="宋体" w:hAnsi="宋体" w:eastAsia="宋体" w:cs="宋体"/>
          <w:sz w:val="20"/>
          <w:szCs w:val="20"/>
        </w:rPr>
      </w:pPr>
      <w:r>
        <w:rPr>
          <w:rFonts w:ascii="宋体" w:hAnsi="宋体" w:eastAsia="宋体" w:cs="宋体"/>
          <w:spacing w:val="7"/>
          <w:sz w:val="20"/>
          <w:szCs w:val="20"/>
        </w:rPr>
        <w:t>（形式性及响应性审查内容）</w:t>
      </w:r>
    </w:p>
    <w:p w14:paraId="186BDCC3">
      <w:pPr>
        <w:keepNext w:val="0"/>
        <w:keepLines w:val="0"/>
        <w:pageBreakBefore w:val="0"/>
        <w:kinsoku/>
        <w:wordWrap/>
        <w:overflowPunct/>
        <w:topLinePunct w:val="0"/>
        <w:bidi w:val="0"/>
        <w:spacing w:line="96" w:lineRule="exact"/>
      </w:pPr>
    </w:p>
    <w:tbl>
      <w:tblPr>
        <w:tblStyle w:val="30"/>
        <w:tblW w:w="9139" w:type="dxa"/>
        <w:tblInd w:w="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0"/>
        <w:gridCol w:w="2276"/>
        <w:gridCol w:w="5983"/>
      </w:tblGrid>
      <w:tr w14:paraId="2344F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880" w:type="dxa"/>
            <w:vAlign w:val="top"/>
          </w:tcPr>
          <w:p w14:paraId="6EE51BBB">
            <w:pPr>
              <w:pStyle w:val="31"/>
              <w:keepNext w:val="0"/>
              <w:keepLines w:val="0"/>
              <w:pageBreakBefore w:val="0"/>
              <w:kinsoku/>
              <w:wordWrap/>
              <w:overflowPunct/>
              <w:topLinePunct w:val="0"/>
              <w:bidi w:val="0"/>
              <w:spacing w:before="182" w:line="229" w:lineRule="auto"/>
              <w:ind w:left="231"/>
            </w:pPr>
            <w:r>
              <w:rPr>
                <w:b/>
                <w:bCs/>
                <w:spacing w:val="4"/>
              </w:rPr>
              <w:t>序号</w:t>
            </w:r>
          </w:p>
        </w:tc>
        <w:tc>
          <w:tcPr>
            <w:tcW w:w="2276" w:type="dxa"/>
            <w:vAlign w:val="top"/>
          </w:tcPr>
          <w:p w14:paraId="280F116B">
            <w:pPr>
              <w:pStyle w:val="31"/>
              <w:keepNext w:val="0"/>
              <w:keepLines w:val="0"/>
              <w:pageBreakBefore w:val="0"/>
              <w:kinsoku/>
              <w:wordWrap/>
              <w:overflowPunct/>
              <w:topLinePunct w:val="0"/>
              <w:bidi w:val="0"/>
              <w:spacing w:before="182" w:line="228" w:lineRule="auto"/>
              <w:ind w:left="722"/>
            </w:pPr>
            <w:r>
              <w:rPr>
                <w:b/>
                <w:bCs/>
                <w:spacing w:val="3"/>
              </w:rPr>
              <w:t>审查因素</w:t>
            </w:r>
          </w:p>
        </w:tc>
        <w:tc>
          <w:tcPr>
            <w:tcW w:w="5983" w:type="dxa"/>
            <w:vAlign w:val="top"/>
          </w:tcPr>
          <w:p w14:paraId="6634E228">
            <w:pPr>
              <w:pStyle w:val="31"/>
              <w:keepNext w:val="0"/>
              <w:keepLines w:val="0"/>
              <w:pageBreakBefore w:val="0"/>
              <w:kinsoku/>
              <w:wordWrap/>
              <w:overflowPunct/>
              <w:topLinePunct w:val="0"/>
              <w:bidi w:val="0"/>
              <w:spacing w:before="182" w:line="228" w:lineRule="auto"/>
              <w:ind w:left="2564"/>
            </w:pPr>
            <w:r>
              <w:rPr>
                <w:b/>
                <w:bCs/>
                <w:spacing w:val="3"/>
              </w:rPr>
              <w:t>审查内容</w:t>
            </w:r>
          </w:p>
        </w:tc>
      </w:tr>
      <w:tr w14:paraId="31F5C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880" w:type="dxa"/>
            <w:vAlign w:val="top"/>
          </w:tcPr>
          <w:p w14:paraId="5428096E">
            <w:pPr>
              <w:pStyle w:val="31"/>
              <w:keepNext w:val="0"/>
              <w:keepLines w:val="0"/>
              <w:pageBreakBefore w:val="0"/>
              <w:kinsoku/>
              <w:wordWrap/>
              <w:overflowPunct/>
              <w:topLinePunct w:val="0"/>
              <w:bidi w:val="0"/>
              <w:spacing w:before="180" w:line="270" w:lineRule="exact"/>
              <w:ind w:left="406"/>
            </w:pPr>
            <w:r>
              <w:rPr>
                <w:position w:val="1"/>
              </w:rPr>
              <w:t>1</w:t>
            </w:r>
          </w:p>
        </w:tc>
        <w:tc>
          <w:tcPr>
            <w:tcW w:w="2276" w:type="dxa"/>
            <w:vAlign w:val="top"/>
          </w:tcPr>
          <w:p w14:paraId="7E4127F4">
            <w:pPr>
              <w:pStyle w:val="31"/>
              <w:keepNext w:val="0"/>
              <w:keepLines w:val="0"/>
              <w:pageBreakBefore w:val="0"/>
              <w:kinsoku/>
              <w:wordWrap/>
              <w:overflowPunct/>
              <w:topLinePunct w:val="0"/>
              <w:bidi w:val="0"/>
              <w:spacing w:before="179" w:line="227" w:lineRule="auto"/>
              <w:ind w:left="398"/>
            </w:pPr>
            <w:r>
              <w:rPr>
                <w:spacing w:val="8"/>
              </w:rPr>
              <w:t>标书雷同性分析</w:t>
            </w:r>
          </w:p>
        </w:tc>
        <w:tc>
          <w:tcPr>
            <w:tcW w:w="5983" w:type="dxa"/>
            <w:vAlign w:val="top"/>
          </w:tcPr>
          <w:p w14:paraId="4298F9F2">
            <w:pPr>
              <w:pStyle w:val="31"/>
              <w:keepNext w:val="0"/>
              <w:keepLines w:val="0"/>
              <w:pageBreakBefore w:val="0"/>
              <w:kinsoku/>
              <w:wordWrap/>
              <w:overflowPunct/>
              <w:topLinePunct w:val="0"/>
              <w:bidi w:val="0"/>
              <w:spacing w:before="179" w:line="227" w:lineRule="auto"/>
              <w:ind w:left="115"/>
            </w:pPr>
            <w:r>
              <w:rPr>
                <w:spacing w:val="9"/>
              </w:rPr>
              <w:t>投标（响应）文件制作机器码不能一致</w:t>
            </w:r>
          </w:p>
        </w:tc>
      </w:tr>
      <w:tr w14:paraId="663B7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880" w:type="dxa"/>
            <w:vAlign w:val="top"/>
          </w:tcPr>
          <w:p w14:paraId="11B18270">
            <w:pPr>
              <w:pStyle w:val="31"/>
              <w:keepNext w:val="0"/>
              <w:keepLines w:val="0"/>
              <w:pageBreakBefore w:val="0"/>
              <w:kinsoku/>
              <w:wordWrap/>
              <w:overflowPunct/>
              <w:topLinePunct w:val="0"/>
              <w:bidi w:val="0"/>
              <w:spacing w:before="180" w:line="270" w:lineRule="exact"/>
              <w:ind w:left="393"/>
            </w:pPr>
            <w:r>
              <w:rPr>
                <w:position w:val="1"/>
              </w:rPr>
              <w:t>2</w:t>
            </w:r>
          </w:p>
        </w:tc>
        <w:tc>
          <w:tcPr>
            <w:tcW w:w="2276" w:type="dxa"/>
            <w:vAlign w:val="top"/>
          </w:tcPr>
          <w:p w14:paraId="71E2AFD2">
            <w:pPr>
              <w:pStyle w:val="31"/>
              <w:keepNext w:val="0"/>
              <w:keepLines w:val="0"/>
              <w:pageBreakBefore w:val="0"/>
              <w:kinsoku/>
              <w:wordWrap/>
              <w:overflowPunct/>
              <w:topLinePunct w:val="0"/>
              <w:bidi w:val="0"/>
              <w:spacing w:before="179" w:line="227" w:lineRule="auto"/>
              <w:ind w:left="297"/>
            </w:pPr>
            <w:r>
              <w:rPr>
                <w:spacing w:val="8"/>
              </w:rPr>
              <w:t>投标文件签字盖章</w:t>
            </w:r>
          </w:p>
        </w:tc>
        <w:tc>
          <w:tcPr>
            <w:tcW w:w="5983" w:type="dxa"/>
            <w:vAlign w:val="top"/>
          </w:tcPr>
          <w:p w14:paraId="5E1CCDC2">
            <w:pPr>
              <w:pStyle w:val="31"/>
              <w:keepNext w:val="0"/>
              <w:keepLines w:val="0"/>
              <w:pageBreakBefore w:val="0"/>
              <w:kinsoku/>
              <w:wordWrap/>
              <w:overflowPunct/>
              <w:topLinePunct w:val="0"/>
              <w:bidi w:val="0"/>
              <w:spacing w:before="179" w:line="227" w:lineRule="auto"/>
              <w:ind w:left="114"/>
            </w:pPr>
            <w:r>
              <w:rPr>
                <w:spacing w:val="7"/>
              </w:rPr>
              <w:t>符合第六章“投标文件格式</w:t>
            </w:r>
            <w:r>
              <w:rPr>
                <w:spacing w:val="-66"/>
              </w:rPr>
              <w:t xml:space="preserve"> </w:t>
            </w:r>
            <w:r>
              <w:rPr>
                <w:spacing w:val="7"/>
              </w:rPr>
              <w:t>”的规定</w:t>
            </w:r>
          </w:p>
        </w:tc>
      </w:tr>
      <w:tr w14:paraId="342F7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880" w:type="dxa"/>
            <w:vAlign w:val="top"/>
          </w:tcPr>
          <w:p w14:paraId="12AC3B4C">
            <w:pPr>
              <w:pStyle w:val="31"/>
              <w:keepNext w:val="0"/>
              <w:keepLines w:val="0"/>
              <w:pageBreakBefore w:val="0"/>
              <w:kinsoku/>
              <w:wordWrap/>
              <w:overflowPunct/>
              <w:topLinePunct w:val="0"/>
              <w:bidi w:val="0"/>
              <w:spacing w:before="181" w:line="268" w:lineRule="exact"/>
              <w:ind w:left="395"/>
            </w:pPr>
            <w:r>
              <w:rPr>
                <w:position w:val="1"/>
              </w:rPr>
              <w:t>3</w:t>
            </w:r>
          </w:p>
        </w:tc>
        <w:tc>
          <w:tcPr>
            <w:tcW w:w="2276" w:type="dxa"/>
            <w:vAlign w:val="top"/>
          </w:tcPr>
          <w:p w14:paraId="67F16AF3">
            <w:pPr>
              <w:pStyle w:val="31"/>
              <w:keepNext w:val="0"/>
              <w:keepLines w:val="0"/>
              <w:pageBreakBefore w:val="0"/>
              <w:kinsoku/>
              <w:wordWrap/>
              <w:overflowPunct/>
              <w:topLinePunct w:val="0"/>
              <w:bidi w:val="0"/>
              <w:spacing w:before="181" w:line="228" w:lineRule="auto"/>
              <w:ind w:left="611"/>
            </w:pPr>
            <w:r>
              <w:rPr>
                <w:spacing w:val="7"/>
              </w:rPr>
              <w:t>投标人名称</w:t>
            </w:r>
          </w:p>
        </w:tc>
        <w:tc>
          <w:tcPr>
            <w:tcW w:w="5983" w:type="dxa"/>
            <w:vAlign w:val="top"/>
          </w:tcPr>
          <w:p w14:paraId="4CE9D722">
            <w:pPr>
              <w:pStyle w:val="31"/>
              <w:keepNext w:val="0"/>
              <w:keepLines w:val="0"/>
              <w:pageBreakBefore w:val="0"/>
              <w:kinsoku/>
              <w:wordWrap/>
              <w:overflowPunct/>
              <w:topLinePunct w:val="0"/>
              <w:bidi w:val="0"/>
              <w:spacing w:before="181" w:line="228" w:lineRule="auto"/>
              <w:ind w:left="117"/>
            </w:pPr>
            <w:r>
              <w:rPr>
                <w:spacing w:val="8"/>
              </w:rPr>
              <w:t>与营业执照或相关证明文件一致</w:t>
            </w:r>
          </w:p>
        </w:tc>
      </w:tr>
      <w:tr w14:paraId="54512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880" w:type="dxa"/>
            <w:vAlign w:val="top"/>
          </w:tcPr>
          <w:p w14:paraId="60A41193">
            <w:pPr>
              <w:pStyle w:val="31"/>
              <w:keepNext w:val="0"/>
              <w:keepLines w:val="0"/>
              <w:pageBreakBefore w:val="0"/>
              <w:kinsoku/>
              <w:wordWrap/>
              <w:overflowPunct/>
              <w:topLinePunct w:val="0"/>
              <w:bidi w:val="0"/>
              <w:spacing w:before="181" w:line="270" w:lineRule="exact"/>
              <w:ind w:left="390"/>
            </w:pPr>
            <w:r>
              <w:rPr>
                <w:position w:val="1"/>
              </w:rPr>
              <w:t>4</w:t>
            </w:r>
          </w:p>
        </w:tc>
        <w:tc>
          <w:tcPr>
            <w:tcW w:w="2276" w:type="dxa"/>
            <w:vAlign w:val="top"/>
          </w:tcPr>
          <w:p w14:paraId="64924149">
            <w:pPr>
              <w:pStyle w:val="31"/>
              <w:keepNext w:val="0"/>
              <w:keepLines w:val="0"/>
              <w:pageBreakBefore w:val="0"/>
              <w:kinsoku/>
              <w:wordWrap/>
              <w:overflowPunct/>
              <w:topLinePunct w:val="0"/>
              <w:bidi w:val="0"/>
              <w:spacing w:before="181" w:line="226" w:lineRule="auto"/>
              <w:ind w:left="717"/>
            </w:pPr>
            <w:r>
              <w:rPr>
                <w:spacing w:val="6"/>
              </w:rPr>
              <w:t>投标报价</w:t>
            </w:r>
          </w:p>
        </w:tc>
        <w:tc>
          <w:tcPr>
            <w:tcW w:w="5983" w:type="dxa"/>
            <w:vAlign w:val="top"/>
          </w:tcPr>
          <w:p w14:paraId="1A5463ED">
            <w:pPr>
              <w:pStyle w:val="31"/>
              <w:keepNext w:val="0"/>
              <w:keepLines w:val="0"/>
              <w:pageBreakBefore w:val="0"/>
              <w:kinsoku/>
              <w:wordWrap/>
              <w:overflowPunct/>
              <w:topLinePunct w:val="0"/>
              <w:bidi w:val="0"/>
              <w:spacing w:before="181" w:line="226" w:lineRule="auto"/>
              <w:ind w:left="115"/>
            </w:pPr>
            <w:r>
              <w:rPr>
                <w:spacing w:val="9"/>
              </w:rPr>
              <w:t>投标报价未超出最高限价且只有一个有效报价</w:t>
            </w:r>
          </w:p>
        </w:tc>
      </w:tr>
      <w:tr w14:paraId="2E249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880" w:type="dxa"/>
            <w:vAlign w:val="top"/>
          </w:tcPr>
          <w:p w14:paraId="5A2A6035">
            <w:pPr>
              <w:pStyle w:val="31"/>
              <w:keepNext w:val="0"/>
              <w:keepLines w:val="0"/>
              <w:pageBreakBefore w:val="0"/>
              <w:kinsoku/>
              <w:wordWrap/>
              <w:overflowPunct/>
              <w:topLinePunct w:val="0"/>
              <w:bidi w:val="0"/>
              <w:spacing w:before="180" w:line="268" w:lineRule="exact"/>
              <w:ind w:left="395"/>
            </w:pPr>
            <w:r>
              <w:rPr>
                <w:position w:val="1"/>
              </w:rPr>
              <w:t>5</w:t>
            </w:r>
          </w:p>
        </w:tc>
        <w:tc>
          <w:tcPr>
            <w:tcW w:w="2276" w:type="dxa"/>
            <w:vAlign w:val="top"/>
          </w:tcPr>
          <w:p w14:paraId="0F0B9535">
            <w:pPr>
              <w:pStyle w:val="31"/>
              <w:keepNext w:val="0"/>
              <w:keepLines w:val="0"/>
              <w:pageBreakBefore w:val="0"/>
              <w:kinsoku/>
              <w:wordWrap/>
              <w:overflowPunct/>
              <w:topLinePunct w:val="0"/>
              <w:bidi w:val="0"/>
              <w:spacing w:before="180" w:line="227" w:lineRule="auto"/>
              <w:ind w:left="713"/>
            </w:pPr>
            <w:r>
              <w:rPr>
                <w:spacing w:val="7"/>
              </w:rPr>
              <w:t>采购内容</w:t>
            </w:r>
          </w:p>
        </w:tc>
        <w:tc>
          <w:tcPr>
            <w:tcW w:w="5983" w:type="dxa"/>
            <w:vAlign w:val="top"/>
          </w:tcPr>
          <w:p w14:paraId="29723FF2">
            <w:pPr>
              <w:pStyle w:val="31"/>
              <w:keepNext w:val="0"/>
              <w:keepLines w:val="0"/>
              <w:pageBreakBefore w:val="0"/>
              <w:kinsoku/>
              <w:wordWrap/>
              <w:overflowPunct/>
              <w:topLinePunct w:val="0"/>
              <w:bidi w:val="0"/>
              <w:spacing w:before="180" w:line="227" w:lineRule="auto"/>
              <w:ind w:left="114"/>
            </w:pPr>
            <w:r>
              <w:rPr>
                <w:spacing w:val="6"/>
              </w:rPr>
              <w:t>符合第二章“投标人须知</w:t>
            </w:r>
            <w:r>
              <w:rPr>
                <w:spacing w:val="-67"/>
              </w:rPr>
              <w:t xml:space="preserve"> </w:t>
            </w:r>
            <w:r>
              <w:rPr>
                <w:spacing w:val="6"/>
              </w:rPr>
              <w:t>”第 1.3.1</w:t>
            </w:r>
            <w:r>
              <w:rPr>
                <w:spacing w:val="18"/>
              </w:rPr>
              <w:t xml:space="preserve"> </w:t>
            </w:r>
            <w:r>
              <w:rPr>
                <w:spacing w:val="6"/>
              </w:rPr>
              <w:t>项规定</w:t>
            </w:r>
          </w:p>
        </w:tc>
      </w:tr>
      <w:tr w14:paraId="7BBE8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880" w:type="dxa"/>
            <w:vAlign w:val="top"/>
          </w:tcPr>
          <w:p w14:paraId="30CCC0D1">
            <w:pPr>
              <w:pStyle w:val="31"/>
              <w:keepNext w:val="0"/>
              <w:keepLines w:val="0"/>
              <w:pageBreakBefore w:val="0"/>
              <w:kinsoku/>
              <w:wordWrap/>
              <w:overflowPunct/>
              <w:topLinePunct w:val="0"/>
              <w:bidi w:val="0"/>
              <w:spacing w:before="181" w:line="269" w:lineRule="exact"/>
              <w:ind w:left="392"/>
            </w:pPr>
            <w:r>
              <w:rPr>
                <w:position w:val="1"/>
              </w:rPr>
              <w:t>6</w:t>
            </w:r>
          </w:p>
        </w:tc>
        <w:tc>
          <w:tcPr>
            <w:tcW w:w="2276" w:type="dxa"/>
            <w:vAlign w:val="top"/>
          </w:tcPr>
          <w:p w14:paraId="027EA38C">
            <w:pPr>
              <w:pStyle w:val="31"/>
              <w:keepNext w:val="0"/>
              <w:keepLines w:val="0"/>
              <w:pageBreakBefore w:val="0"/>
              <w:kinsoku/>
              <w:wordWrap/>
              <w:overflowPunct/>
              <w:topLinePunct w:val="0"/>
              <w:bidi w:val="0"/>
              <w:spacing w:before="181" w:line="228" w:lineRule="auto"/>
              <w:ind w:left="714"/>
            </w:pPr>
            <w:r>
              <w:rPr>
                <w:spacing w:val="7"/>
              </w:rPr>
              <w:t>服务期限</w:t>
            </w:r>
          </w:p>
        </w:tc>
        <w:tc>
          <w:tcPr>
            <w:tcW w:w="5983" w:type="dxa"/>
            <w:vAlign w:val="top"/>
          </w:tcPr>
          <w:p w14:paraId="34A24BAD">
            <w:pPr>
              <w:pStyle w:val="31"/>
              <w:keepNext w:val="0"/>
              <w:keepLines w:val="0"/>
              <w:pageBreakBefore w:val="0"/>
              <w:kinsoku/>
              <w:wordWrap/>
              <w:overflowPunct/>
              <w:topLinePunct w:val="0"/>
              <w:bidi w:val="0"/>
              <w:spacing w:before="181" w:line="227" w:lineRule="auto"/>
              <w:ind w:left="114"/>
            </w:pPr>
            <w:r>
              <w:rPr>
                <w:spacing w:val="6"/>
              </w:rPr>
              <w:t>符合第二章“投标人须知</w:t>
            </w:r>
            <w:r>
              <w:rPr>
                <w:spacing w:val="-67"/>
              </w:rPr>
              <w:t xml:space="preserve"> </w:t>
            </w:r>
            <w:r>
              <w:rPr>
                <w:spacing w:val="6"/>
              </w:rPr>
              <w:t>”第 1.3.2</w:t>
            </w:r>
            <w:r>
              <w:rPr>
                <w:spacing w:val="18"/>
              </w:rPr>
              <w:t xml:space="preserve"> </w:t>
            </w:r>
            <w:r>
              <w:rPr>
                <w:spacing w:val="6"/>
              </w:rPr>
              <w:t>项规定</w:t>
            </w:r>
          </w:p>
        </w:tc>
      </w:tr>
      <w:tr w14:paraId="070AB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880" w:type="dxa"/>
            <w:vAlign w:val="top"/>
          </w:tcPr>
          <w:p w14:paraId="4B722F1F">
            <w:pPr>
              <w:pStyle w:val="31"/>
              <w:keepNext w:val="0"/>
              <w:keepLines w:val="0"/>
              <w:pageBreakBefore w:val="0"/>
              <w:kinsoku/>
              <w:wordWrap/>
              <w:overflowPunct/>
              <w:topLinePunct w:val="0"/>
              <w:bidi w:val="0"/>
              <w:spacing w:before="181" w:line="269" w:lineRule="exact"/>
              <w:ind w:left="395"/>
            </w:pPr>
            <w:r>
              <w:rPr>
                <w:position w:val="1"/>
              </w:rPr>
              <w:t>7</w:t>
            </w:r>
          </w:p>
        </w:tc>
        <w:tc>
          <w:tcPr>
            <w:tcW w:w="2276" w:type="dxa"/>
            <w:vAlign w:val="top"/>
          </w:tcPr>
          <w:p w14:paraId="61E7A3AF">
            <w:pPr>
              <w:pStyle w:val="31"/>
              <w:keepNext w:val="0"/>
              <w:keepLines w:val="0"/>
              <w:pageBreakBefore w:val="0"/>
              <w:kinsoku/>
              <w:wordWrap/>
              <w:overflowPunct/>
              <w:topLinePunct w:val="0"/>
              <w:bidi w:val="0"/>
              <w:spacing w:before="181" w:line="228" w:lineRule="auto"/>
              <w:ind w:left="714"/>
            </w:pPr>
            <w:r>
              <w:rPr>
                <w:spacing w:val="7"/>
              </w:rPr>
              <w:t>服务地点</w:t>
            </w:r>
          </w:p>
        </w:tc>
        <w:tc>
          <w:tcPr>
            <w:tcW w:w="5983" w:type="dxa"/>
            <w:vAlign w:val="top"/>
          </w:tcPr>
          <w:p w14:paraId="7E23F4D4">
            <w:pPr>
              <w:pStyle w:val="31"/>
              <w:keepNext w:val="0"/>
              <w:keepLines w:val="0"/>
              <w:pageBreakBefore w:val="0"/>
              <w:kinsoku/>
              <w:wordWrap/>
              <w:overflowPunct/>
              <w:topLinePunct w:val="0"/>
              <w:bidi w:val="0"/>
              <w:spacing w:before="181" w:line="227" w:lineRule="auto"/>
              <w:ind w:left="114"/>
            </w:pPr>
            <w:r>
              <w:rPr>
                <w:spacing w:val="6"/>
              </w:rPr>
              <w:t>符合第二章“投标人须知</w:t>
            </w:r>
            <w:r>
              <w:rPr>
                <w:spacing w:val="-67"/>
              </w:rPr>
              <w:t xml:space="preserve"> </w:t>
            </w:r>
            <w:r>
              <w:rPr>
                <w:spacing w:val="6"/>
              </w:rPr>
              <w:t>”第 1.3.3</w:t>
            </w:r>
            <w:r>
              <w:rPr>
                <w:spacing w:val="18"/>
              </w:rPr>
              <w:t xml:space="preserve"> </w:t>
            </w:r>
            <w:r>
              <w:rPr>
                <w:spacing w:val="6"/>
              </w:rPr>
              <w:t>项规定</w:t>
            </w:r>
          </w:p>
        </w:tc>
      </w:tr>
      <w:tr w14:paraId="7AD62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880" w:type="dxa"/>
            <w:vAlign w:val="top"/>
          </w:tcPr>
          <w:p w14:paraId="0F949F42">
            <w:pPr>
              <w:pStyle w:val="31"/>
              <w:keepNext w:val="0"/>
              <w:keepLines w:val="0"/>
              <w:pageBreakBefore w:val="0"/>
              <w:kinsoku/>
              <w:wordWrap/>
              <w:overflowPunct/>
              <w:topLinePunct w:val="0"/>
              <w:bidi w:val="0"/>
              <w:spacing w:before="183" w:line="268" w:lineRule="exact"/>
              <w:ind w:left="391"/>
            </w:pPr>
            <w:r>
              <w:rPr>
                <w:position w:val="1"/>
              </w:rPr>
              <w:t>8</w:t>
            </w:r>
          </w:p>
        </w:tc>
        <w:tc>
          <w:tcPr>
            <w:tcW w:w="2276" w:type="dxa"/>
            <w:vAlign w:val="top"/>
          </w:tcPr>
          <w:p w14:paraId="1509CC1C">
            <w:pPr>
              <w:pStyle w:val="31"/>
              <w:keepNext w:val="0"/>
              <w:keepLines w:val="0"/>
              <w:pageBreakBefore w:val="0"/>
              <w:kinsoku/>
              <w:wordWrap/>
              <w:overflowPunct/>
              <w:topLinePunct w:val="0"/>
              <w:bidi w:val="0"/>
              <w:spacing w:before="183" w:line="228" w:lineRule="auto"/>
              <w:ind w:left="715"/>
            </w:pPr>
            <w:r>
              <w:rPr>
                <w:spacing w:val="7"/>
              </w:rPr>
              <w:t>质量要求</w:t>
            </w:r>
          </w:p>
        </w:tc>
        <w:tc>
          <w:tcPr>
            <w:tcW w:w="5983" w:type="dxa"/>
            <w:vAlign w:val="top"/>
          </w:tcPr>
          <w:p w14:paraId="7AB8422C">
            <w:pPr>
              <w:pStyle w:val="31"/>
              <w:keepNext w:val="0"/>
              <w:keepLines w:val="0"/>
              <w:pageBreakBefore w:val="0"/>
              <w:kinsoku/>
              <w:wordWrap/>
              <w:overflowPunct/>
              <w:topLinePunct w:val="0"/>
              <w:bidi w:val="0"/>
              <w:spacing w:before="183" w:line="227" w:lineRule="auto"/>
              <w:ind w:left="114"/>
            </w:pPr>
            <w:r>
              <w:rPr>
                <w:spacing w:val="6"/>
              </w:rPr>
              <w:t>符合第二章“投标人须知</w:t>
            </w:r>
            <w:r>
              <w:rPr>
                <w:spacing w:val="-67"/>
              </w:rPr>
              <w:t xml:space="preserve"> </w:t>
            </w:r>
            <w:r>
              <w:rPr>
                <w:spacing w:val="6"/>
              </w:rPr>
              <w:t>”第 1.3.4</w:t>
            </w:r>
            <w:r>
              <w:rPr>
                <w:spacing w:val="18"/>
              </w:rPr>
              <w:t xml:space="preserve"> </w:t>
            </w:r>
            <w:r>
              <w:rPr>
                <w:spacing w:val="6"/>
              </w:rPr>
              <w:t>项规定</w:t>
            </w:r>
          </w:p>
        </w:tc>
      </w:tr>
      <w:tr w14:paraId="1268E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880" w:type="dxa"/>
            <w:vAlign w:val="top"/>
          </w:tcPr>
          <w:p w14:paraId="0391375A">
            <w:pPr>
              <w:pStyle w:val="31"/>
              <w:keepNext w:val="0"/>
              <w:keepLines w:val="0"/>
              <w:pageBreakBefore w:val="0"/>
              <w:kinsoku/>
              <w:wordWrap/>
              <w:overflowPunct/>
              <w:topLinePunct w:val="0"/>
              <w:bidi w:val="0"/>
              <w:spacing w:before="183" w:line="268" w:lineRule="exact"/>
              <w:ind w:left="391"/>
            </w:pPr>
            <w:r>
              <w:rPr>
                <w:position w:val="1"/>
              </w:rPr>
              <w:t>9</w:t>
            </w:r>
          </w:p>
        </w:tc>
        <w:tc>
          <w:tcPr>
            <w:tcW w:w="2276" w:type="dxa"/>
            <w:vAlign w:val="top"/>
          </w:tcPr>
          <w:p w14:paraId="17443040">
            <w:pPr>
              <w:pStyle w:val="31"/>
              <w:keepNext w:val="0"/>
              <w:keepLines w:val="0"/>
              <w:pageBreakBefore w:val="0"/>
              <w:kinsoku/>
              <w:wordWrap/>
              <w:overflowPunct/>
              <w:topLinePunct w:val="0"/>
              <w:bidi w:val="0"/>
              <w:spacing w:before="183" w:line="228" w:lineRule="auto"/>
              <w:ind w:left="611"/>
            </w:pPr>
            <w:r>
              <w:rPr>
                <w:spacing w:val="7"/>
              </w:rPr>
              <w:t>投标有效期</w:t>
            </w:r>
          </w:p>
        </w:tc>
        <w:tc>
          <w:tcPr>
            <w:tcW w:w="5983" w:type="dxa"/>
            <w:vAlign w:val="top"/>
          </w:tcPr>
          <w:p w14:paraId="1448ABEE">
            <w:pPr>
              <w:pStyle w:val="31"/>
              <w:keepNext w:val="0"/>
              <w:keepLines w:val="0"/>
              <w:pageBreakBefore w:val="0"/>
              <w:kinsoku/>
              <w:wordWrap/>
              <w:overflowPunct/>
              <w:topLinePunct w:val="0"/>
              <w:bidi w:val="0"/>
              <w:spacing w:before="183" w:line="227" w:lineRule="auto"/>
              <w:ind w:left="114"/>
            </w:pPr>
            <w:r>
              <w:rPr>
                <w:spacing w:val="6"/>
              </w:rPr>
              <w:t>符合第二章“投标人须知</w:t>
            </w:r>
            <w:r>
              <w:rPr>
                <w:spacing w:val="-55"/>
              </w:rPr>
              <w:t xml:space="preserve"> </w:t>
            </w:r>
            <w:r>
              <w:rPr>
                <w:spacing w:val="6"/>
              </w:rPr>
              <w:t>”第 3.3.1 项规定</w:t>
            </w:r>
          </w:p>
        </w:tc>
      </w:tr>
      <w:tr w14:paraId="635C5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880" w:type="dxa"/>
            <w:vAlign w:val="top"/>
          </w:tcPr>
          <w:p w14:paraId="1435B4EA">
            <w:pPr>
              <w:pStyle w:val="31"/>
              <w:keepNext w:val="0"/>
              <w:keepLines w:val="0"/>
              <w:pageBreakBefore w:val="0"/>
              <w:kinsoku/>
              <w:wordWrap/>
              <w:overflowPunct/>
              <w:topLinePunct w:val="0"/>
              <w:bidi w:val="0"/>
              <w:spacing w:before="182" w:line="268" w:lineRule="exact"/>
              <w:ind w:left="353"/>
            </w:pPr>
            <w:r>
              <w:rPr>
                <w:spacing w:val="-7"/>
                <w:position w:val="1"/>
              </w:rPr>
              <w:t>10</w:t>
            </w:r>
          </w:p>
        </w:tc>
        <w:tc>
          <w:tcPr>
            <w:tcW w:w="2276" w:type="dxa"/>
            <w:vAlign w:val="top"/>
          </w:tcPr>
          <w:p w14:paraId="2CB6F0B7">
            <w:pPr>
              <w:pStyle w:val="31"/>
              <w:keepNext w:val="0"/>
              <w:keepLines w:val="0"/>
              <w:pageBreakBefore w:val="0"/>
              <w:kinsoku/>
              <w:wordWrap/>
              <w:overflowPunct/>
              <w:topLinePunct w:val="0"/>
              <w:bidi w:val="0"/>
              <w:spacing w:before="181" w:line="228" w:lineRule="auto"/>
              <w:ind w:left="388"/>
            </w:pPr>
            <w:r>
              <w:rPr>
                <w:spacing w:val="10"/>
              </w:rPr>
              <w:t>其它实质性条款</w:t>
            </w:r>
          </w:p>
        </w:tc>
        <w:tc>
          <w:tcPr>
            <w:tcW w:w="5983" w:type="dxa"/>
            <w:vAlign w:val="top"/>
          </w:tcPr>
          <w:p w14:paraId="6243AC5D">
            <w:pPr>
              <w:pStyle w:val="31"/>
              <w:keepNext w:val="0"/>
              <w:keepLines w:val="0"/>
              <w:pageBreakBefore w:val="0"/>
              <w:kinsoku/>
              <w:wordWrap/>
              <w:overflowPunct/>
              <w:topLinePunct w:val="0"/>
              <w:bidi w:val="0"/>
              <w:spacing w:before="181" w:line="228" w:lineRule="auto"/>
              <w:ind w:left="114"/>
            </w:pPr>
            <w:r>
              <w:rPr>
                <w:spacing w:val="12"/>
              </w:rPr>
              <w:t>符合招标文件中规定的其它实质性条款</w:t>
            </w:r>
          </w:p>
        </w:tc>
      </w:tr>
    </w:tbl>
    <w:p w14:paraId="1D7D4264">
      <w:pPr>
        <w:pStyle w:val="4"/>
        <w:keepNext w:val="0"/>
        <w:keepLines w:val="0"/>
        <w:pageBreakBefore w:val="0"/>
        <w:kinsoku/>
        <w:wordWrap/>
        <w:overflowPunct/>
        <w:topLinePunct w:val="0"/>
        <w:bidi w:val="0"/>
      </w:pPr>
    </w:p>
    <w:p w14:paraId="17DAE4C5">
      <w:pPr>
        <w:keepNext w:val="0"/>
        <w:keepLines w:val="0"/>
        <w:pageBreakBefore w:val="0"/>
        <w:kinsoku/>
        <w:wordWrap/>
        <w:overflowPunct/>
        <w:topLinePunct w:val="0"/>
        <w:bidi w:val="0"/>
        <w:spacing w:before="160" w:line="219" w:lineRule="auto"/>
        <w:ind w:left="3698"/>
        <w:rPr>
          <w:rFonts w:ascii="宋体" w:hAnsi="宋体" w:eastAsia="宋体" w:cs="宋体"/>
          <w:b/>
          <w:bCs/>
          <w:spacing w:val="-4"/>
          <w:sz w:val="24"/>
          <w:szCs w:val="24"/>
        </w:rPr>
      </w:pPr>
      <w:r>
        <w:rPr>
          <w:rFonts w:ascii="宋体" w:hAnsi="宋体" w:eastAsia="宋体" w:cs="宋体"/>
          <w:b/>
          <w:bCs/>
          <w:spacing w:val="-4"/>
          <w:sz w:val="24"/>
          <w:szCs w:val="24"/>
        </w:rPr>
        <w:br w:type="page"/>
      </w:r>
      <w:r>
        <w:rPr>
          <w:rFonts w:ascii="宋体" w:hAnsi="宋体" w:eastAsia="宋体" w:cs="宋体"/>
          <w:b/>
          <w:bCs/>
          <w:spacing w:val="-4"/>
          <w:sz w:val="24"/>
          <w:szCs w:val="24"/>
        </w:rPr>
        <w:t>评标办法前附表</w:t>
      </w:r>
    </w:p>
    <w:tbl>
      <w:tblPr>
        <w:tblStyle w:val="30"/>
        <w:tblW w:w="92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2"/>
        <w:gridCol w:w="912"/>
        <w:gridCol w:w="1219"/>
        <w:gridCol w:w="6300"/>
      </w:tblGrid>
      <w:tr w14:paraId="70E7D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714" w:type="dxa"/>
            <w:gridSpan w:val="2"/>
            <w:vAlign w:val="center"/>
          </w:tcPr>
          <w:p w14:paraId="6DD004D0">
            <w:pPr>
              <w:keepNext w:val="0"/>
              <w:keepLines w:val="0"/>
              <w:pageBreakBefore w:val="0"/>
              <w:widowControl/>
              <w:kinsoku/>
              <w:wordWrap/>
              <w:overflowPunct/>
              <w:topLinePunct w:val="0"/>
              <w:autoSpaceDE w:val="0"/>
              <w:autoSpaceDN w:val="0"/>
              <w:bidi w:val="0"/>
              <w:adjustRightInd w:val="0"/>
              <w:snapToGrid w:val="0"/>
              <w:spacing w:before="139" w:after="160" w:line="360" w:lineRule="auto"/>
              <w:jc w:val="center"/>
              <w:textAlignment w:val="baseline"/>
              <w:rPr>
                <w:rFonts w:hint="eastAsia" w:ascii="宋体" w:hAnsi="宋体" w:eastAsia="宋体" w:cs="宋体"/>
                <w:snapToGrid w:val="0"/>
                <w:color w:val="000000" w:themeColor="text1"/>
                <w:spacing w:val="-2"/>
                <w:kern w:val="0"/>
                <w:sz w:val="20"/>
                <w:szCs w:val="20"/>
                <w:lang w:eastAsia="en-US"/>
                <w14:textFill>
                  <w14:solidFill>
                    <w14:schemeClr w14:val="tx1"/>
                  </w14:solidFill>
                </w14:textFill>
              </w:rPr>
            </w:pPr>
            <w:r>
              <w:rPr>
                <w:rFonts w:hint="eastAsia" w:ascii="宋体" w:hAnsi="宋体" w:eastAsia="宋体" w:cs="宋体"/>
                <w:snapToGrid w:val="0"/>
                <w:color w:val="000000" w:themeColor="text1"/>
                <w:spacing w:val="-4"/>
                <w:kern w:val="0"/>
                <w:sz w:val="20"/>
                <w:szCs w:val="20"/>
                <w:lang w:eastAsia="en-US"/>
                <w14:textFill>
                  <w14:solidFill>
                    <w14:schemeClr w14:val="tx1"/>
                  </w14:solidFill>
                </w14:textFill>
              </w:rPr>
              <w:t>评审项目</w:t>
            </w:r>
          </w:p>
        </w:tc>
        <w:tc>
          <w:tcPr>
            <w:tcW w:w="1219" w:type="dxa"/>
            <w:vAlign w:val="center"/>
          </w:tcPr>
          <w:p w14:paraId="5E050643">
            <w:pPr>
              <w:keepNext w:val="0"/>
              <w:keepLines w:val="0"/>
              <w:pageBreakBefore w:val="0"/>
              <w:widowControl/>
              <w:kinsoku/>
              <w:wordWrap/>
              <w:overflowPunct/>
              <w:topLinePunct w:val="0"/>
              <w:autoSpaceDE w:val="0"/>
              <w:autoSpaceDN w:val="0"/>
              <w:bidi w:val="0"/>
              <w:adjustRightInd w:val="0"/>
              <w:snapToGrid w:val="0"/>
              <w:spacing w:before="139" w:after="160" w:line="360" w:lineRule="auto"/>
              <w:jc w:val="center"/>
              <w:textAlignment w:val="baseline"/>
              <w:rPr>
                <w:rFonts w:hint="eastAsia" w:ascii="宋体" w:hAnsi="宋体" w:eastAsia="宋体" w:cs="宋体"/>
                <w:snapToGrid w:val="0"/>
                <w:color w:val="000000" w:themeColor="text1"/>
                <w:kern w:val="0"/>
                <w:sz w:val="20"/>
                <w:szCs w:val="20"/>
                <w:lang w:eastAsia="en-US"/>
                <w14:textFill>
                  <w14:solidFill>
                    <w14:schemeClr w14:val="tx1"/>
                  </w14:solidFill>
                </w14:textFill>
              </w:rPr>
            </w:pPr>
            <w:r>
              <w:rPr>
                <w:rFonts w:hint="eastAsia" w:ascii="宋体" w:hAnsi="宋体" w:eastAsia="宋体" w:cs="宋体"/>
                <w:snapToGrid w:val="0"/>
                <w:color w:val="000000" w:themeColor="text1"/>
                <w:spacing w:val="-2"/>
                <w:kern w:val="0"/>
                <w:sz w:val="20"/>
                <w:szCs w:val="20"/>
                <w:lang w:eastAsia="en-US"/>
                <w14:textFill>
                  <w14:solidFill>
                    <w14:schemeClr w14:val="tx1"/>
                  </w14:solidFill>
                </w14:textFill>
              </w:rPr>
              <w:t>评分因</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素</w:t>
            </w:r>
          </w:p>
        </w:tc>
        <w:tc>
          <w:tcPr>
            <w:tcW w:w="6300" w:type="dxa"/>
            <w:vAlign w:val="center"/>
          </w:tcPr>
          <w:p w14:paraId="2FEC88F1">
            <w:pPr>
              <w:keepNext w:val="0"/>
              <w:keepLines w:val="0"/>
              <w:pageBreakBefore w:val="0"/>
              <w:widowControl/>
              <w:kinsoku/>
              <w:wordWrap/>
              <w:overflowPunct/>
              <w:topLinePunct w:val="0"/>
              <w:autoSpaceDE w:val="0"/>
              <w:autoSpaceDN w:val="0"/>
              <w:bidi w:val="0"/>
              <w:adjustRightInd w:val="0"/>
              <w:snapToGrid w:val="0"/>
              <w:spacing w:before="138" w:after="160" w:line="360" w:lineRule="auto"/>
              <w:ind w:left="2246"/>
              <w:jc w:val="left"/>
              <w:textAlignment w:val="baseline"/>
              <w:rPr>
                <w:rFonts w:hint="eastAsia" w:ascii="宋体" w:hAnsi="宋体" w:eastAsia="宋体" w:cs="宋体"/>
                <w:snapToGrid w:val="0"/>
                <w:color w:val="000000" w:themeColor="text1"/>
                <w:kern w:val="0"/>
                <w:sz w:val="20"/>
                <w:szCs w:val="20"/>
                <w:lang w:eastAsia="en-US"/>
                <w14:textFill>
                  <w14:solidFill>
                    <w14:schemeClr w14:val="tx1"/>
                  </w14:solidFill>
                </w14:textFill>
              </w:rPr>
            </w:pPr>
            <w:r>
              <w:rPr>
                <w:rFonts w:hint="eastAsia" w:ascii="宋体" w:hAnsi="宋体" w:eastAsia="宋体" w:cs="宋体"/>
                <w:snapToGrid w:val="0"/>
                <w:color w:val="000000" w:themeColor="text1"/>
                <w:spacing w:val="-2"/>
                <w:kern w:val="0"/>
                <w:sz w:val="20"/>
                <w:szCs w:val="20"/>
                <w:lang w:eastAsia="en-US"/>
                <w14:textFill>
                  <w14:solidFill>
                    <w14:schemeClr w14:val="tx1"/>
                  </w14:solidFill>
                </w14:textFill>
              </w:rPr>
              <w:t>评分标</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准</w:t>
            </w:r>
          </w:p>
        </w:tc>
      </w:tr>
      <w:tr w14:paraId="2C719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714" w:type="dxa"/>
            <w:gridSpan w:val="2"/>
            <w:vAlign w:val="center"/>
          </w:tcPr>
          <w:p w14:paraId="0C5A9B98">
            <w:pPr>
              <w:keepNext w:val="0"/>
              <w:keepLines w:val="0"/>
              <w:pageBreakBefore w:val="0"/>
              <w:widowControl/>
              <w:kinsoku/>
              <w:wordWrap/>
              <w:overflowPunct/>
              <w:topLinePunct w:val="0"/>
              <w:autoSpaceDE w:val="0"/>
              <w:autoSpaceDN w:val="0"/>
              <w:bidi w:val="0"/>
              <w:adjustRightInd w:val="0"/>
              <w:snapToGrid w:val="0"/>
              <w:spacing w:before="137" w:after="160" w:line="360" w:lineRule="auto"/>
              <w:ind w:right="114"/>
              <w:jc w:val="center"/>
              <w:textAlignment w:val="baseline"/>
              <w:rPr>
                <w:rFonts w:hint="eastAsia" w:ascii="宋体" w:hAnsi="宋体" w:eastAsia="宋体" w:cs="宋体"/>
                <w:b w:val="0"/>
                <w:bCs w:val="0"/>
                <w:snapToGrid w:val="0"/>
                <w:color w:val="000000" w:themeColor="text1"/>
                <w:spacing w:val="1"/>
                <w:kern w:val="0"/>
                <w:sz w:val="20"/>
                <w:szCs w:val="20"/>
                <w:lang w:val="en-US" w:eastAsia="zh-CN"/>
                <w14:textFill>
                  <w14:solidFill>
                    <w14:schemeClr w14:val="tx1"/>
                  </w14:solidFill>
                </w14:textFill>
              </w:rPr>
            </w:pPr>
            <w:r>
              <w:rPr>
                <w:rFonts w:hint="eastAsia" w:ascii="宋体" w:hAnsi="宋体" w:eastAsia="宋体" w:cs="宋体"/>
                <w:b w:val="0"/>
                <w:bCs w:val="0"/>
                <w:snapToGrid w:val="0"/>
                <w:color w:val="000000" w:themeColor="text1"/>
                <w:spacing w:val="1"/>
                <w:kern w:val="0"/>
                <w:sz w:val="20"/>
                <w:szCs w:val="20"/>
                <w:lang w:val="zh-CN" w:eastAsia="en-US"/>
                <w14:textFill>
                  <w14:solidFill>
                    <w14:schemeClr w14:val="tx1"/>
                  </w14:solidFill>
                </w14:textFill>
              </w:rPr>
              <w:t>报价得</w:t>
            </w:r>
            <w:r>
              <w:rPr>
                <w:rFonts w:hint="eastAsia" w:ascii="宋体" w:hAnsi="宋体" w:eastAsia="宋体" w:cs="宋体"/>
                <w:b w:val="0"/>
                <w:bCs w:val="0"/>
                <w:snapToGrid w:val="0"/>
                <w:color w:val="000000" w:themeColor="text1"/>
                <w:spacing w:val="1"/>
                <w:kern w:val="0"/>
                <w:sz w:val="20"/>
                <w:szCs w:val="20"/>
                <w:lang w:val="en-US" w:eastAsia="zh-CN"/>
                <w14:textFill>
                  <w14:solidFill>
                    <w14:schemeClr w14:val="tx1"/>
                  </w14:solidFill>
                </w14:textFill>
              </w:rPr>
              <w:t>分</w:t>
            </w:r>
          </w:p>
          <w:p w14:paraId="05D5BCDF">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right="176" w:firstLine="13"/>
              <w:jc w:val="center"/>
              <w:textAlignment w:val="baseline"/>
              <w:rPr>
                <w:rFonts w:hint="eastAsia" w:ascii="宋体" w:hAnsi="宋体" w:eastAsia="宋体" w:cs="宋体"/>
                <w:b w:val="0"/>
                <w:bCs w:val="0"/>
                <w:snapToGrid w:val="0"/>
                <w:color w:val="000000" w:themeColor="text1"/>
                <w:spacing w:val="-1"/>
                <w:kern w:val="0"/>
                <w:sz w:val="20"/>
                <w:szCs w:val="20"/>
                <w:lang w:eastAsia="en-US"/>
                <w14:textFill>
                  <w14:solidFill>
                    <w14:schemeClr w14:val="tx1"/>
                  </w14:solidFill>
                </w14:textFill>
              </w:rPr>
            </w:pPr>
            <w:r>
              <w:rPr>
                <w:rFonts w:hint="eastAsia" w:ascii="宋体" w:hAnsi="宋体" w:eastAsia="宋体" w:cs="宋体"/>
                <w:b w:val="0"/>
                <w:bCs w:val="0"/>
                <w:snapToGrid w:val="0"/>
                <w:color w:val="000000" w:themeColor="text1"/>
                <w:spacing w:val="1"/>
                <w:kern w:val="0"/>
                <w:sz w:val="20"/>
                <w:szCs w:val="20"/>
                <w:lang w:val="zh-CN" w:eastAsia="en-US"/>
                <w14:textFill>
                  <w14:solidFill>
                    <w14:schemeClr w14:val="tx1"/>
                  </w14:solidFill>
                </w14:textFill>
              </w:rPr>
              <w:t>(</w:t>
            </w:r>
            <w:r>
              <w:rPr>
                <w:rFonts w:hint="eastAsia" w:ascii="宋体" w:hAnsi="宋体" w:eastAsia="宋体" w:cs="宋体"/>
                <w:b w:val="0"/>
                <w:bCs w:val="0"/>
                <w:snapToGrid w:val="0"/>
                <w:color w:val="000000" w:themeColor="text1"/>
                <w:spacing w:val="1"/>
                <w:kern w:val="0"/>
                <w:sz w:val="20"/>
                <w:szCs w:val="20"/>
                <w:lang w:val="en-US" w:eastAsia="zh-CN"/>
                <w14:textFill>
                  <w14:solidFill>
                    <w14:schemeClr w14:val="tx1"/>
                  </w14:solidFill>
                </w14:textFill>
              </w:rPr>
              <w:t>10</w:t>
            </w:r>
            <w:r>
              <w:rPr>
                <w:rFonts w:hint="eastAsia" w:ascii="宋体" w:hAnsi="宋体" w:eastAsia="宋体" w:cs="宋体"/>
                <w:b w:val="0"/>
                <w:bCs w:val="0"/>
                <w:snapToGrid w:val="0"/>
                <w:color w:val="000000" w:themeColor="text1"/>
                <w:spacing w:val="1"/>
                <w:kern w:val="0"/>
                <w:sz w:val="20"/>
                <w:szCs w:val="20"/>
                <w:lang w:val="zh-CN" w:eastAsia="en-US"/>
                <w14:textFill>
                  <w14:solidFill>
                    <w14:schemeClr w14:val="tx1"/>
                  </w14:solidFill>
                </w14:textFill>
              </w:rPr>
              <w:t>分)</w:t>
            </w:r>
          </w:p>
        </w:tc>
        <w:tc>
          <w:tcPr>
            <w:tcW w:w="1219" w:type="dxa"/>
            <w:vAlign w:val="top"/>
          </w:tcPr>
          <w:p w14:paraId="33BCD7E5">
            <w:pPr>
              <w:keepNext w:val="0"/>
              <w:keepLines w:val="0"/>
              <w:pageBreakBefore w:val="0"/>
              <w:kinsoku/>
              <w:wordWrap/>
              <w:overflowPunct/>
              <w:topLinePunct w:val="0"/>
              <w:bidi w:val="0"/>
              <w:spacing w:line="241" w:lineRule="auto"/>
              <w:rPr>
                <w:rFonts w:hint="eastAsia" w:ascii="宋体" w:hAnsi="宋体" w:eastAsia="宋体" w:cs="宋体"/>
                <w:color w:val="000000" w:themeColor="text1"/>
                <w:sz w:val="20"/>
                <w:szCs w:val="20"/>
                <w14:textFill>
                  <w14:solidFill>
                    <w14:schemeClr w14:val="tx1"/>
                  </w14:solidFill>
                </w14:textFill>
              </w:rPr>
            </w:pPr>
          </w:p>
          <w:p w14:paraId="2A9377A2">
            <w:pPr>
              <w:keepNext w:val="0"/>
              <w:keepLines w:val="0"/>
              <w:pageBreakBefore w:val="0"/>
              <w:kinsoku/>
              <w:wordWrap/>
              <w:overflowPunct/>
              <w:topLinePunct w:val="0"/>
              <w:bidi w:val="0"/>
              <w:spacing w:line="241" w:lineRule="auto"/>
              <w:rPr>
                <w:rFonts w:hint="eastAsia" w:ascii="宋体" w:hAnsi="宋体" w:eastAsia="宋体" w:cs="宋体"/>
                <w:color w:val="000000" w:themeColor="text1"/>
                <w:sz w:val="20"/>
                <w:szCs w:val="20"/>
                <w14:textFill>
                  <w14:solidFill>
                    <w14:schemeClr w14:val="tx1"/>
                  </w14:solidFill>
                </w14:textFill>
              </w:rPr>
            </w:pPr>
          </w:p>
          <w:p w14:paraId="2EEE9B4D">
            <w:pPr>
              <w:keepNext w:val="0"/>
              <w:keepLines w:val="0"/>
              <w:pageBreakBefore w:val="0"/>
              <w:kinsoku/>
              <w:wordWrap/>
              <w:overflowPunct/>
              <w:topLinePunct w:val="0"/>
              <w:bidi w:val="0"/>
              <w:spacing w:line="241" w:lineRule="auto"/>
              <w:rPr>
                <w:rFonts w:hint="eastAsia" w:ascii="宋体" w:hAnsi="宋体" w:eastAsia="宋体" w:cs="宋体"/>
                <w:color w:val="000000" w:themeColor="text1"/>
                <w:sz w:val="20"/>
                <w:szCs w:val="20"/>
                <w14:textFill>
                  <w14:solidFill>
                    <w14:schemeClr w14:val="tx1"/>
                  </w14:solidFill>
                </w14:textFill>
              </w:rPr>
            </w:pPr>
          </w:p>
          <w:p w14:paraId="5807461F">
            <w:pPr>
              <w:keepNext w:val="0"/>
              <w:keepLines w:val="0"/>
              <w:pageBreakBefore w:val="0"/>
              <w:kinsoku/>
              <w:wordWrap/>
              <w:overflowPunct/>
              <w:topLinePunct w:val="0"/>
              <w:bidi w:val="0"/>
              <w:spacing w:line="241" w:lineRule="auto"/>
              <w:rPr>
                <w:rFonts w:hint="eastAsia" w:ascii="宋体" w:hAnsi="宋体" w:eastAsia="宋体" w:cs="宋体"/>
                <w:color w:val="000000" w:themeColor="text1"/>
                <w:sz w:val="20"/>
                <w:szCs w:val="20"/>
                <w14:textFill>
                  <w14:solidFill>
                    <w14:schemeClr w14:val="tx1"/>
                  </w14:solidFill>
                </w14:textFill>
              </w:rPr>
            </w:pPr>
          </w:p>
          <w:p w14:paraId="3D21091A">
            <w:pPr>
              <w:keepNext w:val="0"/>
              <w:keepLines w:val="0"/>
              <w:pageBreakBefore w:val="0"/>
              <w:kinsoku/>
              <w:wordWrap/>
              <w:overflowPunct/>
              <w:topLinePunct w:val="0"/>
              <w:bidi w:val="0"/>
              <w:spacing w:line="241" w:lineRule="auto"/>
              <w:rPr>
                <w:rFonts w:hint="eastAsia" w:ascii="宋体" w:hAnsi="宋体" w:eastAsia="宋体" w:cs="宋体"/>
                <w:color w:val="000000" w:themeColor="text1"/>
                <w:sz w:val="20"/>
                <w:szCs w:val="20"/>
                <w14:textFill>
                  <w14:solidFill>
                    <w14:schemeClr w14:val="tx1"/>
                  </w14:solidFill>
                </w14:textFill>
              </w:rPr>
            </w:pPr>
          </w:p>
          <w:p w14:paraId="2164EAE8">
            <w:pPr>
              <w:keepNext w:val="0"/>
              <w:keepLines w:val="0"/>
              <w:pageBreakBefore w:val="0"/>
              <w:kinsoku/>
              <w:wordWrap/>
              <w:overflowPunct/>
              <w:topLinePunct w:val="0"/>
              <w:bidi w:val="0"/>
              <w:spacing w:line="241" w:lineRule="auto"/>
              <w:rPr>
                <w:rFonts w:hint="eastAsia" w:ascii="宋体" w:hAnsi="宋体" w:eastAsia="宋体" w:cs="宋体"/>
                <w:color w:val="000000" w:themeColor="text1"/>
                <w:sz w:val="20"/>
                <w:szCs w:val="20"/>
                <w14:textFill>
                  <w14:solidFill>
                    <w14:schemeClr w14:val="tx1"/>
                  </w14:solidFill>
                </w14:textFill>
              </w:rPr>
            </w:pPr>
          </w:p>
          <w:p w14:paraId="4651D620">
            <w:pPr>
              <w:keepNext w:val="0"/>
              <w:keepLines w:val="0"/>
              <w:pageBreakBefore w:val="0"/>
              <w:kinsoku/>
              <w:wordWrap/>
              <w:overflowPunct/>
              <w:topLinePunct w:val="0"/>
              <w:bidi w:val="0"/>
              <w:spacing w:line="241" w:lineRule="auto"/>
              <w:rPr>
                <w:rFonts w:hint="eastAsia" w:ascii="宋体" w:hAnsi="宋体" w:eastAsia="宋体" w:cs="宋体"/>
                <w:color w:val="000000" w:themeColor="text1"/>
                <w:sz w:val="20"/>
                <w:szCs w:val="20"/>
                <w14:textFill>
                  <w14:solidFill>
                    <w14:schemeClr w14:val="tx1"/>
                  </w14:solidFill>
                </w14:textFill>
              </w:rPr>
            </w:pPr>
          </w:p>
          <w:p w14:paraId="5237D752">
            <w:pPr>
              <w:keepNext w:val="0"/>
              <w:keepLines w:val="0"/>
              <w:pageBreakBefore w:val="0"/>
              <w:kinsoku/>
              <w:wordWrap/>
              <w:overflowPunct/>
              <w:topLinePunct w:val="0"/>
              <w:bidi w:val="0"/>
              <w:spacing w:line="242" w:lineRule="auto"/>
              <w:rPr>
                <w:rFonts w:hint="eastAsia" w:ascii="宋体" w:hAnsi="宋体" w:eastAsia="宋体" w:cs="宋体"/>
                <w:color w:val="000000" w:themeColor="text1"/>
                <w:sz w:val="20"/>
                <w:szCs w:val="20"/>
                <w14:textFill>
                  <w14:solidFill>
                    <w14:schemeClr w14:val="tx1"/>
                  </w14:solidFill>
                </w14:textFill>
              </w:rPr>
            </w:pPr>
          </w:p>
          <w:p w14:paraId="4229F10C">
            <w:pPr>
              <w:keepNext w:val="0"/>
              <w:keepLines w:val="0"/>
              <w:pageBreakBefore w:val="0"/>
              <w:kinsoku/>
              <w:wordWrap/>
              <w:overflowPunct/>
              <w:topLinePunct w:val="0"/>
              <w:bidi w:val="0"/>
              <w:spacing w:line="242" w:lineRule="auto"/>
              <w:rPr>
                <w:rFonts w:hint="eastAsia" w:ascii="宋体" w:hAnsi="宋体" w:eastAsia="宋体" w:cs="宋体"/>
                <w:color w:val="000000" w:themeColor="text1"/>
                <w:sz w:val="20"/>
                <w:szCs w:val="20"/>
                <w14:textFill>
                  <w14:solidFill>
                    <w14:schemeClr w14:val="tx1"/>
                  </w14:solidFill>
                </w14:textFill>
              </w:rPr>
            </w:pPr>
          </w:p>
          <w:p w14:paraId="4A7D4108">
            <w:pPr>
              <w:keepNext w:val="0"/>
              <w:keepLines w:val="0"/>
              <w:pageBreakBefore w:val="0"/>
              <w:kinsoku/>
              <w:wordWrap/>
              <w:overflowPunct/>
              <w:topLinePunct w:val="0"/>
              <w:bidi w:val="0"/>
              <w:spacing w:line="242" w:lineRule="auto"/>
              <w:rPr>
                <w:rFonts w:hint="eastAsia" w:ascii="宋体" w:hAnsi="宋体" w:eastAsia="宋体" w:cs="宋体"/>
                <w:color w:val="000000" w:themeColor="text1"/>
                <w:sz w:val="20"/>
                <w:szCs w:val="20"/>
                <w14:textFill>
                  <w14:solidFill>
                    <w14:schemeClr w14:val="tx1"/>
                  </w14:solidFill>
                </w14:textFill>
              </w:rPr>
            </w:pPr>
          </w:p>
          <w:p w14:paraId="4FAD807D">
            <w:pPr>
              <w:keepNext w:val="0"/>
              <w:keepLines w:val="0"/>
              <w:pageBreakBefore w:val="0"/>
              <w:kinsoku/>
              <w:wordWrap/>
              <w:overflowPunct/>
              <w:topLinePunct w:val="0"/>
              <w:bidi w:val="0"/>
              <w:spacing w:line="242" w:lineRule="auto"/>
              <w:rPr>
                <w:rFonts w:hint="eastAsia" w:ascii="宋体" w:hAnsi="宋体" w:eastAsia="宋体" w:cs="宋体"/>
                <w:color w:val="000000" w:themeColor="text1"/>
                <w:sz w:val="20"/>
                <w:szCs w:val="20"/>
                <w14:textFill>
                  <w14:solidFill>
                    <w14:schemeClr w14:val="tx1"/>
                  </w14:solidFill>
                </w14:textFill>
              </w:rPr>
            </w:pPr>
          </w:p>
          <w:p w14:paraId="77F35EF0">
            <w:pPr>
              <w:keepNext w:val="0"/>
              <w:keepLines w:val="0"/>
              <w:pageBreakBefore w:val="0"/>
              <w:kinsoku/>
              <w:wordWrap/>
              <w:overflowPunct/>
              <w:topLinePunct w:val="0"/>
              <w:bidi w:val="0"/>
              <w:spacing w:line="242" w:lineRule="auto"/>
              <w:rPr>
                <w:rFonts w:hint="eastAsia" w:ascii="宋体" w:hAnsi="宋体" w:eastAsia="宋体" w:cs="宋体"/>
                <w:color w:val="000000" w:themeColor="text1"/>
                <w:sz w:val="20"/>
                <w:szCs w:val="20"/>
                <w14:textFill>
                  <w14:solidFill>
                    <w14:schemeClr w14:val="tx1"/>
                  </w14:solidFill>
                </w14:textFill>
              </w:rPr>
            </w:pPr>
          </w:p>
          <w:p w14:paraId="1E78264A">
            <w:pPr>
              <w:keepNext w:val="0"/>
              <w:keepLines w:val="0"/>
              <w:pageBreakBefore w:val="0"/>
              <w:kinsoku/>
              <w:wordWrap/>
              <w:overflowPunct/>
              <w:topLinePunct w:val="0"/>
              <w:bidi w:val="0"/>
              <w:spacing w:line="242" w:lineRule="auto"/>
              <w:rPr>
                <w:rFonts w:hint="eastAsia" w:ascii="宋体" w:hAnsi="宋体" w:eastAsia="宋体" w:cs="宋体"/>
                <w:color w:val="000000" w:themeColor="text1"/>
                <w:sz w:val="20"/>
                <w:szCs w:val="20"/>
                <w14:textFill>
                  <w14:solidFill>
                    <w14:schemeClr w14:val="tx1"/>
                  </w14:solidFill>
                </w14:textFill>
              </w:rPr>
            </w:pPr>
          </w:p>
          <w:p w14:paraId="7DB5C0F3">
            <w:pPr>
              <w:keepNext w:val="0"/>
              <w:keepLines w:val="0"/>
              <w:pageBreakBefore w:val="0"/>
              <w:kinsoku/>
              <w:wordWrap/>
              <w:overflowPunct/>
              <w:topLinePunct w:val="0"/>
              <w:bidi w:val="0"/>
              <w:spacing w:line="242" w:lineRule="auto"/>
              <w:rPr>
                <w:rFonts w:hint="eastAsia" w:ascii="宋体" w:hAnsi="宋体" w:eastAsia="宋体" w:cs="宋体"/>
                <w:color w:val="000000" w:themeColor="text1"/>
                <w:sz w:val="20"/>
                <w:szCs w:val="20"/>
                <w14:textFill>
                  <w14:solidFill>
                    <w14:schemeClr w14:val="tx1"/>
                  </w14:solidFill>
                </w14:textFill>
              </w:rPr>
            </w:pPr>
          </w:p>
          <w:p w14:paraId="35227F32">
            <w:pPr>
              <w:keepNext w:val="0"/>
              <w:keepLines w:val="0"/>
              <w:pageBreakBefore w:val="0"/>
              <w:kinsoku/>
              <w:wordWrap/>
              <w:overflowPunct/>
              <w:topLinePunct w:val="0"/>
              <w:bidi w:val="0"/>
              <w:spacing w:line="242" w:lineRule="auto"/>
              <w:rPr>
                <w:rFonts w:hint="eastAsia" w:ascii="宋体" w:hAnsi="宋体" w:eastAsia="宋体" w:cs="宋体"/>
                <w:color w:val="000000" w:themeColor="text1"/>
                <w:sz w:val="20"/>
                <w:szCs w:val="20"/>
                <w14:textFill>
                  <w14:solidFill>
                    <w14:schemeClr w14:val="tx1"/>
                  </w14:solidFill>
                </w14:textFill>
              </w:rPr>
            </w:pPr>
          </w:p>
          <w:p w14:paraId="2F7ACD81">
            <w:pPr>
              <w:keepNext w:val="0"/>
              <w:keepLines w:val="0"/>
              <w:pageBreakBefore w:val="0"/>
              <w:kinsoku/>
              <w:wordWrap/>
              <w:overflowPunct/>
              <w:topLinePunct w:val="0"/>
              <w:bidi w:val="0"/>
              <w:spacing w:line="242" w:lineRule="auto"/>
              <w:rPr>
                <w:rFonts w:hint="eastAsia" w:ascii="宋体" w:hAnsi="宋体" w:eastAsia="宋体" w:cs="宋体"/>
                <w:color w:val="000000" w:themeColor="text1"/>
                <w:sz w:val="20"/>
                <w:szCs w:val="20"/>
                <w14:textFill>
                  <w14:solidFill>
                    <w14:schemeClr w14:val="tx1"/>
                  </w14:solidFill>
                </w14:textFill>
              </w:rPr>
            </w:pPr>
          </w:p>
          <w:p w14:paraId="17729C02">
            <w:pPr>
              <w:pStyle w:val="31"/>
              <w:keepNext w:val="0"/>
              <w:keepLines w:val="0"/>
              <w:pageBreakBefore w:val="0"/>
              <w:kinsoku/>
              <w:wordWrap/>
              <w:overflowPunct/>
              <w:topLinePunct w:val="0"/>
              <w:bidi w:val="0"/>
              <w:spacing w:before="65" w:line="438" w:lineRule="auto"/>
              <w:ind w:left="174" w:leftChars="0" w:right="184" w:rightChars="0" w:firstLine="18" w:firstLineChars="0"/>
              <w:rPr>
                <w:rFonts w:hint="eastAsia" w:ascii="宋体" w:hAnsi="宋体" w:eastAsia="宋体" w:cs="宋体"/>
                <w:b w:val="0"/>
                <w:bCs w:val="0"/>
                <w:snapToGrid w:val="0"/>
                <w:color w:val="000000" w:themeColor="text1"/>
                <w:spacing w:val="-1"/>
                <w:kern w:val="0"/>
                <w:sz w:val="20"/>
                <w:szCs w:val="20"/>
                <w:lang w:eastAsia="en-US"/>
                <w14:textFill>
                  <w14:solidFill>
                    <w14:schemeClr w14:val="tx1"/>
                  </w14:solidFill>
                </w14:textFill>
              </w:rPr>
            </w:pPr>
            <w:r>
              <w:rPr>
                <w:rFonts w:hint="eastAsia" w:ascii="宋体" w:hAnsi="宋体" w:eastAsia="宋体" w:cs="宋体"/>
                <w:color w:val="000000" w:themeColor="text1"/>
                <w:spacing w:val="9"/>
                <w:sz w:val="20"/>
                <w:szCs w:val="20"/>
                <w14:textFill>
                  <w14:solidFill>
                    <w14:schemeClr w14:val="tx1"/>
                  </w14:solidFill>
                </w14:textFill>
              </w:rPr>
              <w:t>投标报价</w:t>
            </w:r>
            <w:r>
              <w:rPr>
                <w:rFonts w:hint="eastAsia" w:ascii="宋体" w:hAnsi="宋体" w:eastAsia="宋体" w:cs="宋体"/>
                <w:color w:val="000000" w:themeColor="text1"/>
                <w:spacing w:val="-1"/>
                <w:sz w:val="20"/>
                <w:szCs w:val="20"/>
                <w14:textFill>
                  <w14:solidFill>
                    <w14:schemeClr w14:val="tx1"/>
                  </w14:solidFill>
                </w14:textFill>
              </w:rPr>
              <w:t>（10分）</w:t>
            </w:r>
          </w:p>
        </w:tc>
        <w:tc>
          <w:tcPr>
            <w:tcW w:w="6300" w:type="dxa"/>
            <w:vAlign w:val="top"/>
          </w:tcPr>
          <w:p w14:paraId="5A393CCB">
            <w:pPr>
              <w:pStyle w:val="31"/>
              <w:keepNext w:val="0"/>
              <w:keepLines w:val="0"/>
              <w:pageBreakBefore w:val="0"/>
              <w:kinsoku/>
              <w:wordWrap/>
              <w:overflowPunct/>
              <w:topLinePunct w:val="0"/>
              <w:bidi w:val="0"/>
              <w:spacing w:before="148" w:line="439" w:lineRule="auto"/>
              <w:ind w:left="19" w:right="114"/>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2"/>
                <w:sz w:val="20"/>
                <w:szCs w:val="20"/>
                <w14:textFill>
                  <w14:solidFill>
                    <w14:schemeClr w14:val="tx1"/>
                  </w14:solidFill>
                </w14:textFill>
              </w:rPr>
              <w:t>价格分统一采用低价优先法计算，即满足招标文件要求且投标价格最低的投标报价为评标基准价，其价格分为满分。其他投</w:t>
            </w:r>
            <w:r>
              <w:rPr>
                <w:rFonts w:hint="eastAsia" w:ascii="宋体" w:hAnsi="宋体" w:eastAsia="宋体" w:cs="宋体"/>
                <w:color w:val="000000" w:themeColor="text1"/>
                <w:spacing w:val="11"/>
                <w:sz w:val="20"/>
                <w:szCs w:val="20"/>
                <w14:textFill>
                  <w14:solidFill>
                    <w14:schemeClr w14:val="tx1"/>
                  </w14:solidFill>
                </w14:textFill>
              </w:rPr>
              <w:t>标人的价格分统一按照下列公式计算：</w:t>
            </w:r>
          </w:p>
          <w:p w14:paraId="2ADA07FC">
            <w:pPr>
              <w:pStyle w:val="31"/>
              <w:keepNext w:val="0"/>
              <w:keepLines w:val="0"/>
              <w:pageBreakBefore w:val="0"/>
              <w:kinsoku/>
              <w:wordWrap/>
              <w:overflowPunct/>
              <w:topLinePunct w:val="0"/>
              <w:bidi w:val="0"/>
              <w:spacing w:line="226" w:lineRule="auto"/>
              <w:ind w:left="21"/>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7"/>
                <w:sz w:val="20"/>
                <w:szCs w:val="20"/>
                <w14:textFill>
                  <w14:solidFill>
                    <w14:schemeClr w14:val="tx1"/>
                  </w14:solidFill>
                </w14:textFill>
              </w:rPr>
              <w:t>投标报价得分=（评标基准价/投标报价）</w:t>
            </w:r>
            <w:r>
              <w:rPr>
                <w:rFonts w:hint="eastAsia" w:ascii="宋体" w:hAnsi="宋体" w:eastAsia="宋体" w:cs="宋体"/>
                <w:color w:val="000000" w:themeColor="text1"/>
                <w:spacing w:val="-42"/>
                <w:sz w:val="20"/>
                <w:szCs w:val="20"/>
                <w14:textFill>
                  <w14:solidFill>
                    <w14:schemeClr w14:val="tx1"/>
                  </w14:solidFill>
                </w14:textFill>
              </w:rPr>
              <w:t xml:space="preserve"> </w:t>
            </w:r>
            <w:r>
              <w:rPr>
                <w:rFonts w:hint="eastAsia" w:ascii="宋体" w:hAnsi="宋体" w:eastAsia="宋体" w:cs="宋体"/>
                <w:color w:val="000000" w:themeColor="text1"/>
                <w:spacing w:val="7"/>
                <w:sz w:val="20"/>
                <w:szCs w:val="20"/>
                <w14:textFill>
                  <w14:solidFill>
                    <w14:schemeClr w14:val="tx1"/>
                  </w14:solidFill>
                </w14:textFill>
              </w:rPr>
              <w:t>×</w:t>
            </w:r>
            <w:r>
              <w:rPr>
                <w:rFonts w:hint="eastAsia" w:ascii="宋体" w:hAnsi="宋体" w:eastAsia="宋体" w:cs="宋体"/>
                <w:color w:val="000000" w:themeColor="text1"/>
                <w:spacing w:val="-71"/>
                <w:sz w:val="20"/>
                <w:szCs w:val="20"/>
                <w14:textFill>
                  <w14:solidFill>
                    <w14:schemeClr w14:val="tx1"/>
                  </w14:solidFill>
                </w14:textFill>
              </w:rPr>
              <w:t xml:space="preserve"> </w:t>
            </w:r>
            <w:r>
              <w:rPr>
                <w:rFonts w:hint="eastAsia" w:ascii="宋体" w:hAnsi="宋体" w:eastAsia="宋体" w:cs="宋体"/>
                <w:color w:val="000000" w:themeColor="text1"/>
                <w:spacing w:val="7"/>
                <w:sz w:val="20"/>
                <w:szCs w:val="20"/>
                <w14:textFill>
                  <w14:solidFill>
                    <w14:schemeClr w14:val="tx1"/>
                  </w14:solidFill>
                </w14:textFill>
              </w:rPr>
              <w:t>10×100%。</w:t>
            </w:r>
          </w:p>
          <w:p w14:paraId="257D3E58">
            <w:pPr>
              <w:pStyle w:val="31"/>
              <w:keepNext w:val="0"/>
              <w:keepLines w:val="0"/>
              <w:pageBreakBefore w:val="0"/>
              <w:kinsoku/>
              <w:wordWrap/>
              <w:overflowPunct/>
              <w:topLinePunct w:val="0"/>
              <w:bidi w:val="0"/>
              <w:spacing w:before="230" w:line="226" w:lineRule="auto"/>
              <w:ind w:left="19"/>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1"/>
                <w:sz w:val="20"/>
                <w:szCs w:val="20"/>
                <w14:textFill>
                  <w14:solidFill>
                    <w14:schemeClr w14:val="tx1"/>
                  </w14:solidFill>
                </w14:textFill>
              </w:rPr>
              <w:t>注：报价得分计算保留小数点后二位。</w:t>
            </w:r>
          </w:p>
          <w:p w14:paraId="01C048B8">
            <w:pPr>
              <w:pStyle w:val="31"/>
              <w:keepNext w:val="0"/>
              <w:keepLines w:val="0"/>
              <w:pageBreakBefore w:val="0"/>
              <w:kinsoku/>
              <w:wordWrap/>
              <w:overflowPunct/>
              <w:topLinePunct w:val="0"/>
              <w:bidi w:val="0"/>
              <w:spacing w:before="231" w:line="439" w:lineRule="auto"/>
              <w:ind w:left="18" w:right="13" w:firstLine="16"/>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1"/>
                <w:sz w:val="20"/>
                <w:szCs w:val="20"/>
                <w14:textFill>
                  <w14:solidFill>
                    <w14:schemeClr w14:val="tx1"/>
                  </w14:solidFill>
                </w14:textFill>
              </w:rPr>
              <w:t>1、根据相关政策要求，本项目专门面向中小</w:t>
            </w:r>
            <w:r>
              <w:rPr>
                <w:rFonts w:hint="eastAsia" w:ascii="宋体" w:hAnsi="宋体" w:eastAsia="宋体" w:cs="宋体"/>
                <w:color w:val="000000" w:themeColor="text1"/>
                <w:spacing w:val="11"/>
                <w:sz w:val="20"/>
                <w:szCs w:val="20"/>
                <w:lang w:val="en-US" w:eastAsia="zh-CN"/>
                <w14:textFill>
                  <w14:solidFill>
                    <w14:schemeClr w14:val="tx1"/>
                  </w14:solidFill>
                </w14:textFill>
              </w:rPr>
              <w:t>微</w:t>
            </w:r>
            <w:r>
              <w:rPr>
                <w:rFonts w:hint="eastAsia" w:ascii="宋体" w:hAnsi="宋体" w:eastAsia="宋体" w:cs="宋体"/>
                <w:color w:val="000000" w:themeColor="text1"/>
                <w:spacing w:val="11"/>
                <w:sz w:val="20"/>
                <w:szCs w:val="20"/>
                <w14:textFill>
                  <w14:solidFill>
                    <w14:schemeClr w14:val="tx1"/>
                  </w14:solidFill>
                </w14:textFill>
              </w:rPr>
              <w:t>企业进行采购，监</w:t>
            </w:r>
            <w:r>
              <w:rPr>
                <w:rFonts w:hint="eastAsia" w:ascii="宋体" w:hAnsi="宋体" w:eastAsia="宋体" w:cs="宋体"/>
                <w:color w:val="000000" w:themeColor="text1"/>
                <w:spacing w:val="12"/>
                <w:sz w:val="20"/>
                <w:szCs w:val="20"/>
                <w14:textFill>
                  <w14:solidFill>
                    <w14:schemeClr w14:val="tx1"/>
                  </w14:solidFill>
                </w14:textFill>
              </w:rPr>
              <w:t>狱企业、残疾人福利性企业视同小微企业。因此不再进行价格</w:t>
            </w:r>
            <w:r>
              <w:rPr>
                <w:rFonts w:hint="eastAsia" w:ascii="宋体" w:hAnsi="宋体" w:eastAsia="宋体" w:cs="宋体"/>
                <w:color w:val="000000" w:themeColor="text1"/>
                <w:spacing w:val="8"/>
                <w:sz w:val="20"/>
                <w:szCs w:val="20"/>
                <w14:textFill>
                  <w14:solidFill>
                    <w14:schemeClr w14:val="tx1"/>
                  </w14:solidFill>
                </w14:textFill>
              </w:rPr>
              <w:t>优惠扣除。</w:t>
            </w:r>
          </w:p>
          <w:p w14:paraId="71D8D2E6">
            <w:pPr>
              <w:pStyle w:val="31"/>
              <w:keepNext w:val="0"/>
              <w:keepLines w:val="0"/>
              <w:pageBreakBefore w:val="0"/>
              <w:kinsoku/>
              <w:wordWrap/>
              <w:overflowPunct/>
              <w:topLinePunct w:val="0"/>
              <w:bidi w:val="0"/>
              <w:spacing w:before="1" w:line="437" w:lineRule="auto"/>
              <w:ind w:left="19" w:right="13" w:firstLine="2"/>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2"/>
                <w:sz w:val="20"/>
                <w:szCs w:val="20"/>
                <w14:textFill>
                  <w14:solidFill>
                    <w14:schemeClr w14:val="tx1"/>
                  </w14:solidFill>
                </w14:textFill>
              </w:rPr>
              <w:t>2、有效投标人：实质上响应且满足招标文件采购要求并通</w:t>
            </w:r>
            <w:r>
              <w:rPr>
                <w:rFonts w:hint="eastAsia" w:ascii="宋体" w:hAnsi="宋体" w:eastAsia="宋体" w:cs="宋体"/>
                <w:color w:val="000000" w:themeColor="text1"/>
                <w:spacing w:val="11"/>
                <w:sz w:val="20"/>
                <w:szCs w:val="20"/>
                <w14:textFill>
                  <w14:solidFill>
                    <w14:schemeClr w14:val="tx1"/>
                  </w14:solidFill>
                </w14:textFill>
              </w:rPr>
              <w:t>过资格性、符合性审查的所有投标人。</w:t>
            </w:r>
          </w:p>
          <w:p w14:paraId="19186A5B">
            <w:pPr>
              <w:pStyle w:val="31"/>
              <w:keepNext w:val="0"/>
              <w:keepLines w:val="0"/>
              <w:pageBreakBefore w:val="0"/>
              <w:kinsoku/>
              <w:wordWrap/>
              <w:overflowPunct/>
              <w:topLinePunct w:val="0"/>
              <w:bidi w:val="0"/>
              <w:spacing w:before="5" w:line="438" w:lineRule="auto"/>
              <w:ind w:left="19" w:right="13" w:firstLine="4"/>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2"/>
                <w:sz w:val="20"/>
                <w:szCs w:val="20"/>
                <w14:textFill>
                  <w14:solidFill>
                    <w14:schemeClr w14:val="tx1"/>
                  </w14:solidFill>
                </w14:textFill>
              </w:rPr>
              <w:t>3、评标委员会认为投标人的报价明显低于其他通过符合</w:t>
            </w:r>
            <w:r>
              <w:rPr>
                <w:rFonts w:hint="eastAsia" w:ascii="宋体" w:hAnsi="宋体" w:eastAsia="宋体" w:cs="宋体"/>
                <w:color w:val="000000" w:themeColor="text1"/>
                <w:spacing w:val="11"/>
                <w:sz w:val="20"/>
                <w:szCs w:val="20"/>
                <w14:textFill>
                  <w14:solidFill>
                    <w14:schemeClr w14:val="tx1"/>
                  </w14:solidFill>
                </w14:textFill>
              </w:rPr>
              <w:t>性审查</w:t>
            </w:r>
            <w:r>
              <w:rPr>
                <w:rFonts w:hint="eastAsia" w:ascii="宋体" w:hAnsi="宋体" w:eastAsia="宋体" w:cs="宋体"/>
                <w:color w:val="000000" w:themeColor="text1"/>
                <w:spacing w:val="12"/>
                <w:sz w:val="20"/>
                <w:szCs w:val="20"/>
                <w14:textFill>
                  <w14:solidFill>
                    <w14:schemeClr w14:val="tx1"/>
                  </w14:solidFill>
                </w14:textFill>
              </w:rPr>
              <w:t>投标人的报价，有可能影响产品质量或者不能诚信履约的，应当要求其在合理的时间内提供书面说明，必要时提交相关证明材料；投标人不能证明其报价合理性的，评标委员会应当将</w:t>
            </w:r>
            <w:r>
              <w:rPr>
                <w:rFonts w:hint="eastAsia" w:ascii="宋体" w:hAnsi="宋体" w:eastAsia="宋体" w:cs="宋体"/>
                <w:b/>
                <w:bCs/>
                <w:color w:val="000000" w:themeColor="text1"/>
                <w:spacing w:val="12"/>
                <w:sz w:val="20"/>
                <w:szCs w:val="20"/>
                <w14:textFill>
                  <w14:solidFill>
                    <w14:schemeClr w14:val="tx1"/>
                  </w14:solidFill>
                </w14:textFill>
              </w:rPr>
              <w:t>其</w:t>
            </w:r>
            <w:r>
              <w:rPr>
                <w:rFonts w:hint="eastAsia" w:ascii="宋体" w:hAnsi="宋体" w:eastAsia="宋体" w:cs="宋体"/>
                <w:b/>
                <w:bCs/>
                <w:color w:val="000000" w:themeColor="text1"/>
                <w:spacing w:val="8"/>
                <w:sz w:val="20"/>
                <w:szCs w:val="20"/>
                <w14:textFill>
                  <w14:solidFill>
                    <w14:schemeClr w14:val="tx1"/>
                  </w14:solidFill>
                </w14:textFill>
              </w:rPr>
              <w:t>作为无效投标处理。</w:t>
            </w:r>
          </w:p>
          <w:p w14:paraId="0D1A2FF8">
            <w:pPr>
              <w:pStyle w:val="31"/>
              <w:keepNext w:val="0"/>
              <w:keepLines w:val="0"/>
              <w:pageBreakBefore w:val="0"/>
              <w:kinsoku/>
              <w:wordWrap/>
              <w:overflowPunct/>
              <w:topLinePunct w:val="0"/>
              <w:bidi w:val="0"/>
              <w:spacing w:line="360" w:lineRule="auto"/>
              <w:ind w:left="18"/>
              <w:rPr>
                <w:rFonts w:hint="eastAsia" w:ascii="宋体" w:hAnsi="宋体" w:eastAsia="宋体" w:cs="宋体"/>
                <w:snapToGrid w:val="0"/>
                <w:color w:val="000000" w:themeColor="text1"/>
                <w:kern w:val="0"/>
                <w:sz w:val="20"/>
                <w:szCs w:val="20"/>
                <w:lang w:val="en-US" w:eastAsia="zh-CN"/>
                <w14:textFill>
                  <w14:solidFill>
                    <w14:schemeClr w14:val="tx1"/>
                  </w14:solidFill>
                </w14:textFill>
              </w:rPr>
            </w:pPr>
            <w:r>
              <w:rPr>
                <w:rFonts w:hint="eastAsia" w:ascii="宋体" w:hAnsi="宋体" w:eastAsia="宋体" w:cs="宋体"/>
                <w:color w:val="000000" w:themeColor="text1"/>
                <w:spacing w:val="12"/>
                <w:sz w:val="20"/>
                <w:szCs w:val="20"/>
                <w14:textFill>
                  <w14:solidFill>
                    <w14:schemeClr w14:val="tx1"/>
                  </w14:solidFill>
                </w14:textFill>
              </w:rPr>
              <w:t>4、根据《关于推动解决政府采购异常低价问题的通知》财库〔2026〕2号相关规定，政府采购评审中出现本章3.1.4条规定情形之一的，评审委员会应当启动异常低价投标（响应）审查程序。</w:t>
            </w:r>
          </w:p>
        </w:tc>
      </w:tr>
      <w:tr w14:paraId="59BB6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02" w:type="dxa"/>
            <w:vMerge w:val="restart"/>
            <w:vAlign w:val="center"/>
          </w:tcPr>
          <w:p w14:paraId="5ED83CA8">
            <w:pPr>
              <w:keepNext w:val="0"/>
              <w:keepLines w:val="0"/>
              <w:pageBreakBefore w:val="0"/>
              <w:widowControl/>
              <w:kinsoku/>
              <w:wordWrap/>
              <w:overflowPunct/>
              <w:topLinePunct w:val="0"/>
              <w:autoSpaceDE w:val="0"/>
              <w:autoSpaceDN w:val="0"/>
              <w:bidi w:val="0"/>
              <w:adjustRightInd w:val="0"/>
              <w:snapToGrid w:val="0"/>
              <w:spacing w:before="137" w:after="160" w:line="360" w:lineRule="auto"/>
              <w:ind w:right="114"/>
              <w:jc w:val="center"/>
              <w:textAlignment w:val="baseline"/>
              <w:rPr>
                <w:rFonts w:hint="eastAsia" w:ascii="宋体" w:hAnsi="宋体" w:eastAsia="宋体" w:cs="宋体"/>
                <w:b w:val="0"/>
                <w:bCs w:val="0"/>
                <w:snapToGrid w:val="0"/>
                <w:color w:val="000000" w:themeColor="text1"/>
                <w:spacing w:val="1"/>
                <w:kern w:val="0"/>
                <w:sz w:val="20"/>
                <w:szCs w:val="20"/>
                <w:lang w:val="en-US" w:eastAsia="zh-CN"/>
                <w14:textFill>
                  <w14:solidFill>
                    <w14:schemeClr w14:val="tx1"/>
                  </w14:solidFill>
                </w14:textFill>
              </w:rPr>
            </w:pPr>
            <w:r>
              <w:rPr>
                <w:rFonts w:hint="eastAsia" w:ascii="宋体" w:hAnsi="宋体" w:eastAsia="宋体" w:cs="宋体"/>
                <w:b w:val="0"/>
                <w:bCs w:val="0"/>
                <w:snapToGrid w:val="0"/>
                <w:color w:val="000000" w:themeColor="text1"/>
                <w:spacing w:val="1"/>
                <w:kern w:val="0"/>
                <w:sz w:val="20"/>
                <w:szCs w:val="20"/>
                <w:highlight w:val="none"/>
                <w:lang w:val="en-US" w:eastAsia="zh-CN"/>
                <w14:textFill>
                  <w14:solidFill>
                    <w14:schemeClr w14:val="tx1"/>
                  </w14:solidFill>
                </w14:textFill>
              </w:rPr>
              <w:t>技术部分（55分）</w:t>
            </w:r>
          </w:p>
        </w:tc>
        <w:tc>
          <w:tcPr>
            <w:tcW w:w="912" w:type="dxa"/>
            <w:vMerge w:val="restart"/>
            <w:vAlign w:val="center"/>
          </w:tcPr>
          <w:p w14:paraId="26CFBA8D">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right="176" w:firstLine="13"/>
              <w:jc w:val="center"/>
              <w:textAlignment w:val="baseline"/>
              <w:rPr>
                <w:rFonts w:hint="eastAsia" w:ascii="宋体" w:hAnsi="宋体" w:eastAsia="宋体" w:cs="宋体"/>
                <w:snapToGrid w:val="0"/>
                <w:color w:val="000000" w:themeColor="text1"/>
                <w:spacing w:val="-1"/>
                <w:kern w:val="0"/>
                <w:sz w:val="20"/>
                <w:szCs w:val="20"/>
                <w:lang w:eastAsia="zh-CN"/>
                <w14:textFill>
                  <w14:solidFill>
                    <w14:schemeClr w14:val="tx1"/>
                  </w14:solidFill>
                </w14:textFill>
              </w:rPr>
            </w:pP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项目组织实施</w:t>
            </w:r>
          </w:p>
        </w:tc>
        <w:tc>
          <w:tcPr>
            <w:tcW w:w="1219" w:type="dxa"/>
            <w:vAlign w:val="center"/>
          </w:tcPr>
          <w:p w14:paraId="4AF98F20">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leftChars="0" w:right="176" w:rightChars="0" w:firstLine="13" w:firstLineChars="0"/>
              <w:jc w:val="center"/>
              <w:textAlignment w:val="baseline"/>
              <w:rPr>
                <w:rFonts w:hint="eastAsia" w:ascii="宋体" w:hAnsi="宋体" w:eastAsia="宋体" w:cs="宋体"/>
                <w:snapToGrid w:val="0"/>
                <w:color w:val="000000" w:themeColor="text1"/>
                <w:spacing w:val="-1"/>
                <w:kern w:val="0"/>
                <w:sz w:val="20"/>
                <w:szCs w:val="20"/>
                <w:lang w:eastAsia="zh-CN"/>
                <w14:textFill>
                  <w14:solidFill>
                    <w14:schemeClr w14:val="tx1"/>
                  </w14:solidFill>
                </w14:textFill>
              </w:rPr>
            </w:pP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学生宿舍管理</w:t>
            </w: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服务方案</w:t>
            </w:r>
            <w:r>
              <w:rPr>
                <w:rFonts w:hint="eastAsia" w:ascii="宋体" w:hAnsi="宋体" w:eastAsia="宋体" w:cs="宋体"/>
                <w:snapToGrid w:val="0"/>
                <w:color w:val="000000" w:themeColor="text1"/>
                <w:spacing w:val="-1"/>
                <w:kern w:val="0"/>
                <w:sz w:val="20"/>
                <w:szCs w:val="20"/>
                <w:lang w:eastAsia="zh-CN"/>
                <w14:textFill>
                  <w14:solidFill>
                    <w14:schemeClr w14:val="tx1"/>
                  </w14:solidFill>
                </w14:textFill>
              </w:rPr>
              <w:t>（</w:t>
            </w: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10分</w:t>
            </w:r>
            <w:r>
              <w:rPr>
                <w:rFonts w:hint="eastAsia" w:ascii="宋体" w:hAnsi="宋体" w:eastAsia="宋体" w:cs="宋体"/>
                <w:snapToGrid w:val="0"/>
                <w:color w:val="000000" w:themeColor="text1"/>
                <w:spacing w:val="-1"/>
                <w:kern w:val="0"/>
                <w:sz w:val="20"/>
                <w:szCs w:val="20"/>
                <w:lang w:eastAsia="zh-CN"/>
                <w14:textFill>
                  <w14:solidFill>
                    <w14:schemeClr w14:val="tx1"/>
                  </w14:solidFill>
                </w14:textFill>
              </w:rPr>
              <w:t>）</w:t>
            </w:r>
          </w:p>
        </w:tc>
        <w:tc>
          <w:tcPr>
            <w:tcW w:w="6300" w:type="dxa"/>
            <w:vAlign w:val="center"/>
          </w:tcPr>
          <w:p w14:paraId="1A1A8E9E">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leftChars="0" w:right="176" w:rightChars="0" w:firstLine="13" w:firstLineChars="0"/>
              <w:jc w:val="left"/>
              <w:textAlignment w:val="baseline"/>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pP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对所有</w:t>
            </w: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供应商提供的</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学生宿舍生活指导教育管理方案进行比较</w:t>
            </w:r>
            <w:r>
              <w:rPr>
                <w:rFonts w:hint="eastAsia" w:ascii="宋体" w:hAnsi="宋体" w:eastAsia="宋体" w:cs="宋体"/>
                <w:snapToGrid w:val="0"/>
                <w:color w:val="000000" w:themeColor="text1"/>
                <w:spacing w:val="-1"/>
                <w:kern w:val="0"/>
                <w:sz w:val="20"/>
                <w:szCs w:val="20"/>
                <w:lang w:eastAsia="zh-CN"/>
                <w14:textFill>
                  <w14:solidFill>
                    <w14:schemeClr w14:val="tx1"/>
                  </w14:solidFill>
                </w14:textFill>
              </w:rPr>
              <w:t>，</w:t>
            </w: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对所有供应商的</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学生</w:t>
            </w: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宿舍</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管理工作服务能力</w:t>
            </w:r>
            <w:r>
              <w:rPr>
                <w:rFonts w:hint="eastAsia" w:ascii="宋体" w:hAnsi="宋体" w:eastAsia="宋体" w:cs="宋体"/>
                <w:snapToGrid w:val="0"/>
                <w:color w:val="000000" w:themeColor="text1"/>
                <w:spacing w:val="-1"/>
                <w:kern w:val="0"/>
                <w:sz w:val="20"/>
                <w:szCs w:val="20"/>
                <w:lang w:eastAsia="zh-CN"/>
                <w14:textFill>
                  <w14:solidFill>
                    <w14:schemeClr w14:val="tx1"/>
                  </w14:solidFill>
                </w14:textFill>
              </w:rPr>
              <w:t>（</w:t>
            </w: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学生宿舍的安全、服务和育人</w:t>
            </w:r>
            <w:r>
              <w:rPr>
                <w:rFonts w:hint="eastAsia" w:ascii="宋体" w:hAnsi="宋体" w:eastAsia="宋体" w:cs="宋体"/>
                <w:snapToGrid w:val="0"/>
                <w:color w:val="000000" w:themeColor="text1"/>
                <w:spacing w:val="-1"/>
                <w:kern w:val="0"/>
                <w:sz w:val="20"/>
                <w:szCs w:val="20"/>
                <w:lang w:eastAsia="zh-CN"/>
                <w14:textFill>
                  <w14:solidFill>
                    <w14:schemeClr w14:val="tx1"/>
                  </w14:solidFill>
                </w14:textFill>
              </w:rPr>
              <w:t>）</w:t>
            </w: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进行</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评价。</w:t>
            </w:r>
          </w:p>
          <w:p w14:paraId="679DD570">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leftChars="0" w:right="176" w:rightChars="0" w:firstLine="13" w:firstLineChars="0"/>
              <w:jc w:val="left"/>
              <w:textAlignment w:val="baseline"/>
              <w:rPr>
                <w:rFonts w:hint="eastAsia" w:ascii="宋体" w:hAnsi="宋体" w:eastAsia="宋体" w:cs="宋体"/>
                <w:snapToGrid w:val="0"/>
                <w:color w:val="000000" w:themeColor="text1"/>
                <w:spacing w:val="-1"/>
                <w:kern w:val="0"/>
                <w:sz w:val="20"/>
                <w:szCs w:val="20"/>
                <w:lang w:eastAsia="zh-CN"/>
                <w14:textFill>
                  <w14:solidFill>
                    <w14:schemeClr w14:val="tx1"/>
                  </w14:solidFill>
                </w14:textFill>
              </w:rPr>
            </w:pP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要求</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体系健全（</w:t>
            </w: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包含但不限于</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管理框架、队伍建设、运营机制、工作流程等）</w:t>
            </w:r>
            <w:r>
              <w:rPr>
                <w:rFonts w:hint="eastAsia" w:ascii="宋体" w:hAnsi="宋体" w:eastAsia="宋体" w:cs="宋体"/>
                <w:snapToGrid w:val="0"/>
                <w:color w:val="000000" w:themeColor="text1"/>
                <w:spacing w:val="-1"/>
                <w:kern w:val="0"/>
                <w:sz w:val="20"/>
                <w:szCs w:val="20"/>
                <w:lang w:eastAsia="zh-CN"/>
                <w14:textFill>
                  <w14:solidFill>
                    <w14:schemeClr w14:val="tx1"/>
                  </w14:solidFill>
                </w14:textFill>
              </w:rPr>
              <w:t>，</w:t>
            </w: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具有</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自我管理特色（</w:t>
            </w: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包含但不限于安全防控、宿舍管理、</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劳动教育、</w:t>
            </w: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早操课间操、</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学生事务服务中心</w:t>
            </w:r>
            <w:r>
              <w:rPr>
                <w:rFonts w:hint="eastAsia" w:ascii="宋体" w:hAnsi="宋体" w:eastAsia="宋体" w:cs="宋体"/>
                <w:snapToGrid w:val="0"/>
                <w:color w:val="000000" w:themeColor="text1"/>
                <w:spacing w:val="-1"/>
                <w:kern w:val="0"/>
                <w:sz w:val="20"/>
                <w:szCs w:val="20"/>
                <w:lang w:eastAsia="zh-CN"/>
                <w14:textFill>
                  <w14:solidFill>
                    <w14:schemeClr w14:val="tx1"/>
                  </w14:solidFill>
                </w14:textFill>
              </w:rPr>
              <w:t>、</w:t>
            </w: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学生教官、学生自我管理机制</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等）</w:t>
            </w:r>
            <w:r>
              <w:rPr>
                <w:rFonts w:hint="eastAsia" w:ascii="宋体" w:hAnsi="宋体" w:eastAsia="宋体" w:cs="宋体"/>
                <w:snapToGrid w:val="0"/>
                <w:color w:val="000000" w:themeColor="text1"/>
                <w:spacing w:val="-1"/>
                <w:kern w:val="0"/>
                <w:sz w:val="20"/>
                <w:szCs w:val="20"/>
                <w:lang w:eastAsia="zh-CN"/>
                <w14:textFill>
                  <w14:solidFill>
                    <w14:schemeClr w14:val="tx1"/>
                  </w14:solidFill>
                </w14:textFill>
              </w:rPr>
              <w:t>。</w:t>
            </w:r>
          </w:p>
          <w:p w14:paraId="1A7B6C7D">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leftChars="0" w:right="176" w:rightChars="0" w:firstLine="13" w:firstLineChars="0"/>
              <w:jc w:val="left"/>
              <w:textAlignment w:val="baseline"/>
              <w:rPr>
                <w:rFonts w:hint="eastAsia" w:ascii="宋体" w:hAnsi="宋体" w:eastAsia="宋体" w:cs="宋体"/>
                <w:snapToGrid w:val="0"/>
                <w:color w:val="000000" w:themeColor="text1"/>
                <w:spacing w:val="-1"/>
                <w:kern w:val="0"/>
                <w:sz w:val="20"/>
                <w:szCs w:val="20"/>
                <w:lang w:eastAsia="zh-CN"/>
                <w14:textFill>
                  <w14:solidFill>
                    <w14:schemeClr w14:val="tx1"/>
                  </w14:solidFill>
                </w14:textFill>
              </w:rPr>
            </w:pP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供应商提供的</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学生宿舍管理</w:t>
            </w: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服务方案</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内容论述详细,完全贴合采购需求的得</w:t>
            </w:r>
            <w:r>
              <w:rPr>
                <w:rFonts w:hint="eastAsia" w:ascii="宋体" w:hAnsi="宋体" w:eastAsia="宋体" w:cs="宋体"/>
                <w:snapToGrid w:val="0"/>
                <w:color w:val="000000" w:themeColor="text1"/>
                <w:spacing w:val="-1"/>
                <w:kern w:val="0"/>
                <w:sz w:val="20"/>
                <w:szCs w:val="20"/>
                <w:lang w:val="en-US" w:eastAsia="en-US"/>
                <w14:textFill>
                  <w14:solidFill>
                    <w14:schemeClr w14:val="tx1"/>
                  </w14:solidFill>
                </w14:textFill>
              </w:rPr>
              <w:t>10</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分</w:t>
            </w:r>
            <w:r>
              <w:rPr>
                <w:rFonts w:hint="eastAsia" w:ascii="宋体" w:hAnsi="宋体" w:eastAsia="宋体" w:cs="宋体"/>
                <w:snapToGrid w:val="0"/>
                <w:color w:val="000000" w:themeColor="text1"/>
                <w:spacing w:val="-1"/>
                <w:kern w:val="0"/>
                <w:sz w:val="20"/>
                <w:szCs w:val="20"/>
                <w:lang w:eastAsia="zh-CN"/>
                <w14:textFill>
                  <w14:solidFill>
                    <w14:schemeClr w14:val="tx1"/>
                  </w14:solidFill>
                </w14:textFill>
              </w:rPr>
              <w:t>；</w:t>
            </w:r>
          </w:p>
          <w:p w14:paraId="43594568">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leftChars="0" w:right="176" w:rightChars="0" w:firstLine="13" w:firstLineChars="0"/>
              <w:jc w:val="left"/>
              <w:textAlignment w:val="baseline"/>
              <w:rPr>
                <w:rFonts w:hint="eastAsia" w:ascii="宋体" w:hAnsi="宋体" w:eastAsia="宋体" w:cs="宋体"/>
                <w:snapToGrid w:val="0"/>
                <w:color w:val="000000" w:themeColor="text1"/>
                <w:spacing w:val="-1"/>
                <w:kern w:val="0"/>
                <w:sz w:val="20"/>
                <w:szCs w:val="20"/>
                <w:lang w:eastAsia="zh-CN"/>
                <w14:textFill>
                  <w14:solidFill>
                    <w14:schemeClr w14:val="tx1"/>
                  </w14:solidFill>
                </w14:textFill>
              </w:rPr>
            </w:pP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供应商提供的</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学生宿舍管理</w:t>
            </w: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服务方案</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内容虽阐述但未贴合采购需求进行论述,或内容未包括具体细节的得</w:t>
            </w:r>
            <w:r>
              <w:rPr>
                <w:rFonts w:hint="eastAsia" w:ascii="宋体" w:hAnsi="宋体" w:eastAsia="宋体" w:cs="宋体"/>
                <w:snapToGrid w:val="0"/>
                <w:color w:val="000000" w:themeColor="text1"/>
                <w:spacing w:val="-1"/>
                <w:kern w:val="0"/>
                <w:sz w:val="20"/>
                <w:szCs w:val="20"/>
                <w:lang w:val="en-US" w:eastAsia="en-US"/>
                <w14:textFill>
                  <w14:solidFill>
                    <w14:schemeClr w14:val="tx1"/>
                  </w14:solidFill>
                </w14:textFill>
              </w:rPr>
              <w:t>7</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分</w:t>
            </w:r>
            <w:r>
              <w:rPr>
                <w:rFonts w:hint="eastAsia" w:ascii="宋体" w:hAnsi="宋体" w:eastAsia="宋体" w:cs="宋体"/>
                <w:snapToGrid w:val="0"/>
                <w:color w:val="000000" w:themeColor="text1"/>
                <w:spacing w:val="-1"/>
                <w:kern w:val="0"/>
                <w:sz w:val="20"/>
                <w:szCs w:val="20"/>
                <w:lang w:eastAsia="zh-CN"/>
                <w14:textFill>
                  <w14:solidFill>
                    <w14:schemeClr w14:val="tx1"/>
                  </w14:solidFill>
                </w14:textFill>
              </w:rPr>
              <w:t>；</w:t>
            </w:r>
          </w:p>
          <w:p w14:paraId="0357D4A4">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leftChars="0" w:right="176" w:rightChars="0" w:firstLine="13" w:firstLineChars="0"/>
              <w:jc w:val="left"/>
              <w:textAlignment w:val="baseline"/>
              <w:rPr>
                <w:rFonts w:hint="eastAsia" w:ascii="宋体" w:hAnsi="宋体" w:eastAsia="宋体" w:cs="宋体"/>
                <w:snapToGrid w:val="0"/>
                <w:color w:val="000000" w:themeColor="text1"/>
                <w:spacing w:val="-1"/>
                <w:kern w:val="0"/>
                <w:sz w:val="20"/>
                <w:szCs w:val="20"/>
                <w:lang w:eastAsia="zh-CN"/>
                <w14:textFill>
                  <w14:solidFill>
                    <w14:schemeClr w14:val="tx1"/>
                  </w14:solidFill>
                </w14:textFill>
              </w:rPr>
            </w:pP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供应商</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提供的学生宿舍管理</w:t>
            </w: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服务方案</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内容不完整存在明显缺陷的得</w:t>
            </w:r>
            <w:r>
              <w:rPr>
                <w:rFonts w:hint="eastAsia" w:ascii="宋体" w:hAnsi="宋体" w:eastAsia="宋体" w:cs="宋体"/>
                <w:snapToGrid w:val="0"/>
                <w:color w:val="000000" w:themeColor="text1"/>
                <w:spacing w:val="-1"/>
                <w:kern w:val="0"/>
                <w:sz w:val="20"/>
                <w:szCs w:val="20"/>
                <w:lang w:val="en-US" w:eastAsia="en-US"/>
                <w14:textFill>
                  <w14:solidFill>
                    <w14:schemeClr w14:val="tx1"/>
                  </w14:solidFill>
                </w14:textFill>
              </w:rPr>
              <w:t>3</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分</w:t>
            </w:r>
            <w:r>
              <w:rPr>
                <w:rFonts w:hint="eastAsia" w:ascii="宋体" w:hAnsi="宋体" w:eastAsia="宋体" w:cs="宋体"/>
                <w:snapToGrid w:val="0"/>
                <w:color w:val="000000" w:themeColor="text1"/>
                <w:spacing w:val="-1"/>
                <w:kern w:val="0"/>
                <w:sz w:val="20"/>
                <w:szCs w:val="20"/>
                <w:lang w:eastAsia="zh-CN"/>
                <w14:textFill>
                  <w14:solidFill>
                    <w14:schemeClr w14:val="tx1"/>
                  </w14:solidFill>
                </w14:textFill>
              </w:rPr>
              <w:t>；</w:t>
            </w:r>
          </w:p>
          <w:p w14:paraId="1DFC1821">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leftChars="0" w:right="176" w:rightChars="0" w:firstLine="13" w:firstLineChars="0"/>
              <w:jc w:val="left"/>
              <w:textAlignment w:val="baseline"/>
              <w:rPr>
                <w:rFonts w:hint="eastAsia" w:ascii="宋体" w:hAnsi="宋体" w:eastAsia="宋体" w:cs="宋体"/>
                <w:color w:val="000000" w:themeColor="text1"/>
                <w:sz w:val="20"/>
                <w:szCs w:val="20"/>
                <w:lang w:eastAsia="en-US"/>
                <w14:textFill>
                  <w14:solidFill>
                    <w14:schemeClr w14:val="tx1"/>
                  </w14:solidFill>
                </w14:textFill>
              </w:rPr>
            </w:pP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未提供应相关内容的得0分。</w:t>
            </w:r>
          </w:p>
        </w:tc>
      </w:tr>
      <w:tr w14:paraId="4E0B2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02" w:type="dxa"/>
            <w:vMerge w:val="continue"/>
            <w:vAlign w:val="center"/>
          </w:tcPr>
          <w:p w14:paraId="2FB2C188">
            <w:pPr>
              <w:keepNext w:val="0"/>
              <w:keepLines w:val="0"/>
              <w:pageBreakBefore w:val="0"/>
              <w:widowControl/>
              <w:kinsoku/>
              <w:wordWrap/>
              <w:overflowPunct/>
              <w:topLinePunct w:val="0"/>
              <w:autoSpaceDE w:val="0"/>
              <w:autoSpaceDN w:val="0"/>
              <w:bidi w:val="0"/>
              <w:adjustRightInd w:val="0"/>
              <w:snapToGrid w:val="0"/>
              <w:spacing w:before="137" w:after="160" w:line="360" w:lineRule="auto"/>
              <w:ind w:right="114"/>
              <w:jc w:val="center"/>
              <w:textAlignment w:val="baseline"/>
              <w:rPr>
                <w:rFonts w:hint="eastAsia" w:ascii="宋体" w:hAnsi="宋体" w:eastAsia="宋体" w:cs="宋体"/>
                <w:b/>
                <w:bCs/>
                <w:snapToGrid w:val="0"/>
                <w:color w:val="000000" w:themeColor="text1"/>
                <w:spacing w:val="1"/>
                <w:kern w:val="0"/>
                <w:sz w:val="20"/>
                <w:szCs w:val="20"/>
                <w:lang w:val="zh-CN" w:eastAsia="en-US"/>
                <w14:textFill>
                  <w14:solidFill>
                    <w14:schemeClr w14:val="tx1"/>
                  </w14:solidFill>
                </w14:textFill>
              </w:rPr>
            </w:pPr>
          </w:p>
        </w:tc>
        <w:tc>
          <w:tcPr>
            <w:tcW w:w="912" w:type="dxa"/>
            <w:vMerge w:val="continue"/>
            <w:vAlign w:val="center"/>
          </w:tcPr>
          <w:p w14:paraId="099C0AD8">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right="176" w:firstLine="13"/>
              <w:jc w:val="center"/>
              <w:textAlignment w:val="baseline"/>
              <w:rPr>
                <w:rFonts w:hint="eastAsia" w:ascii="宋体" w:hAnsi="宋体" w:eastAsia="宋体" w:cs="宋体"/>
                <w:snapToGrid w:val="0"/>
                <w:color w:val="000000" w:themeColor="text1"/>
                <w:spacing w:val="-1"/>
                <w:kern w:val="0"/>
                <w:sz w:val="20"/>
                <w:szCs w:val="20"/>
                <w:lang w:eastAsia="zh-CN"/>
                <w14:textFill>
                  <w14:solidFill>
                    <w14:schemeClr w14:val="tx1"/>
                  </w14:solidFill>
                </w14:textFill>
              </w:rPr>
            </w:pPr>
          </w:p>
        </w:tc>
        <w:tc>
          <w:tcPr>
            <w:tcW w:w="1219" w:type="dxa"/>
            <w:vAlign w:val="center"/>
          </w:tcPr>
          <w:p w14:paraId="3AECAB9F">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right="176" w:firstLine="13"/>
              <w:jc w:val="center"/>
              <w:textAlignment w:val="baseline"/>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pP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学生综合素养提升方案</w:t>
            </w:r>
          </w:p>
          <w:p w14:paraId="5E46C52C">
            <w:pPr>
              <w:pStyle w:val="4"/>
              <w:keepNext w:val="0"/>
              <w:keepLines w:val="0"/>
              <w:pageBreakBefore w:val="0"/>
              <w:kinsoku/>
              <w:wordWrap/>
              <w:overflowPunct/>
              <w:topLinePunct w:val="0"/>
              <w:bidi w:val="0"/>
              <w:spacing w:line="360" w:lineRule="auto"/>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（10分）</w:t>
            </w:r>
          </w:p>
        </w:tc>
        <w:tc>
          <w:tcPr>
            <w:tcW w:w="6300" w:type="dxa"/>
            <w:vAlign w:val="center"/>
          </w:tcPr>
          <w:p w14:paraId="0305745D">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right="176" w:firstLine="13"/>
              <w:jc w:val="both"/>
              <w:textAlignment w:val="baseline"/>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1"/>
                <w:kern w:val="0"/>
                <w:sz w:val="20"/>
                <w:szCs w:val="20"/>
                <w:highlight w:val="none"/>
                <w:lang w:eastAsia="en-US"/>
                <w14:textFill>
                  <w14:solidFill>
                    <w14:schemeClr w14:val="tx1"/>
                  </w14:solidFill>
                </w14:textFill>
              </w:rPr>
              <w:t>对所有</w:t>
            </w: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供应商</w:t>
            </w:r>
            <w:r>
              <w:rPr>
                <w:rFonts w:hint="eastAsia" w:ascii="宋体" w:hAnsi="宋体" w:eastAsia="宋体" w:cs="宋体"/>
                <w:snapToGrid w:val="0"/>
                <w:color w:val="000000" w:themeColor="text1"/>
                <w:spacing w:val="-1"/>
                <w:kern w:val="0"/>
                <w:sz w:val="20"/>
                <w:szCs w:val="20"/>
                <w:highlight w:val="none"/>
                <w:lang w:eastAsia="en-US"/>
                <w14:textFill>
                  <w14:solidFill>
                    <w14:schemeClr w14:val="tx1"/>
                  </w14:solidFill>
                </w14:textFill>
              </w:rPr>
              <w:t>的</w:t>
            </w: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学生综合素养提升方案</w:t>
            </w:r>
            <w:r>
              <w:rPr>
                <w:rFonts w:hint="eastAsia" w:ascii="宋体" w:hAnsi="宋体" w:eastAsia="宋体" w:cs="宋体"/>
                <w:snapToGrid w:val="0"/>
                <w:color w:val="000000" w:themeColor="text1"/>
                <w:spacing w:val="-1"/>
                <w:kern w:val="0"/>
                <w:sz w:val="20"/>
                <w:szCs w:val="20"/>
                <w:highlight w:val="none"/>
                <w:lang w:eastAsia="en-US"/>
                <w14:textFill>
                  <w14:solidFill>
                    <w14:schemeClr w14:val="tx1"/>
                  </w14:solidFill>
                </w14:textFill>
              </w:rPr>
              <w:t>进行比较和评价。</w:t>
            </w:r>
          </w:p>
          <w:p w14:paraId="2DCB8B61">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right="176" w:firstLine="13"/>
              <w:jc w:val="left"/>
              <w:textAlignment w:val="baseline"/>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1"/>
                <w:kern w:val="0"/>
                <w:sz w:val="20"/>
                <w:szCs w:val="20"/>
                <w:highlight w:val="none"/>
                <w:lang w:eastAsia="en-US"/>
                <w14:textFill>
                  <w14:solidFill>
                    <w14:schemeClr w14:val="tx1"/>
                  </w14:solidFill>
                </w14:textFill>
              </w:rPr>
              <w:t>以学生为中心，以学生宿舍为场景全面落实“养成教育”，全流程跟踪学生成长轨迹，运用信息化手段打造“开放、高效、智能”的学生宿舍场景下综合素养提升</w:t>
            </w: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系统评价</w:t>
            </w:r>
            <w:r>
              <w:rPr>
                <w:rFonts w:hint="eastAsia" w:ascii="宋体" w:hAnsi="宋体" w:eastAsia="宋体" w:cs="宋体"/>
                <w:snapToGrid w:val="0"/>
                <w:color w:val="000000" w:themeColor="text1"/>
                <w:spacing w:val="-1"/>
                <w:kern w:val="0"/>
                <w:sz w:val="20"/>
                <w:szCs w:val="20"/>
                <w:highlight w:val="none"/>
                <w:lang w:eastAsia="en-US"/>
                <w14:textFill>
                  <w14:solidFill>
                    <w14:schemeClr w14:val="tx1"/>
                  </w14:solidFill>
                </w14:textFill>
              </w:rPr>
              <w:t>体系。</w:t>
            </w:r>
            <w:r>
              <w:rPr>
                <w:rFonts w:hint="eastAsia" w:ascii="宋体" w:hAnsi="宋体" w:eastAsia="宋体" w:cs="宋体"/>
                <w:snapToGrid w:val="0"/>
                <w:color w:val="000000" w:themeColor="text1"/>
                <w:spacing w:val="-1"/>
                <w:kern w:val="0"/>
                <w:sz w:val="20"/>
                <w:szCs w:val="20"/>
                <w:highlight w:val="none"/>
                <w:lang w:val="en-US" w:eastAsia="en-US"/>
                <w14:textFill>
                  <w14:solidFill>
                    <w14:schemeClr w14:val="tx1"/>
                  </w14:solidFill>
                </w14:textFill>
              </w:rPr>
              <w:t>方案合理有效、操作性强、信息化方式科学</w:t>
            </w: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w:t>
            </w:r>
          </w:p>
          <w:p w14:paraId="4A07E90C">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right="176" w:firstLine="13"/>
              <w:jc w:val="both"/>
              <w:textAlignment w:val="baseline"/>
              <w:rPr>
                <w:rFonts w:hint="eastAsia" w:ascii="宋体" w:hAnsi="宋体" w:eastAsia="宋体" w:cs="宋体"/>
                <w:snapToGrid w:val="0"/>
                <w:color w:val="000000" w:themeColor="text1"/>
                <w:spacing w:val="-1"/>
                <w:kern w:val="0"/>
                <w:sz w:val="20"/>
                <w:szCs w:val="20"/>
                <w:highlight w:val="none"/>
                <w:lang w:eastAsia="zh-CN"/>
                <w14:textFill>
                  <w14:solidFill>
                    <w14:schemeClr w14:val="tx1"/>
                  </w14:solidFill>
                </w14:textFill>
              </w:rPr>
            </w:pP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供应商提供的学生综合素养提升方案</w:t>
            </w:r>
            <w:r>
              <w:rPr>
                <w:rFonts w:hint="eastAsia" w:ascii="宋体" w:hAnsi="宋体" w:eastAsia="宋体" w:cs="宋体"/>
                <w:snapToGrid w:val="0"/>
                <w:color w:val="000000" w:themeColor="text1"/>
                <w:spacing w:val="-1"/>
                <w:kern w:val="0"/>
                <w:sz w:val="20"/>
                <w:szCs w:val="20"/>
                <w:highlight w:val="none"/>
                <w:lang w:eastAsia="en-US"/>
                <w14:textFill>
                  <w14:solidFill>
                    <w14:schemeClr w14:val="tx1"/>
                  </w14:solidFill>
                </w14:textFill>
              </w:rPr>
              <w:t>论述详细,完全贴合采购需求</w:t>
            </w:r>
            <w:r>
              <w:rPr>
                <w:rFonts w:hint="eastAsia" w:ascii="宋体" w:hAnsi="宋体" w:eastAsia="宋体" w:cs="宋体"/>
                <w:snapToGrid w:val="0"/>
                <w:color w:val="000000" w:themeColor="text1"/>
                <w:spacing w:val="-1"/>
                <w:kern w:val="0"/>
                <w:sz w:val="20"/>
                <w:szCs w:val="20"/>
                <w:highlight w:val="none"/>
                <w:lang w:eastAsia="zh-CN"/>
                <w14:textFill>
                  <w14:solidFill>
                    <w14:schemeClr w14:val="tx1"/>
                  </w14:solidFill>
                </w14:textFill>
              </w:rPr>
              <w:t>，</w:t>
            </w: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且</w:t>
            </w:r>
            <w:r>
              <w:rPr>
                <w:rFonts w:hint="eastAsia" w:ascii="宋体" w:hAnsi="宋体" w:eastAsia="宋体" w:cs="宋体"/>
                <w:snapToGrid w:val="0"/>
                <w:color w:val="000000" w:themeColor="text1"/>
                <w:spacing w:val="-1"/>
                <w:kern w:val="0"/>
                <w:sz w:val="20"/>
                <w:szCs w:val="20"/>
                <w:highlight w:val="none"/>
                <w:lang w:val="en-US" w:eastAsia="en-US"/>
                <w14:textFill>
                  <w14:solidFill>
                    <w14:schemeClr w14:val="tx1"/>
                  </w14:solidFill>
                </w14:textFill>
              </w:rPr>
              <w:t>提供学生综合素质系统评价</w:t>
            </w: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平台</w:t>
            </w:r>
            <w:r>
              <w:rPr>
                <w:rFonts w:hint="eastAsia" w:ascii="宋体" w:hAnsi="宋体" w:eastAsia="宋体" w:cs="宋体"/>
                <w:snapToGrid w:val="0"/>
                <w:color w:val="000000" w:themeColor="text1"/>
                <w:spacing w:val="-1"/>
                <w:kern w:val="0"/>
                <w:sz w:val="20"/>
                <w:szCs w:val="20"/>
                <w:highlight w:val="none"/>
                <w:lang w:val="en-US" w:eastAsia="en-US"/>
                <w14:textFill>
                  <w14:solidFill>
                    <w14:schemeClr w14:val="tx1"/>
                  </w14:solidFill>
                </w14:textFill>
              </w:rPr>
              <w:t>的</w:t>
            </w: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相关截图的</w:t>
            </w:r>
            <w:r>
              <w:rPr>
                <w:rFonts w:hint="eastAsia" w:ascii="宋体" w:hAnsi="宋体" w:eastAsia="宋体" w:cs="宋体"/>
                <w:snapToGrid w:val="0"/>
                <w:color w:val="000000" w:themeColor="text1"/>
                <w:spacing w:val="-1"/>
                <w:kern w:val="0"/>
                <w:sz w:val="20"/>
                <w:szCs w:val="20"/>
                <w:highlight w:val="none"/>
                <w:lang w:eastAsia="en-US"/>
                <w14:textFill>
                  <w14:solidFill>
                    <w14:schemeClr w14:val="tx1"/>
                  </w14:solidFill>
                </w14:textFill>
              </w:rPr>
              <w:t>得</w:t>
            </w: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10</w:t>
            </w:r>
            <w:r>
              <w:rPr>
                <w:rFonts w:hint="eastAsia" w:ascii="宋体" w:hAnsi="宋体" w:eastAsia="宋体" w:cs="宋体"/>
                <w:snapToGrid w:val="0"/>
                <w:color w:val="000000" w:themeColor="text1"/>
                <w:spacing w:val="-1"/>
                <w:kern w:val="0"/>
                <w:sz w:val="20"/>
                <w:szCs w:val="20"/>
                <w:highlight w:val="none"/>
                <w:lang w:eastAsia="en-US"/>
                <w14:textFill>
                  <w14:solidFill>
                    <w14:schemeClr w14:val="tx1"/>
                  </w14:solidFill>
                </w14:textFill>
              </w:rPr>
              <w:t>分</w:t>
            </w:r>
            <w:r>
              <w:rPr>
                <w:rFonts w:hint="eastAsia" w:ascii="宋体" w:hAnsi="宋体" w:eastAsia="宋体" w:cs="宋体"/>
                <w:snapToGrid w:val="0"/>
                <w:color w:val="000000" w:themeColor="text1"/>
                <w:spacing w:val="-1"/>
                <w:kern w:val="0"/>
                <w:sz w:val="20"/>
                <w:szCs w:val="20"/>
                <w:highlight w:val="none"/>
                <w:lang w:eastAsia="zh-CN"/>
                <w14:textFill>
                  <w14:solidFill>
                    <w14:schemeClr w14:val="tx1"/>
                  </w14:solidFill>
                </w14:textFill>
              </w:rPr>
              <w:t>；</w:t>
            </w:r>
          </w:p>
          <w:p w14:paraId="309B6C02">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leftChars="0" w:right="176" w:rightChars="0" w:firstLine="13" w:firstLineChars="0"/>
              <w:jc w:val="left"/>
              <w:textAlignment w:val="baseline"/>
              <w:rPr>
                <w:rFonts w:hint="eastAsia" w:ascii="宋体" w:hAnsi="宋体" w:eastAsia="宋体" w:cs="宋体"/>
                <w:snapToGrid w:val="0"/>
                <w:color w:val="000000" w:themeColor="text1"/>
                <w:spacing w:val="-1"/>
                <w:kern w:val="0"/>
                <w:sz w:val="20"/>
                <w:szCs w:val="20"/>
                <w:highlight w:val="none"/>
                <w:lang w:eastAsia="zh-CN"/>
                <w14:textFill>
                  <w14:solidFill>
                    <w14:schemeClr w14:val="tx1"/>
                  </w14:solidFill>
                </w14:textFill>
              </w:rPr>
            </w:pP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供应商提供的学生综合素养提升方案</w:t>
            </w:r>
            <w:r>
              <w:rPr>
                <w:rFonts w:hint="eastAsia" w:ascii="宋体" w:hAnsi="宋体" w:eastAsia="宋体" w:cs="宋体"/>
                <w:snapToGrid w:val="0"/>
                <w:color w:val="000000" w:themeColor="text1"/>
                <w:spacing w:val="-1"/>
                <w:kern w:val="0"/>
                <w:sz w:val="20"/>
                <w:szCs w:val="20"/>
                <w:highlight w:val="none"/>
                <w:lang w:eastAsia="en-US"/>
                <w14:textFill>
                  <w14:solidFill>
                    <w14:schemeClr w14:val="tx1"/>
                  </w14:solidFill>
                </w14:textFill>
              </w:rPr>
              <w:t>虽阐述但未贴合采购需求进行论述,或内容未包括具体细节的得</w:t>
            </w: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7</w:t>
            </w:r>
            <w:r>
              <w:rPr>
                <w:rFonts w:hint="eastAsia" w:ascii="宋体" w:hAnsi="宋体" w:eastAsia="宋体" w:cs="宋体"/>
                <w:snapToGrid w:val="0"/>
                <w:color w:val="000000" w:themeColor="text1"/>
                <w:spacing w:val="-1"/>
                <w:kern w:val="0"/>
                <w:sz w:val="20"/>
                <w:szCs w:val="20"/>
                <w:highlight w:val="none"/>
                <w:lang w:eastAsia="en-US"/>
                <w14:textFill>
                  <w14:solidFill>
                    <w14:schemeClr w14:val="tx1"/>
                  </w14:solidFill>
                </w14:textFill>
              </w:rPr>
              <w:t>分</w:t>
            </w:r>
            <w:r>
              <w:rPr>
                <w:rFonts w:hint="eastAsia" w:ascii="宋体" w:hAnsi="宋体" w:eastAsia="宋体" w:cs="宋体"/>
                <w:snapToGrid w:val="0"/>
                <w:color w:val="000000" w:themeColor="text1"/>
                <w:spacing w:val="-1"/>
                <w:kern w:val="0"/>
                <w:sz w:val="20"/>
                <w:szCs w:val="20"/>
                <w:highlight w:val="none"/>
                <w:lang w:eastAsia="zh-CN"/>
                <w14:textFill>
                  <w14:solidFill>
                    <w14:schemeClr w14:val="tx1"/>
                  </w14:solidFill>
                </w14:textFill>
              </w:rPr>
              <w:t>；</w:t>
            </w:r>
          </w:p>
          <w:p w14:paraId="19E35353">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leftChars="0" w:right="176" w:rightChars="0" w:firstLine="13" w:firstLineChars="0"/>
              <w:jc w:val="left"/>
              <w:textAlignment w:val="baseline"/>
              <w:rPr>
                <w:rFonts w:hint="eastAsia" w:ascii="宋体" w:hAnsi="宋体" w:eastAsia="宋体" w:cs="宋体"/>
                <w:snapToGrid w:val="0"/>
                <w:color w:val="000000" w:themeColor="text1"/>
                <w:spacing w:val="-1"/>
                <w:kern w:val="0"/>
                <w:sz w:val="20"/>
                <w:szCs w:val="20"/>
                <w:highlight w:val="none"/>
                <w:lang w:eastAsia="zh-CN"/>
                <w14:textFill>
                  <w14:solidFill>
                    <w14:schemeClr w14:val="tx1"/>
                  </w14:solidFill>
                </w14:textFill>
              </w:rPr>
            </w:pP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供应商</w:t>
            </w:r>
            <w:r>
              <w:rPr>
                <w:rFonts w:hint="eastAsia" w:ascii="宋体" w:hAnsi="宋体" w:eastAsia="宋体" w:cs="宋体"/>
                <w:snapToGrid w:val="0"/>
                <w:color w:val="000000" w:themeColor="text1"/>
                <w:spacing w:val="-1"/>
                <w:kern w:val="0"/>
                <w:sz w:val="20"/>
                <w:szCs w:val="20"/>
                <w:highlight w:val="none"/>
                <w:lang w:eastAsia="en-US"/>
                <w14:textFill>
                  <w14:solidFill>
                    <w14:schemeClr w14:val="tx1"/>
                  </w14:solidFill>
                </w14:textFill>
              </w:rPr>
              <w:t>提供的学生综合素养提升方案内容不完整存在明显缺陷的得</w:t>
            </w: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3</w:t>
            </w:r>
            <w:r>
              <w:rPr>
                <w:rFonts w:hint="eastAsia" w:ascii="宋体" w:hAnsi="宋体" w:eastAsia="宋体" w:cs="宋体"/>
                <w:snapToGrid w:val="0"/>
                <w:color w:val="000000" w:themeColor="text1"/>
                <w:spacing w:val="-1"/>
                <w:kern w:val="0"/>
                <w:sz w:val="20"/>
                <w:szCs w:val="20"/>
                <w:highlight w:val="none"/>
                <w:lang w:eastAsia="en-US"/>
                <w14:textFill>
                  <w14:solidFill>
                    <w14:schemeClr w14:val="tx1"/>
                  </w14:solidFill>
                </w14:textFill>
              </w:rPr>
              <w:t>分</w:t>
            </w:r>
            <w:r>
              <w:rPr>
                <w:rFonts w:hint="eastAsia" w:ascii="宋体" w:hAnsi="宋体" w:eastAsia="宋体" w:cs="宋体"/>
                <w:snapToGrid w:val="0"/>
                <w:color w:val="000000" w:themeColor="text1"/>
                <w:spacing w:val="-1"/>
                <w:kern w:val="0"/>
                <w:sz w:val="20"/>
                <w:szCs w:val="20"/>
                <w:highlight w:val="none"/>
                <w:lang w:eastAsia="zh-CN"/>
                <w14:textFill>
                  <w14:solidFill>
                    <w14:schemeClr w14:val="tx1"/>
                  </w14:solidFill>
                </w14:textFill>
              </w:rPr>
              <w:t>；</w:t>
            </w:r>
          </w:p>
          <w:p w14:paraId="6498E9C6">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right="176" w:firstLine="13"/>
              <w:jc w:val="left"/>
              <w:textAlignment w:val="baseline"/>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1"/>
                <w:kern w:val="0"/>
                <w:sz w:val="20"/>
                <w:szCs w:val="20"/>
                <w:highlight w:val="none"/>
                <w:lang w:eastAsia="en-US"/>
                <w14:textFill>
                  <w14:solidFill>
                    <w14:schemeClr w14:val="tx1"/>
                  </w14:solidFill>
                </w14:textFill>
              </w:rPr>
              <w:t>未提供应相关内容的得0分。</w:t>
            </w:r>
          </w:p>
        </w:tc>
      </w:tr>
      <w:tr w14:paraId="3E6C9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02" w:type="dxa"/>
            <w:vMerge w:val="continue"/>
            <w:vAlign w:val="center"/>
          </w:tcPr>
          <w:p w14:paraId="2FBB11D7">
            <w:pPr>
              <w:keepNext w:val="0"/>
              <w:keepLines w:val="0"/>
              <w:pageBreakBefore w:val="0"/>
              <w:widowControl/>
              <w:kinsoku/>
              <w:wordWrap/>
              <w:overflowPunct/>
              <w:topLinePunct w:val="0"/>
              <w:autoSpaceDE w:val="0"/>
              <w:autoSpaceDN w:val="0"/>
              <w:bidi w:val="0"/>
              <w:adjustRightInd w:val="0"/>
              <w:snapToGrid w:val="0"/>
              <w:spacing w:before="137" w:after="160" w:line="360" w:lineRule="auto"/>
              <w:ind w:right="114"/>
              <w:jc w:val="center"/>
              <w:textAlignment w:val="baseline"/>
              <w:rPr>
                <w:rFonts w:hint="eastAsia" w:ascii="宋体" w:hAnsi="宋体" w:eastAsia="宋体" w:cs="宋体"/>
                <w:b/>
                <w:bCs/>
                <w:snapToGrid w:val="0"/>
                <w:color w:val="000000" w:themeColor="text1"/>
                <w:spacing w:val="1"/>
                <w:kern w:val="0"/>
                <w:sz w:val="20"/>
                <w:szCs w:val="20"/>
                <w:lang w:val="zh-CN" w:eastAsia="en-US"/>
                <w14:textFill>
                  <w14:solidFill>
                    <w14:schemeClr w14:val="tx1"/>
                  </w14:solidFill>
                </w14:textFill>
              </w:rPr>
            </w:pPr>
          </w:p>
        </w:tc>
        <w:tc>
          <w:tcPr>
            <w:tcW w:w="912" w:type="dxa"/>
            <w:vMerge w:val="continue"/>
            <w:vAlign w:val="center"/>
          </w:tcPr>
          <w:p w14:paraId="5D049F1D">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right="176" w:firstLine="13"/>
              <w:jc w:val="center"/>
              <w:textAlignment w:val="baseline"/>
              <w:rPr>
                <w:rFonts w:hint="eastAsia" w:ascii="宋体" w:hAnsi="宋体" w:eastAsia="宋体" w:cs="宋体"/>
                <w:snapToGrid w:val="0"/>
                <w:color w:val="000000" w:themeColor="text1"/>
                <w:spacing w:val="-1"/>
                <w:kern w:val="0"/>
                <w:sz w:val="20"/>
                <w:szCs w:val="20"/>
                <w:lang w:eastAsia="zh-CN"/>
                <w14:textFill>
                  <w14:solidFill>
                    <w14:schemeClr w14:val="tx1"/>
                  </w14:solidFill>
                </w14:textFill>
              </w:rPr>
            </w:pPr>
          </w:p>
        </w:tc>
        <w:tc>
          <w:tcPr>
            <w:tcW w:w="1219" w:type="dxa"/>
            <w:vAlign w:val="center"/>
          </w:tcPr>
          <w:p w14:paraId="1A7F9A1D">
            <w:pPr>
              <w:pStyle w:val="4"/>
              <w:keepNext w:val="0"/>
              <w:keepLines w:val="0"/>
              <w:pageBreakBefore w:val="0"/>
              <w:kinsoku/>
              <w:wordWrap/>
              <w:overflowPunct/>
              <w:topLinePunct w:val="0"/>
              <w:bidi w:val="0"/>
              <w:spacing w:line="360" w:lineRule="auto"/>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校园安全管理方案（7分）</w:t>
            </w:r>
          </w:p>
        </w:tc>
        <w:tc>
          <w:tcPr>
            <w:tcW w:w="6300" w:type="dxa"/>
            <w:vAlign w:val="center"/>
          </w:tcPr>
          <w:p w14:paraId="5F957EF7">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right="176" w:firstLine="13"/>
              <w:jc w:val="left"/>
              <w:textAlignment w:val="baseline"/>
              <w:rPr>
                <w:rFonts w:hint="eastAsia" w:ascii="宋体" w:hAnsi="宋体" w:eastAsia="宋体" w:cs="宋体"/>
                <w:snapToGrid w:val="0"/>
                <w:color w:val="000000" w:themeColor="text1"/>
                <w:spacing w:val="-1"/>
                <w:kern w:val="0"/>
                <w:sz w:val="20"/>
                <w:szCs w:val="20"/>
                <w:highlight w:val="none"/>
                <w:lang w:eastAsia="en-US"/>
                <w14:textFill>
                  <w14:solidFill>
                    <w14:schemeClr w14:val="tx1"/>
                  </w14:solidFill>
                </w14:textFill>
              </w:rPr>
            </w:pPr>
            <w:r>
              <w:rPr>
                <w:rFonts w:hint="eastAsia" w:ascii="宋体" w:hAnsi="宋体" w:eastAsia="宋体" w:cs="宋体"/>
                <w:snapToGrid w:val="0"/>
                <w:color w:val="000000" w:themeColor="text1"/>
                <w:spacing w:val="-1"/>
                <w:kern w:val="0"/>
                <w:sz w:val="20"/>
                <w:szCs w:val="20"/>
                <w:highlight w:val="none"/>
                <w:lang w:eastAsia="en-US"/>
                <w14:textFill>
                  <w14:solidFill>
                    <w14:schemeClr w14:val="tx1"/>
                  </w14:solidFill>
                </w14:textFill>
              </w:rPr>
              <w:t>对所有</w:t>
            </w: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供应商</w:t>
            </w:r>
            <w:r>
              <w:rPr>
                <w:rFonts w:hint="eastAsia" w:ascii="宋体" w:hAnsi="宋体" w:eastAsia="宋体" w:cs="宋体"/>
                <w:snapToGrid w:val="0"/>
                <w:color w:val="000000" w:themeColor="text1"/>
                <w:spacing w:val="-1"/>
                <w:kern w:val="0"/>
                <w:sz w:val="20"/>
                <w:szCs w:val="20"/>
                <w:highlight w:val="none"/>
                <w:lang w:eastAsia="en-US"/>
                <w14:textFill>
                  <w14:solidFill>
                    <w14:schemeClr w14:val="tx1"/>
                  </w14:solidFill>
                </w14:textFill>
              </w:rPr>
              <w:t>的</w:t>
            </w:r>
            <w:r>
              <w:rPr>
                <w:rFonts w:hint="eastAsia" w:ascii="宋体" w:hAnsi="宋体" w:eastAsia="宋体" w:cs="宋体"/>
                <w:snapToGrid w:val="0"/>
                <w:color w:val="000000" w:themeColor="text1"/>
                <w:spacing w:val="-1"/>
                <w:kern w:val="0"/>
                <w:sz w:val="20"/>
                <w:szCs w:val="20"/>
                <w:highlight w:val="none"/>
                <w:lang w:val="en-US" w:eastAsia="en-US"/>
                <w14:textFill>
                  <w14:solidFill>
                    <w14:schemeClr w14:val="tx1"/>
                  </w14:solidFill>
                </w14:textFill>
              </w:rPr>
              <w:t>校园安全</w:t>
            </w: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管理</w:t>
            </w:r>
            <w:r>
              <w:rPr>
                <w:rFonts w:hint="eastAsia" w:ascii="宋体" w:hAnsi="宋体" w:eastAsia="宋体" w:cs="宋体"/>
                <w:snapToGrid w:val="0"/>
                <w:color w:val="000000" w:themeColor="text1"/>
                <w:spacing w:val="-1"/>
                <w:kern w:val="0"/>
                <w:sz w:val="20"/>
                <w:szCs w:val="20"/>
                <w:highlight w:val="none"/>
                <w:lang w:eastAsia="en-US"/>
                <w14:textFill>
                  <w14:solidFill>
                    <w14:schemeClr w14:val="tx1"/>
                  </w14:solidFill>
                </w14:textFill>
              </w:rPr>
              <w:t>方案进行比较和评价。</w:t>
            </w: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包含但不限于学生宿舍的安全和秩序维护。</w:t>
            </w:r>
            <w:r>
              <w:rPr>
                <w:rFonts w:hint="eastAsia" w:ascii="宋体" w:hAnsi="宋体" w:eastAsia="宋体" w:cs="宋体"/>
                <w:snapToGrid w:val="0"/>
                <w:color w:val="000000" w:themeColor="text1"/>
                <w:spacing w:val="-1"/>
                <w:kern w:val="0"/>
                <w:sz w:val="20"/>
                <w:szCs w:val="20"/>
                <w:highlight w:val="none"/>
                <w:lang w:val="en-US" w:eastAsia="en-US"/>
                <w14:textFill>
                  <w14:solidFill>
                    <w14:schemeClr w14:val="tx1"/>
                  </w14:solidFill>
                </w14:textFill>
              </w:rPr>
              <w:t>方案合理有效、操作性强、信息化方式科学</w:t>
            </w: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w:t>
            </w:r>
          </w:p>
          <w:p w14:paraId="50E6FACB">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leftChars="0" w:right="176" w:rightChars="0" w:firstLine="13" w:firstLineChars="0"/>
              <w:jc w:val="left"/>
              <w:textAlignment w:val="baseline"/>
              <w:rPr>
                <w:rFonts w:hint="eastAsia" w:ascii="宋体" w:hAnsi="宋体" w:eastAsia="宋体" w:cs="宋体"/>
                <w:snapToGrid w:val="0"/>
                <w:color w:val="000000" w:themeColor="text1"/>
                <w:spacing w:val="-1"/>
                <w:kern w:val="0"/>
                <w:sz w:val="20"/>
                <w:szCs w:val="20"/>
                <w:highlight w:val="none"/>
                <w:lang w:eastAsia="zh-CN"/>
                <w14:textFill>
                  <w14:solidFill>
                    <w14:schemeClr w14:val="tx1"/>
                  </w14:solidFill>
                </w14:textFill>
              </w:rPr>
            </w:pP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供应商提供的</w:t>
            </w:r>
            <w:r>
              <w:rPr>
                <w:rFonts w:hint="eastAsia" w:ascii="宋体" w:hAnsi="宋体" w:eastAsia="宋体" w:cs="宋体"/>
                <w:snapToGrid w:val="0"/>
                <w:color w:val="000000" w:themeColor="text1"/>
                <w:spacing w:val="-1"/>
                <w:kern w:val="0"/>
                <w:sz w:val="20"/>
                <w:szCs w:val="20"/>
                <w:highlight w:val="none"/>
                <w:lang w:val="en-US" w:eastAsia="en-US"/>
                <w14:textFill>
                  <w14:solidFill>
                    <w14:schemeClr w14:val="tx1"/>
                  </w14:solidFill>
                </w14:textFill>
              </w:rPr>
              <w:t>校园安全</w:t>
            </w: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管理</w:t>
            </w:r>
            <w:r>
              <w:rPr>
                <w:rFonts w:hint="eastAsia" w:ascii="宋体" w:hAnsi="宋体" w:eastAsia="宋体" w:cs="宋体"/>
                <w:snapToGrid w:val="0"/>
                <w:color w:val="000000" w:themeColor="text1"/>
                <w:spacing w:val="-1"/>
                <w:kern w:val="0"/>
                <w:sz w:val="20"/>
                <w:szCs w:val="20"/>
                <w:highlight w:val="none"/>
                <w:lang w:eastAsia="en-US"/>
                <w14:textFill>
                  <w14:solidFill>
                    <w14:schemeClr w14:val="tx1"/>
                  </w14:solidFill>
                </w14:textFill>
              </w:rPr>
              <w:t>方案论述详细,完全贴合采购需求</w:t>
            </w:r>
            <w:r>
              <w:rPr>
                <w:rFonts w:hint="eastAsia" w:ascii="宋体" w:hAnsi="宋体" w:eastAsia="宋体" w:cs="宋体"/>
                <w:snapToGrid w:val="0"/>
                <w:color w:val="000000" w:themeColor="text1"/>
                <w:spacing w:val="-1"/>
                <w:kern w:val="0"/>
                <w:sz w:val="20"/>
                <w:szCs w:val="20"/>
                <w:highlight w:val="none"/>
                <w:lang w:eastAsia="zh-CN"/>
                <w14:textFill>
                  <w14:solidFill>
                    <w14:schemeClr w14:val="tx1"/>
                  </w14:solidFill>
                </w14:textFill>
              </w:rPr>
              <w:t>且</w:t>
            </w:r>
            <w:r>
              <w:rPr>
                <w:rFonts w:hint="eastAsia" w:ascii="宋体" w:hAnsi="宋体" w:eastAsia="宋体" w:cs="宋体"/>
                <w:snapToGrid w:val="0"/>
                <w:color w:val="000000" w:themeColor="text1"/>
                <w:spacing w:val="-1"/>
                <w:kern w:val="0"/>
                <w:sz w:val="20"/>
                <w:szCs w:val="20"/>
                <w:highlight w:val="none"/>
                <w:lang w:val="en-US" w:eastAsia="en-US"/>
                <w14:textFill>
                  <w14:solidFill>
                    <w14:schemeClr w14:val="tx1"/>
                  </w14:solidFill>
                </w14:textFill>
              </w:rPr>
              <w:t>提供</w:t>
            </w: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相关校园安全</w:t>
            </w:r>
            <w:r>
              <w:rPr>
                <w:rFonts w:hint="eastAsia" w:ascii="宋体" w:hAnsi="宋体" w:eastAsia="宋体" w:cs="宋体"/>
                <w:snapToGrid w:val="0"/>
                <w:color w:val="000000" w:themeColor="text1"/>
                <w:spacing w:val="-1"/>
                <w:kern w:val="0"/>
                <w:sz w:val="20"/>
                <w:szCs w:val="20"/>
                <w:highlight w:val="none"/>
                <w:lang w:val="en-US" w:eastAsia="en-US"/>
                <w14:textFill>
                  <w14:solidFill>
                    <w14:schemeClr w14:val="tx1"/>
                  </w14:solidFill>
                </w14:textFill>
              </w:rPr>
              <w:t>系统</w:t>
            </w: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平台截图</w:t>
            </w:r>
            <w:r>
              <w:rPr>
                <w:rFonts w:hint="eastAsia" w:ascii="宋体" w:hAnsi="宋体" w:eastAsia="宋体" w:cs="宋体"/>
                <w:snapToGrid w:val="0"/>
                <w:color w:val="000000" w:themeColor="text1"/>
                <w:spacing w:val="-1"/>
                <w:kern w:val="0"/>
                <w:sz w:val="20"/>
                <w:szCs w:val="20"/>
                <w:highlight w:val="none"/>
                <w:lang w:eastAsia="en-US"/>
                <w14:textFill>
                  <w14:solidFill>
                    <w14:schemeClr w14:val="tx1"/>
                  </w14:solidFill>
                </w14:textFill>
              </w:rPr>
              <w:t>得</w:t>
            </w: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7</w:t>
            </w:r>
            <w:r>
              <w:rPr>
                <w:rFonts w:hint="eastAsia" w:ascii="宋体" w:hAnsi="宋体" w:eastAsia="宋体" w:cs="宋体"/>
                <w:snapToGrid w:val="0"/>
                <w:color w:val="000000" w:themeColor="text1"/>
                <w:spacing w:val="-1"/>
                <w:kern w:val="0"/>
                <w:sz w:val="20"/>
                <w:szCs w:val="20"/>
                <w:highlight w:val="none"/>
                <w:lang w:eastAsia="en-US"/>
                <w14:textFill>
                  <w14:solidFill>
                    <w14:schemeClr w14:val="tx1"/>
                  </w14:solidFill>
                </w14:textFill>
              </w:rPr>
              <w:t>分</w:t>
            </w:r>
            <w:r>
              <w:rPr>
                <w:rFonts w:hint="eastAsia" w:ascii="宋体" w:hAnsi="宋体" w:eastAsia="宋体" w:cs="宋体"/>
                <w:snapToGrid w:val="0"/>
                <w:color w:val="000000" w:themeColor="text1"/>
                <w:spacing w:val="-1"/>
                <w:kern w:val="0"/>
                <w:sz w:val="20"/>
                <w:szCs w:val="20"/>
                <w:highlight w:val="none"/>
                <w:lang w:eastAsia="zh-CN"/>
                <w14:textFill>
                  <w14:solidFill>
                    <w14:schemeClr w14:val="tx1"/>
                  </w14:solidFill>
                </w14:textFill>
              </w:rPr>
              <w:t>；</w:t>
            </w:r>
          </w:p>
          <w:p w14:paraId="32745A7F">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leftChars="0" w:right="176" w:rightChars="0" w:firstLine="13" w:firstLineChars="0"/>
              <w:jc w:val="left"/>
              <w:textAlignment w:val="baseline"/>
              <w:rPr>
                <w:rFonts w:hint="eastAsia" w:ascii="宋体" w:hAnsi="宋体" w:eastAsia="宋体" w:cs="宋体"/>
                <w:snapToGrid w:val="0"/>
                <w:color w:val="000000" w:themeColor="text1"/>
                <w:spacing w:val="-1"/>
                <w:kern w:val="0"/>
                <w:sz w:val="20"/>
                <w:szCs w:val="20"/>
                <w:highlight w:val="none"/>
                <w:lang w:eastAsia="zh-CN"/>
                <w14:textFill>
                  <w14:solidFill>
                    <w14:schemeClr w14:val="tx1"/>
                  </w14:solidFill>
                </w14:textFill>
              </w:rPr>
            </w:pP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供应商提供的</w:t>
            </w:r>
            <w:r>
              <w:rPr>
                <w:rFonts w:hint="eastAsia" w:ascii="宋体" w:hAnsi="宋体" w:eastAsia="宋体" w:cs="宋体"/>
                <w:snapToGrid w:val="0"/>
                <w:color w:val="000000" w:themeColor="text1"/>
                <w:spacing w:val="-1"/>
                <w:kern w:val="0"/>
                <w:sz w:val="20"/>
                <w:szCs w:val="20"/>
                <w:highlight w:val="none"/>
                <w:lang w:val="en-US" w:eastAsia="en-US"/>
                <w14:textFill>
                  <w14:solidFill>
                    <w14:schemeClr w14:val="tx1"/>
                  </w14:solidFill>
                </w14:textFill>
              </w:rPr>
              <w:t>校园安全</w:t>
            </w: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管理</w:t>
            </w:r>
            <w:r>
              <w:rPr>
                <w:rFonts w:hint="eastAsia" w:ascii="宋体" w:hAnsi="宋体" w:eastAsia="宋体" w:cs="宋体"/>
                <w:snapToGrid w:val="0"/>
                <w:color w:val="000000" w:themeColor="text1"/>
                <w:spacing w:val="-1"/>
                <w:kern w:val="0"/>
                <w:sz w:val="20"/>
                <w:szCs w:val="20"/>
                <w:highlight w:val="none"/>
                <w:lang w:eastAsia="en-US"/>
                <w14:textFill>
                  <w14:solidFill>
                    <w14:schemeClr w14:val="tx1"/>
                  </w14:solidFill>
                </w14:textFill>
              </w:rPr>
              <w:t>方案虽阐述但未贴合采购需求进行论述,或内容未包括具体细节的得</w:t>
            </w: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3</w:t>
            </w:r>
            <w:r>
              <w:rPr>
                <w:rFonts w:hint="eastAsia" w:ascii="宋体" w:hAnsi="宋体" w:eastAsia="宋体" w:cs="宋体"/>
                <w:snapToGrid w:val="0"/>
                <w:color w:val="000000" w:themeColor="text1"/>
                <w:spacing w:val="-1"/>
                <w:kern w:val="0"/>
                <w:sz w:val="20"/>
                <w:szCs w:val="20"/>
                <w:highlight w:val="none"/>
                <w:lang w:eastAsia="en-US"/>
                <w14:textFill>
                  <w14:solidFill>
                    <w14:schemeClr w14:val="tx1"/>
                  </w14:solidFill>
                </w14:textFill>
              </w:rPr>
              <w:t>分</w:t>
            </w:r>
            <w:r>
              <w:rPr>
                <w:rFonts w:hint="eastAsia" w:ascii="宋体" w:hAnsi="宋体" w:eastAsia="宋体" w:cs="宋体"/>
                <w:snapToGrid w:val="0"/>
                <w:color w:val="000000" w:themeColor="text1"/>
                <w:spacing w:val="-1"/>
                <w:kern w:val="0"/>
                <w:sz w:val="20"/>
                <w:szCs w:val="20"/>
                <w:highlight w:val="none"/>
                <w:lang w:eastAsia="zh-CN"/>
                <w14:textFill>
                  <w14:solidFill>
                    <w14:schemeClr w14:val="tx1"/>
                  </w14:solidFill>
                </w14:textFill>
              </w:rPr>
              <w:t>；</w:t>
            </w:r>
          </w:p>
          <w:p w14:paraId="51A2844B">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leftChars="0" w:right="176" w:rightChars="0" w:firstLine="13" w:firstLineChars="0"/>
              <w:jc w:val="left"/>
              <w:textAlignment w:val="baseline"/>
              <w:rPr>
                <w:rFonts w:hint="eastAsia" w:ascii="宋体" w:hAnsi="宋体" w:eastAsia="宋体" w:cs="宋体"/>
                <w:snapToGrid w:val="0"/>
                <w:color w:val="000000" w:themeColor="text1"/>
                <w:spacing w:val="-1"/>
                <w:kern w:val="0"/>
                <w:sz w:val="20"/>
                <w:szCs w:val="20"/>
                <w:highlight w:val="none"/>
                <w:lang w:eastAsia="zh-CN"/>
                <w14:textFill>
                  <w14:solidFill>
                    <w14:schemeClr w14:val="tx1"/>
                  </w14:solidFill>
                </w14:textFill>
              </w:rPr>
            </w:pP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供应商提供的</w:t>
            </w:r>
            <w:r>
              <w:rPr>
                <w:rFonts w:hint="eastAsia" w:ascii="宋体" w:hAnsi="宋体" w:eastAsia="宋体" w:cs="宋体"/>
                <w:snapToGrid w:val="0"/>
                <w:color w:val="000000" w:themeColor="text1"/>
                <w:spacing w:val="-1"/>
                <w:kern w:val="0"/>
                <w:sz w:val="20"/>
                <w:szCs w:val="20"/>
                <w:highlight w:val="none"/>
                <w:lang w:val="en-US" w:eastAsia="en-US"/>
                <w14:textFill>
                  <w14:solidFill>
                    <w14:schemeClr w14:val="tx1"/>
                  </w14:solidFill>
                </w14:textFill>
              </w:rPr>
              <w:t>校园安全</w:t>
            </w: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管理</w:t>
            </w:r>
            <w:r>
              <w:rPr>
                <w:rFonts w:hint="eastAsia" w:ascii="宋体" w:hAnsi="宋体" w:eastAsia="宋体" w:cs="宋体"/>
                <w:snapToGrid w:val="0"/>
                <w:color w:val="000000" w:themeColor="text1"/>
                <w:spacing w:val="-1"/>
                <w:kern w:val="0"/>
                <w:sz w:val="20"/>
                <w:szCs w:val="20"/>
                <w:highlight w:val="none"/>
                <w:lang w:eastAsia="en-US"/>
                <w14:textFill>
                  <w14:solidFill>
                    <w14:schemeClr w14:val="tx1"/>
                  </w14:solidFill>
                </w14:textFill>
              </w:rPr>
              <w:t>方案内容不完整存在明显缺陷的得</w:t>
            </w: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1</w:t>
            </w:r>
            <w:r>
              <w:rPr>
                <w:rFonts w:hint="eastAsia" w:ascii="宋体" w:hAnsi="宋体" w:eastAsia="宋体" w:cs="宋体"/>
                <w:snapToGrid w:val="0"/>
                <w:color w:val="000000" w:themeColor="text1"/>
                <w:spacing w:val="-1"/>
                <w:kern w:val="0"/>
                <w:sz w:val="20"/>
                <w:szCs w:val="20"/>
                <w:highlight w:val="none"/>
                <w:lang w:eastAsia="en-US"/>
                <w14:textFill>
                  <w14:solidFill>
                    <w14:schemeClr w14:val="tx1"/>
                  </w14:solidFill>
                </w14:textFill>
              </w:rPr>
              <w:t>分</w:t>
            </w:r>
            <w:r>
              <w:rPr>
                <w:rFonts w:hint="eastAsia" w:ascii="宋体" w:hAnsi="宋体" w:eastAsia="宋体" w:cs="宋体"/>
                <w:snapToGrid w:val="0"/>
                <w:color w:val="000000" w:themeColor="text1"/>
                <w:spacing w:val="-1"/>
                <w:kern w:val="0"/>
                <w:sz w:val="20"/>
                <w:szCs w:val="20"/>
                <w:highlight w:val="none"/>
                <w:lang w:eastAsia="zh-CN"/>
                <w14:textFill>
                  <w14:solidFill>
                    <w14:schemeClr w14:val="tx1"/>
                  </w14:solidFill>
                </w14:textFill>
              </w:rPr>
              <w:t>；</w:t>
            </w:r>
          </w:p>
          <w:p w14:paraId="7AA46822">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right="176" w:firstLine="13"/>
              <w:jc w:val="left"/>
              <w:textAlignment w:val="baseline"/>
              <w:rPr>
                <w:rFonts w:hint="eastAsia" w:ascii="宋体" w:hAnsi="宋体" w:eastAsia="宋体" w:cs="宋体"/>
                <w:color w:val="000000" w:themeColor="text1"/>
                <w:sz w:val="20"/>
                <w:szCs w:val="20"/>
                <w:highlight w:val="none"/>
                <w:lang w:eastAsia="en-US"/>
                <w14:textFill>
                  <w14:solidFill>
                    <w14:schemeClr w14:val="tx1"/>
                  </w14:solidFill>
                </w14:textFill>
              </w:rPr>
            </w:pPr>
            <w:r>
              <w:rPr>
                <w:rFonts w:hint="eastAsia" w:ascii="宋体" w:hAnsi="宋体" w:eastAsia="宋体" w:cs="宋体"/>
                <w:snapToGrid w:val="0"/>
                <w:color w:val="000000" w:themeColor="text1"/>
                <w:spacing w:val="-1"/>
                <w:kern w:val="0"/>
                <w:sz w:val="20"/>
                <w:szCs w:val="20"/>
                <w:highlight w:val="none"/>
                <w:lang w:eastAsia="en-US"/>
                <w14:textFill>
                  <w14:solidFill>
                    <w14:schemeClr w14:val="tx1"/>
                  </w14:solidFill>
                </w14:textFill>
              </w:rPr>
              <w:t>未提供应相关内容的得0分。</w:t>
            </w:r>
          </w:p>
        </w:tc>
      </w:tr>
      <w:tr w14:paraId="7F5CB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02" w:type="dxa"/>
            <w:vMerge w:val="continue"/>
            <w:vAlign w:val="center"/>
          </w:tcPr>
          <w:p w14:paraId="64968247">
            <w:pPr>
              <w:keepNext w:val="0"/>
              <w:keepLines w:val="0"/>
              <w:pageBreakBefore w:val="0"/>
              <w:widowControl/>
              <w:kinsoku/>
              <w:wordWrap/>
              <w:overflowPunct/>
              <w:topLinePunct w:val="0"/>
              <w:autoSpaceDE w:val="0"/>
              <w:autoSpaceDN w:val="0"/>
              <w:bidi w:val="0"/>
              <w:adjustRightInd w:val="0"/>
              <w:snapToGrid w:val="0"/>
              <w:spacing w:before="137" w:after="160" w:line="360" w:lineRule="auto"/>
              <w:ind w:right="114"/>
              <w:jc w:val="center"/>
              <w:textAlignment w:val="baseline"/>
              <w:rPr>
                <w:rFonts w:hint="eastAsia" w:ascii="宋体" w:hAnsi="宋体" w:eastAsia="宋体" w:cs="宋体"/>
                <w:b/>
                <w:bCs/>
                <w:snapToGrid w:val="0"/>
                <w:color w:val="000000" w:themeColor="text1"/>
                <w:spacing w:val="1"/>
                <w:kern w:val="0"/>
                <w:sz w:val="20"/>
                <w:szCs w:val="20"/>
                <w:lang w:val="zh-CN" w:eastAsia="en-US"/>
                <w14:textFill>
                  <w14:solidFill>
                    <w14:schemeClr w14:val="tx1"/>
                  </w14:solidFill>
                </w14:textFill>
              </w:rPr>
            </w:pPr>
          </w:p>
        </w:tc>
        <w:tc>
          <w:tcPr>
            <w:tcW w:w="912" w:type="dxa"/>
            <w:vMerge w:val="continue"/>
            <w:vAlign w:val="center"/>
          </w:tcPr>
          <w:p w14:paraId="312550B1">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right="176" w:firstLine="13"/>
              <w:jc w:val="center"/>
              <w:textAlignment w:val="baseline"/>
              <w:rPr>
                <w:rFonts w:hint="eastAsia" w:ascii="宋体" w:hAnsi="宋体" w:eastAsia="宋体" w:cs="宋体"/>
                <w:snapToGrid w:val="0"/>
                <w:color w:val="000000" w:themeColor="text1"/>
                <w:spacing w:val="-1"/>
                <w:kern w:val="0"/>
                <w:sz w:val="20"/>
                <w:szCs w:val="20"/>
                <w:lang w:eastAsia="zh-CN"/>
                <w14:textFill>
                  <w14:solidFill>
                    <w14:schemeClr w14:val="tx1"/>
                  </w14:solidFill>
                </w14:textFill>
              </w:rPr>
            </w:pPr>
          </w:p>
        </w:tc>
        <w:tc>
          <w:tcPr>
            <w:tcW w:w="1219" w:type="dxa"/>
            <w:vAlign w:val="center"/>
          </w:tcPr>
          <w:p w14:paraId="35021CAE">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right="176" w:firstLine="13"/>
              <w:jc w:val="center"/>
              <w:textAlignment w:val="baseline"/>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pP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培训方案（10分）</w:t>
            </w:r>
          </w:p>
        </w:tc>
        <w:tc>
          <w:tcPr>
            <w:tcW w:w="6300" w:type="dxa"/>
            <w:vAlign w:val="center"/>
          </w:tcPr>
          <w:p w14:paraId="6F3F7E3C">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right="176" w:firstLine="13"/>
              <w:jc w:val="both"/>
              <w:textAlignment w:val="baseline"/>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pP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对所有</w:t>
            </w: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供应商</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的</w:t>
            </w: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培训方案</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进行比较和评价。</w:t>
            </w:r>
          </w:p>
          <w:p w14:paraId="78D8FBDC">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right="176" w:firstLine="13"/>
              <w:jc w:val="left"/>
              <w:textAlignment w:val="baseline"/>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pP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供应商应拥有自己科学合理的培训课程资源，采用线上和线下相结合的办法对驻校教官进行培训。培训方案科学合理、操作性强、效果显著，</w:t>
            </w:r>
            <w:r>
              <w:rPr>
                <w:rFonts w:hint="eastAsia" w:ascii="宋体" w:hAnsi="宋体" w:eastAsia="宋体" w:cs="宋体"/>
                <w:snapToGrid w:val="0"/>
                <w:color w:val="000000" w:themeColor="text1"/>
                <w:spacing w:val="-1"/>
                <w:kern w:val="0"/>
                <w:sz w:val="20"/>
                <w:szCs w:val="20"/>
                <w:lang w:val="en-US" w:eastAsia="en-US"/>
                <w14:textFill>
                  <w14:solidFill>
                    <w14:schemeClr w14:val="tx1"/>
                  </w14:solidFill>
                </w14:textFill>
              </w:rPr>
              <w:t>信息化管理方式</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全面科学有效且具有可操作性</w:t>
            </w: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w:t>
            </w:r>
          </w:p>
          <w:p w14:paraId="2BEF529E">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leftChars="0" w:right="176" w:rightChars="0" w:firstLine="13" w:firstLineChars="0"/>
              <w:jc w:val="left"/>
              <w:textAlignment w:val="baseline"/>
              <w:rPr>
                <w:rFonts w:hint="eastAsia" w:ascii="宋体" w:hAnsi="宋体" w:eastAsia="宋体" w:cs="宋体"/>
                <w:snapToGrid w:val="0"/>
                <w:color w:val="000000" w:themeColor="text1"/>
                <w:spacing w:val="-1"/>
                <w:kern w:val="0"/>
                <w:sz w:val="20"/>
                <w:szCs w:val="20"/>
                <w:highlight w:val="none"/>
                <w:lang w:eastAsia="zh-CN"/>
                <w14:textFill>
                  <w14:solidFill>
                    <w14:schemeClr w14:val="tx1"/>
                  </w14:solidFill>
                </w14:textFill>
              </w:rPr>
            </w:pP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供应商</w:t>
            </w:r>
            <w:r>
              <w:rPr>
                <w:rFonts w:hint="eastAsia" w:ascii="宋体" w:hAnsi="宋体" w:eastAsia="宋体" w:cs="宋体"/>
                <w:snapToGrid w:val="0"/>
                <w:color w:val="000000" w:themeColor="text1"/>
                <w:spacing w:val="-1"/>
                <w:kern w:val="0"/>
                <w:sz w:val="20"/>
                <w:szCs w:val="20"/>
                <w:highlight w:val="none"/>
                <w:lang w:eastAsia="en-US"/>
                <w14:textFill>
                  <w14:solidFill>
                    <w14:schemeClr w14:val="tx1"/>
                  </w14:solidFill>
                </w14:textFill>
              </w:rPr>
              <w:t>对</w:t>
            </w: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培训方案</w:t>
            </w:r>
            <w:r>
              <w:rPr>
                <w:rFonts w:hint="eastAsia" w:ascii="宋体" w:hAnsi="宋体" w:eastAsia="宋体" w:cs="宋体"/>
                <w:snapToGrid w:val="0"/>
                <w:color w:val="000000" w:themeColor="text1"/>
                <w:spacing w:val="-1"/>
                <w:kern w:val="0"/>
                <w:sz w:val="20"/>
                <w:szCs w:val="20"/>
                <w:highlight w:val="none"/>
                <w:lang w:eastAsia="en-US"/>
                <w14:textFill>
                  <w14:solidFill>
                    <w14:schemeClr w14:val="tx1"/>
                  </w14:solidFill>
                </w14:textFill>
              </w:rPr>
              <w:t>论述详细,完全贴合采购需求</w:t>
            </w: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且</w:t>
            </w:r>
            <w:r>
              <w:rPr>
                <w:rFonts w:hint="eastAsia" w:ascii="宋体" w:hAnsi="宋体" w:eastAsia="宋体" w:cs="宋体"/>
                <w:snapToGrid w:val="0"/>
                <w:color w:val="000000" w:themeColor="text1"/>
                <w:spacing w:val="-1"/>
                <w:kern w:val="0"/>
                <w:sz w:val="20"/>
                <w:szCs w:val="20"/>
                <w:highlight w:val="none"/>
                <w:lang w:val="en-US" w:eastAsia="en-US"/>
                <w14:textFill>
                  <w14:solidFill>
                    <w14:schemeClr w14:val="tx1"/>
                  </w14:solidFill>
                </w14:textFill>
              </w:rPr>
              <w:t>提供</w:t>
            </w: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有关驻校教官培训系统</w:t>
            </w:r>
            <w:r>
              <w:rPr>
                <w:rFonts w:hint="eastAsia" w:ascii="宋体" w:hAnsi="宋体" w:eastAsia="宋体" w:cs="宋体"/>
                <w:snapToGrid w:val="0"/>
                <w:color w:val="000000" w:themeColor="text1"/>
                <w:spacing w:val="-1"/>
                <w:kern w:val="0"/>
                <w:sz w:val="20"/>
                <w:szCs w:val="20"/>
                <w:highlight w:val="none"/>
                <w:lang w:val="en-US" w:eastAsia="en-US"/>
                <w14:textFill>
                  <w14:solidFill>
                    <w14:schemeClr w14:val="tx1"/>
                  </w14:solidFill>
                </w14:textFill>
              </w:rPr>
              <w:t>平台截图</w:t>
            </w: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及</w:t>
            </w:r>
            <w:r>
              <w:rPr>
                <w:rFonts w:hint="eastAsia" w:ascii="宋体" w:hAnsi="宋体" w:eastAsia="宋体" w:cs="宋体"/>
                <w:snapToGrid w:val="0"/>
                <w:color w:val="000000" w:themeColor="text1"/>
                <w:spacing w:val="-1"/>
                <w:kern w:val="0"/>
                <w:sz w:val="20"/>
                <w:szCs w:val="20"/>
                <w:highlight w:val="none"/>
                <w:lang w:val="en-US" w:eastAsia="en-US"/>
                <w14:textFill>
                  <w14:solidFill>
                    <w14:schemeClr w14:val="tx1"/>
                  </w14:solidFill>
                </w14:textFill>
              </w:rPr>
              <w:t>与</w:t>
            </w: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平台开发</w:t>
            </w:r>
            <w:r>
              <w:rPr>
                <w:rFonts w:hint="eastAsia" w:ascii="宋体" w:hAnsi="宋体" w:eastAsia="宋体" w:cs="宋体"/>
                <w:snapToGrid w:val="0"/>
                <w:color w:val="000000" w:themeColor="text1"/>
                <w:spacing w:val="-1"/>
                <w:kern w:val="0"/>
                <w:sz w:val="20"/>
                <w:szCs w:val="20"/>
                <w:highlight w:val="none"/>
                <w:lang w:val="en-US" w:eastAsia="en-US"/>
                <w14:textFill>
                  <w14:solidFill>
                    <w14:schemeClr w14:val="tx1"/>
                  </w14:solidFill>
                </w14:textFill>
              </w:rPr>
              <w:t>商签订</w:t>
            </w: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使用</w:t>
            </w:r>
            <w:r>
              <w:rPr>
                <w:rFonts w:hint="eastAsia" w:ascii="宋体" w:hAnsi="宋体" w:eastAsia="宋体" w:cs="宋体"/>
                <w:snapToGrid w:val="0"/>
                <w:color w:val="000000" w:themeColor="text1"/>
                <w:spacing w:val="-1"/>
                <w:kern w:val="0"/>
                <w:sz w:val="20"/>
                <w:szCs w:val="20"/>
                <w:highlight w:val="none"/>
                <w:lang w:val="en-US" w:eastAsia="en-US"/>
                <w14:textFill>
                  <w14:solidFill>
                    <w14:schemeClr w14:val="tx1"/>
                  </w14:solidFill>
                </w14:textFill>
              </w:rPr>
              <w:t>协议</w:t>
            </w:r>
            <w:r>
              <w:rPr>
                <w:rFonts w:hint="eastAsia" w:ascii="宋体" w:hAnsi="宋体" w:eastAsia="宋体" w:cs="宋体"/>
                <w:snapToGrid w:val="0"/>
                <w:color w:val="000000" w:themeColor="text1"/>
                <w:spacing w:val="-1"/>
                <w:kern w:val="0"/>
                <w:sz w:val="20"/>
                <w:szCs w:val="20"/>
                <w:highlight w:val="none"/>
                <w:lang w:eastAsia="en-US"/>
                <w14:textFill>
                  <w14:solidFill>
                    <w14:schemeClr w14:val="tx1"/>
                  </w14:solidFill>
                </w14:textFill>
              </w:rPr>
              <w:t>的得</w:t>
            </w:r>
            <w:r>
              <w:rPr>
                <w:rFonts w:hint="eastAsia" w:ascii="宋体" w:hAnsi="宋体" w:eastAsia="宋体" w:cs="宋体"/>
                <w:snapToGrid w:val="0"/>
                <w:color w:val="000000" w:themeColor="text1"/>
                <w:spacing w:val="-1"/>
                <w:kern w:val="0"/>
                <w:sz w:val="20"/>
                <w:szCs w:val="20"/>
                <w:highlight w:val="none"/>
                <w:lang w:val="en-US" w:eastAsia="en-US"/>
                <w14:textFill>
                  <w14:solidFill>
                    <w14:schemeClr w14:val="tx1"/>
                  </w14:solidFill>
                </w14:textFill>
              </w:rPr>
              <w:t>10</w:t>
            </w:r>
            <w:r>
              <w:rPr>
                <w:rFonts w:hint="eastAsia" w:ascii="宋体" w:hAnsi="宋体" w:eastAsia="宋体" w:cs="宋体"/>
                <w:snapToGrid w:val="0"/>
                <w:color w:val="000000" w:themeColor="text1"/>
                <w:spacing w:val="-1"/>
                <w:kern w:val="0"/>
                <w:sz w:val="20"/>
                <w:szCs w:val="20"/>
                <w:highlight w:val="none"/>
                <w:lang w:eastAsia="en-US"/>
                <w14:textFill>
                  <w14:solidFill>
                    <w14:schemeClr w14:val="tx1"/>
                  </w14:solidFill>
                </w14:textFill>
              </w:rPr>
              <w:t>分</w:t>
            </w:r>
            <w:r>
              <w:rPr>
                <w:rFonts w:hint="eastAsia" w:ascii="宋体" w:hAnsi="宋体" w:eastAsia="宋体" w:cs="宋体"/>
                <w:snapToGrid w:val="0"/>
                <w:color w:val="000000" w:themeColor="text1"/>
                <w:spacing w:val="-1"/>
                <w:kern w:val="0"/>
                <w:sz w:val="20"/>
                <w:szCs w:val="20"/>
                <w:highlight w:val="none"/>
                <w:lang w:eastAsia="zh-CN"/>
                <w14:textFill>
                  <w14:solidFill>
                    <w14:schemeClr w14:val="tx1"/>
                  </w14:solidFill>
                </w14:textFill>
              </w:rPr>
              <w:t>；</w:t>
            </w:r>
          </w:p>
          <w:p w14:paraId="744CC6CC">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leftChars="0" w:right="176" w:rightChars="0" w:firstLine="13" w:firstLineChars="0"/>
              <w:jc w:val="left"/>
              <w:textAlignment w:val="baseline"/>
              <w:rPr>
                <w:rFonts w:hint="eastAsia" w:ascii="宋体" w:hAnsi="宋体" w:eastAsia="宋体" w:cs="宋体"/>
                <w:snapToGrid w:val="0"/>
                <w:color w:val="000000" w:themeColor="text1"/>
                <w:spacing w:val="-1"/>
                <w:kern w:val="0"/>
                <w:sz w:val="20"/>
                <w:szCs w:val="20"/>
                <w:lang w:eastAsia="zh-CN"/>
                <w14:textFill>
                  <w14:solidFill>
                    <w14:schemeClr w14:val="tx1"/>
                  </w14:solidFill>
                </w14:textFill>
              </w:rPr>
            </w:pP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供应商</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对</w:t>
            </w: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培训方案</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虽阐述但未贴合采购需求进行论述,或内容未包括具体细节的得</w:t>
            </w:r>
            <w:r>
              <w:rPr>
                <w:rFonts w:hint="eastAsia" w:ascii="宋体" w:hAnsi="宋体" w:eastAsia="宋体" w:cs="宋体"/>
                <w:snapToGrid w:val="0"/>
                <w:color w:val="000000" w:themeColor="text1"/>
                <w:spacing w:val="-1"/>
                <w:kern w:val="0"/>
                <w:sz w:val="20"/>
                <w:szCs w:val="20"/>
                <w:lang w:val="en-US" w:eastAsia="en-US"/>
                <w14:textFill>
                  <w14:solidFill>
                    <w14:schemeClr w14:val="tx1"/>
                  </w14:solidFill>
                </w14:textFill>
              </w:rPr>
              <w:t>7</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分</w:t>
            </w:r>
            <w:r>
              <w:rPr>
                <w:rFonts w:hint="eastAsia" w:ascii="宋体" w:hAnsi="宋体" w:eastAsia="宋体" w:cs="宋体"/>
                <w:snapToGrid w:val="0"/>
                <w:color w:val="000000" w:themeColor="text1"/>
                <w:spacing w:val="-1"/>
                <w:kern w:val="0"/>
                <w:sz w:val="20"/>
                <w:szCs w:val="20"/>
                <w:lang w:eastAsia="zh-CN"/>
                <w14:textFill>
                  <w14:solidFill>
                    <w14:schemeClr w14:val="tx1"/>
                  </w14:solidFill>
                </w14:textFill>
              </w:rPr>
              <w:t>；</w:t>
            </w:r>
          </w:p>
          <w:p w14:paraId="34853328">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leftChars="0" w:right="176" w:rightChars="0" w:firstLine="13" w:firstLineChars="0"/>
              <w:jc w:val="left"/>
              <w:textAlignment w:val="baseline"/>
              <w:rPr>
                <w:rFonts w:hint="eastAsia" w:ascii="宋体" w:hAnsi="宋体" w:eastAsia="宋体" w:cs="宋体"/>
                <w:snapToGrid w:val="0"/>
                <w:color w:val="000000" w:themeColor="text1"/>
                <w:spacing w:val="-1"/>
                <w:kern w:val="0"/>
                <w:sz w:val="20"/>
                <w:szCs w:val="20"/>
                <w:lang w:eastAsia="zh-CN"/>
                <w14:textFill>
                  <w14:solidFill>
                    <w14:schemeClr w14:val="tx1"/>
                  </w14:solidFill>
                </w14:textFill>
              </w:rPr>
            </w:pP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供应商</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提供的</w:t>
            </w: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培训方案</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内容不完整存在明显缺陷的得</w:t>
            </w:r>
            <w:r>
              <w:rPr>
                <w:rFonts w:hint="eastAsia" w:ascii="宋体" w:hAnsi="宋体" w:eastAsia="宋体" w:cs="宋体"/>
                <w:snapToGrid w:val="0"/>
                <w:color w:val="000000" w:themeColor="text1"/>
                <w:spacing w:val="-1"/>
                <w:kern w:val="0"/>
                <w:sz w:val="20"/>
                <w:szCs w:val="20"/>
                <w:lang w:val="en-US" w:eastAsia="en-US"/>
                <w14:textFill>
                  <w14:solidFill>
                    <w14:schemeClr w14:val="tx1"/>
                  </w14:solidFill>
                </w14:textFill>
              </w:rPr>
              <w:t>3</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分</w:t>
            </w:r>
            <w:r>
              <w:rPr>
                <w:rFonts w:hint="eastAsia" w:ascii="宋体" w:hAnsi="宋体" w:eastAsia="宋体" w:cs="宋体"/>
                <w:snapToGrid w:val="0"/>
                <w:color w:val="000000" w:themeColor="text1"/>
                <w:spacing w:val="-1"/>
                <w:kern w:val="0"/>
                <w:sz w:val="20"/>
                <w:szCs w:val="20"/>
                <w:lang w:eastAsia="zh-CN"/>
                <w14:textFill>
                  <w14:solidFill>
                    <w14:schemeClr w14:val="tx1"/>
                  </w14:solidFill>
                </w14:textFill>
              </w:rPr>
              <w:t>；</w:t>
            </w:r>
          </w:p>
          <w:p w14:paraId="3FE14F18">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right="176" w:firstLine="13"/>
              <w:jc w:val="left"/>
              <w:textAlignment w:val="baseline"/>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pP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未提供应相关内容的得0分。</w:t>
            </w:r>
          </w:p>
        </w:tc>
      </w:tr>
      <w:tr w14:paraId="583B7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02" w:type="dxa"/>
            <w:vMerge w:val="continue"/>
            <w:vAlign w:val="center"/>
          </w:tcPr>
          <w:p w14:paraId="3F601514">
            <w:pPr>
              <w:keepNext w:val="0"/>
              <w:keepLines w:val="0"/>
              <w:pageBreakBefore w:val="0"/>
              <w:widowControl/>
              <w:kinsoku/>
              <w:wordWrap/>
              <w:overflowPunct/>
              <w:topLinePunct w:val="0"/>
              <w:autoSpaceDE w:val="0"/>
              <w:autoSpaceDN w:val="0"/>
              <w:bidi w:val="0"/>
              <w:adjustRightInd w:val="0"/>
              <w:snapToGrid w:val="0"/>
              <w:spacing w:before="137" w:after="160" w:line="360" w:lineRule="auto"/>
              <w:ind w:right="114"/>
              <w:jc w:val="center"/>
              <w:textAlignment w:val="baseline"/>
              <w:rPr>
                <w:rFonts w:hint="eastAsia" w:ascii="宋体" w:hAnsi="宋体" w:eastAsia="宋体" w:cs="宋体"/>
                <w:b/>
                <w:bCs/>
                <w:snapToGrid w:val="0"/>
                <w:color w:val="000000" w:themeColor="text1"/>
                <w:spacing w:val="1"/>
                <w:kern w:val="0"/>
                <w:sz w:val="20"/>
                <w:szCs w:val="20"/>
                <w:lang w:val="zh-CN" w:eastAsia="en-US"/>
                <w14:textFill>
                  <w14:solidFill>
                    <w14:schemeClr w14:val="tx1"/>
                  </w14:solidFill>
                </w14:textFill>
              </w:rPr>
            </w:pPr>
          </w:p>
        </w:tc>
        <w:tc>
          <w:tcPr>
            <w:tcW w:w="912" w:type="dxa"/>
            <w:vMerge w:val="continue"/>
            <w:vAlign w:val="center"/>
          </w:tcPr>
          <w:p w14:paraId="68EB9786">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right="176" w:firstLine="13"/>
              <w:jc w:val="center"/>
              <w:textAlignment w:val="baseline"/>
              <w:rPr>
                <w:rFonts w:hint="eastAsia" w:ascii="宋体" w:hAnsi="宋体" w:eastAsia="宋体" w:cs="宋体"/>
                <w:snapToGrid w:val="0"/>
                <w:color w:val="000000" w:themeColor="text1"/>
                <w:spacing w:val="-1"/>
                <w:kern w:val="0"/>
                <w:sz w:val="20"/>
                <w:szCs w:val="20"/>
                <w:lang w:eastAsia="zh-CN"/>
                <w14:textFill>
                  <w14:solidFill>
                    <w14:schemeClr w14:val="tx1"/>
                  </w14:solidFill>
                </w14:textFill>
              </w:rPr>
            </w:pPr>
          </w:p>
        </w:tc>
        <w:tc>
          <w:tcPr>
            <w:tcW w:w="1219" w:type="dxa"/>
            <w:shd w:val="clear" w:color="auto" w:fill="auto"/>
            <w:vAlign w:val="center"/>
          </w:tcPr>
          <w:p w14:paraId="5CC50B52">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leftChars="0" w:right="176" w:rightChars="0" w:firstLine="13" w:firstLineChars="0"/>
              <w:jc w:val="center"/>
              <w:textAlignment w:val="baseline"/>
              <w:rPr>
                <w:rFonts w:hint="eastAsia" w:ascii="宋体" w:hAnsi="宋体" w:eastAsia="宋体" w:cs="宋体"/>
                <w:snapToGrid w:val="0"/>
                <w:color w:val="000000" w:themeColor="text1"/>
                <w:spacing w:val="-1"/>
                <w:kern w:val="0"/>
                <w:sz w:val="20"/>
                <w:szCs w:val="20"/>
                <w:lang w:val="en-US" w:eastAsia="zh-CN" w:bidi="ar-SA"/>
                <w14:textFill>
                  <w14:solidFill>
                    <w14:schemeClr w14:val="tx1"/>
                  </w14:solidFill>
                </w14:textFill>
              </w:rPr>
            </w:pP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考核方案（8分）</w:t>
            </w:r>
          </w:p>
        </w:tc>
        <w:tc>
          <w:tcPr>
            <w:tcW w:w="6300" w:type="dxa"/>
            <w:shd w:val="clear" w:color="auto" w:fill="auto"/>
            <w:vAlign w:val="center"/>
          </w:tcPr>
          <w:p w14:paraId="2B178283">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right="176" w:firstLine="13"/>
              <w:jc w:val="both"/>
              <w:textAlignment w:val="baseline"/>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pP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对所有</w:t>
            </w: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供应商</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的</w:t>
            </w: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考核方案</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进行比较和评价。</w:t>
            </w:r>
          </w:p>
          <w:p w14:paraId="0CDA6581">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right="176" w:firstLine="13"/>
              <w:jc w:val="left"/>
              <w:textAlignment w:val="baseline"/>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pP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供应商应对驻校教官工作进行全过程、全方位、科学的考核评价，采用线上和线下相结合的办法进行。考核体系科学、操作性强、信息化手段科学、可以很好的激发驻校教官的工作主动性和积极性，效果显著。考核</w:t>
            </w:r>
            <w:r>
              <w:rPr>
                <w:rFonts w:hint="eastAsia" w:ascii="宋体" w:hAnsi="宋体" w:eastAsia="宋体" w:cs="宋体"/>
                <w:snapToGrid w:val="0"/>
                <w:color w:val="000000" w:themeColor="text1"/>
                <w:spacing w:val="-1"/>
                <w:kern w:val="0"/>
                <w:sz w:val="20"/>
                <w:szCs w:val="20"/>
                <w:lang w:val="en-US" w:eastAsia="en-US"/>
                <w14:textFill>
                  <w14:solidFill>
                    <w14:schemeClr w14:val="tx1"/>
                  </w14:solidFill>
                </w14:textFill>
              </w:rPr>
              <w:t>信息化方式</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全面科学有效且可操作性</w:t>
            </w: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强。</w:t>
            </w:r>
          </w:p>
          <w:p w14:paraId="1C36D0AE">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leftChars="0" w:right="176" w:rightChars="0" w:firstLine="13" w:firstLineChars="0"/>
              <w:jc w:val="left"/>
              <w:textAlignment w:val="baseline"/>
              <w:rPr>
                <w:rFonts w:hint="eastAsia" w:ascii="宋体" w:hAnsi="宋体" w:eastAsia="宋体" w:cs="宋体"/>
                <w:snapToGrid w:val="0"/>
                <w:color w:val="000000" w:themeColor="text1"/>
                <w:spacing w:val="-1"/>
                <w:kern w:val="0"/>
                <w:sz w:val="20"/>
                <w:szCs w:val="20"/>
                <w:highlight w:val="none"/>
                <w:lang w:eastAsia="zh-CN"/>
                <w14:textFill>
                  <w14:solidFill>
                    <w14:schemeClr w14:val="tx1"/>
                  </w14:solidFill>
                </w14:textFill>
              </w:rPr>
            </w:pP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供应商提供的考核方案</w:t>
            </w:r>
            <w:r>
              <w:rPr>
                <w:rFonts w:hint="eastAsia" w:ascii="宋体" w:hAnsi="宋体" w:eastAsia="宋体" w:cs="宋体"/>
                <w:snapToGrid w:val="0"/>
                <w:color w:val="000000" w:themeColor="text1"/>
                <w:spacing w:val="-1"/>
                <w:kern w:val="0"/>
                <w:sz w:val="20"/>
                <w:szCs w:val="20"/>
                <w:highlight w:val="none"/>
                <w:lang w:eastAsia="en-US"/>
                <w14:textFill>
                  <w14:solidFill>
                    <w14:schemeClr w14:val="tx1"/>
                  </w14:solidFill>
                </w14:textFill>
              </w:rPr>
              <w:t>论述详细,完全贴合采购需求</w:t>
            </w: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且</w:t>
            </w:r>
            <w:r>
              <w:rPr>
                <w:rFonts w:hint="eastAsia" w:ascii="宋体" w:hAnsi="宋体" w:eastAsia="宋体" w:cs="宋体"/>
                <w:snapToGrid w:val="0"/>
                <w:color w:val="000000" w:themeColor="text1"/>
                <w:spacing w:val="-1"/>
                <w:kern w:val="0"/>
                <w:sz w:val="20"/>
                <w:szCs w:val="20"/>
                <w:highlight w:val="none"/>
                <w:lang w:val="en-US" w:eastAsia="en-US"/>
                <w14:textFill>
                  <w14:solidFill>
                    <w14:schemeClr w14:val="tx1"/>
                  </w14:solidFill>
                </w14:textFill>
              </w:rPr>
              <w:t>提供</w:t>
            </w: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相关考核系统</w:t>
            </w:r>
            <w:r>
              <w:rPr>
                <w:rFonts w:hint="eastAsia" w:ascii="宋体" w:hAnsi="宋体" w:eastAsia="宋体" w:cs="宋体"/>
                <w:snapToGrid w:val="0"/>
                <w:color w:val="000000" w:themeColor="text1"/>
                <w:spacing w:val="-1"/>
                <w:kern w:val="0"/>
                <w:sz w:val="20"/>
                <w:szCs w:val="20"/>
                <w:highlight w:val="none"/>
                <w:lang w:val="en-US" w:eastAsia="en-US"/>
                <w14:textFill>
                  <w14:solidFill>
                    <w14:schemeClr w14:val="tx1"/>
                  </w14:solidFill>
                </w14:textFill>
              </w:rPr>
              <w:t>平台截图</w:t>
            </w: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及</w:t>
            </w:r>
            <w:r>
              <w:rPr>
                <w:rFonts w:hint="eastAsia" w:ascii="宋体" w:hAnsi="宋体" w:eastAsia="宋体" w:cs="宋体"/>
                <w:snapToGrid w:val="0"/>
                <w:color w:val="000000" w:themeColor="text1"/>
                <w:spacing w:val="-1"/>
                <w:kern w:val="0"/>
                <w:sz w:val="20"/>
                <w:szCs w:val="20"/>
                <w:highlight w:val="none"/>
                <w:lang w:val="en-US" w:eastAsia="en-US"/>
                <w14:textFill>
                  <w14:solidFill>
                    <w14:schemeClr w14:val="tx1"/>
                  </w14:solidFill>
                </w14:textFill>
              </w:rPr>
              <w:t>与</w:t>
            </w: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平台开发</w:t>
            </w:r>
            <w:r>
              <w:rPr>
                <w:rFonts w:hint="eastAsia" w:ascii="宋体" w:hAnsi="宋体" w:eastAsia="宋体" w:cs="宋体"/>
                <w:snapToGrid w:val="0"/>
                <w:color w:val="000000" w:themeColor="text1"/>
                <w:spacing w:val="-1"/>
                <w:kern w:val="0"/>
                <w:sz w:val="20"/>
                <w:szCs w:val="20"/>
                <w:highlight w:val="none"/>
                <w:lang w:val="en-US" w:eastAsia="en-US"/>
                <w14:textFill>
                  <w14:solidFill>
                    <w14:schemeClr w14:val="tx1"/>
                  </w14:solidFill>
                </w14:textFill>
              </w:rPr>
              <w:t>商签订的</w:t>
            </w: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使用</w:t>
            </w:r>
            <w:r>
              <w:rPr>
                <w:rFonts w:hint="eastAsia" w:ascii="宋体" w:hAnsi="宋体" w:eastAsia="宋体" w:cs="宋体"/>
                <w:snapToGrid w:val="0"/>
                <w:color w:val="000000" w:themeColor="text1"/>
                <w:spacing w:val="-1"/>
                <w:kern w:val="0"/>
                <w:sz w:val="20"/>
                <w:szCs w:val="20"/>
                <w:highlight w:val="none"/>
                <w:lang w:val="en-US" w:eastAsia="en-US"/>
                <w14:textFill>
                  <w14:solidFill>
                    <w14:schemeClr w14:val="tx1"/>
                  </w14:solidFill>
                </w14:textFill>
              </w:rPr>
              <w:t>协议</w:t>
            </w:r>
            <w:r>
              <w:rPr>
                <w:rFonts w:hint="eastAsia" w:ascii="宋体" w:hAnsi="宋体" w:eastAsia="宋体" w:cs="宋体"/>
                <w:snapToGrid w:val="0"/>
                <w:color w:val="000000" w:themeColor="text1"/>
                <w:spacing w:val="-1"/>
                <w:kern w:val="0"/>
                <w:sz w:val="20"/>
                <w:szCs w:val="20"/>
                <w:highlight w:val="none"/>
                <w:lang w:eastAsia="en-US"/>
                <w14:textFill>
                  <w14:solidFill>
                    <w14:schemeClr w14:val="tx1"/>
                  </w14:solidFill>
                </w14:textFill>
              </w:rPr>
              <w:t>的得</w:t>
            </w: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8</w:t>
            </w:r>
            <w:r>
              <w:rPr>
                <w:rFonts w:hint="eastAsia" w:ascii="宋体" w:hAnsi="宋体" w:eastAsia="宋体" w:cs="宋体"/>
                <w:snapToGrid w:val="0"/>
                <w:color w:val="000000" w:themeColor="text1"/>
                <w:spacing w:val="-1"/>
                <w:kern w:val="0"/>
                <w:sz w:val="20"/>
                <w:szCs w:val="20"/>
                <w:highlight w:val="none"/>
                <w:lang w:eastAsia="en-US"/>
                <w14:textFill>
                  <w14:solidFill>
                    <w14:schemeClr w14:val="tx1"/>
                  </w14:solidFill>
                </w14:textFill>
              </w:rPr>
              <w:t>分</w:t>
            </w:r>
            <w:r>
              <w:rPr>
                <w:rFonts w:hint="eastAsia" w:ascii="宋体" w:hAnsi="宋体" w:eastAsia="宋体" w:cs="宋体"/>
                <w:snapToGrid w:val="0"/>
                <w:color w:val="000000" w:themeColor="text1"/>
                <w:spacing w:val="-1"/>
                <w:kern w:val="0"/>
                <w:sz w:val="20"/>
                <w:szCs w:val="20"/>
                <w:highlight w:val="none"/>
                <w:lang w:eastAsia="zh-CN"/>
                <w14:textFill>
                  <w14:solidFill>
                    <w14:schemeClr w14:val="tx1"/>
                  </w14:solidFill>
                </w14:textFill>
              </w:rPr>
              <w:t>；</w:t>
            </w:r>
          </w:p>
          <w:p w14:paraId="4AB86146">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leftChars="0" w:right="176" w:rightChars="0" w:firstLine="13" w:firstLineChars="0"/>
              <w:jc w:val="left"/>
              <w:textAlignment w:val="baseline"/>
              <w:rPr>
                <w:rFonts w:hint="eastAsia" w:ascii="宋体" w:hAnsi="宋体" w:eastAsia="宋体" w:cs="宋体"/>
                <w:snapToGrid w:val="0"/>
                <w:color w:val="000000" w:themeColor="text1"/>
                <w:spacing w:val="-1"/>
                <w:kern w:val="0"/>
                <w:sz w:val="20"/>
                <w:szCs w:val="20"/>
                <w:lang w:eastAsia="zh-CN"/>
                <w14:textFill>
                  <w14:solidFill>
                    <w14:schemeClr w14:val="tx1"/>
                  </w14:solidFill>
                </w14:textFill>
              </w:rPr>
            </w:pP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供应商提供的考核方案</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虽阐述但未贴合采购需求进行论述,或内容未包括具体细节的得</w:t>
            </w: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5</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分</w:t>
            </w:r>
            <w:r>
              <w:rPr>
                <w:rFonts w:hint="eastAsia" w:ascii="宋体" w:hAnsi="宋体" w:eastAsia="宋体" w:cs="宋体"/>
                <w:snapToGrid w:val="0"/>
                <w:color w:val="000000" w:themeColor="text1"/>
                <w:spacing w:val="-1"/>
                <w:kern w:val="0"/>
                <w:sz w:val="20"/>
                <w:szCs w:val="20"/>
                <w:lang w:eastAsia="zh-CN"/>
                <w14:textFill>
                  <w14:solidFill>
                    <w14:schemeClr w14:val="tx1"/>
                  </w14:solidFill>
                </w14:textFill>
              </w:rPr>
              <w:t>；</w:t>
            </w:r>
          </w:p>
          <w:p w14:paraId="5084ED38">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leftChars="0" w:right="176" w:rightChars="0" w:firstLine="13" w:firstLineChars="0"/>
              <w:jc w:val="left"/>
              <w:textAlignment w:val="baseline"/>
              <w:rPr>
                <w:rFonts w:hint="eastAsia" w:ascii="宋体" w:hAnsi="宋体" w:eastAsia="宋体" w:cs="宋体"/>
                <w:snapToGrid w:val="0"/>
                <w:color w:val="000000" w:themeColor="text1"/>
                <w:spacing w:val="-1"/>
                <w:kern w:val="0"/>
                <w:sz w:val="20"/>
                <w:szCs w:val="20"/>
                <w:lang w:eastAsia="zh-CN"/>
                <w14:textFill>
                  <w14:solidFill>
                    <w14:schemeClr w14:val="tx1"/>
                  </w14:solidFill>
                </w14:textFill>
              </w:rPr>
            </w:pP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供应商提供的考核方案</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内容不完整存在明显缺陷的得</w:t>
            </w: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3</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分</w:t>
            </w:r>
            <w:r>
              <w:rPr>
                <w:rFonts w:hint="eastAsia" w:ascii="宋体" w:hAnsi="宋体" w:eastAsia="宋体" w:cs="宋体"/>
                <w:snapToGrid w:val="0"/>
                <w:color w:val="000000" w:themeColor="text1"/>
                <w:spacing w:val="-1"/>
                <w:kern w:val="0"/>
                <w:sz w:val="20"/>
                <w:szCs w:val="20"/>
                <w:lang w:eastAsia="zh-CN"/>
                <w14:textFill>
                  <w14:solidFill>
                    <w14:schemeClr w14:val="tx1"/>
                  </w14:solidFill>
                </w14:textFill>
              </w:rPr>
              <w:t>；</w:t>
            </w:r>
          </w:p>
          <w:p w14:paraId="2DBA6A31">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leftChars="0" w:right="176" w:rightChars="0" w:firstLine="13" w:firstLineChars="0"/>
              <w:jc w:val="left"/>
              <w:textAlignment w:val="baseline"/>
              <w:rPr>
                <w:rFonts w:hint="eastAsia" w:ascii="宋体" w:hAnsi="宋体" w:eastAsia="宋体" w:cs="宋体"/>
                <w:snapToGrid w:val="0"/>
                <w:color w:val="000000" w:themeColor="text1"/>
                <w:spacing w:val="-1"/>
                <w:kern w:val="0"/>
                <w:sz w:val="20"/>
                <w:szCs w:val="20"/>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未提供应相关内容的得0分。</w:t>
            </w:r>
          </w:p>
        </w:tc>
      </w:tr>
      <w:tr w14:paraId="415CA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02" w:type="dxa"/>
            <w:vMerge w:val="continue"/>
            <w:vAlign w:val="center"/>
          </w:tcPr>
          <w:p w14:paraId="246D34D9">
            <w:pPr>
              <w:keepNext w:val="0"/>
              <w:keepLines w:val="0"/>
              <w:pageBreakBefore w:val="0"/>
              <w:widowControl/>
              <w:kinsoku/>
              <w:wordWrap/>
              <w:overflowPunct/>
              <w:topLinePunct w:val="0"/>
              <w:autoSpaceDE w:val="0"/>
              <w:autoSpaceDN w:val="0"/>
              <w:bidi w:val="0"/>
              <w:adjustRightInd w:val="0"/>
              <w:snapToGrid w:val="0"/>
              <w:spacing w:before="137" w:after="160" w:line="360" w:lineRule="auto"/>
              <w:ind w:right="114"/>
              <w:jc w:val="center"/>
              <w:textAlignment w:val="baseline"/>
              <w:rPr>
                <w:rFonts w:hint="eastAsia" w:ascii="宋体" w:hAnsi="宋体" w:eastAsia="宋体" w:cs="宋体"/>
                <w:b/>
                <w:bCs/>
                <w:snapToGrid w:val="0"/>
                <w:color w:val="000000" w:themeColor="text1"/>
                <w:spacing w:val="1"/>
                <w:kern w:val="0"/>
                <w:sz w:val="20"/>
                <w:szCs w:val="20"/>
                <w:lang w:val="zh-CN" w:eastAsia="en-US"/>
                <w14:textFill>
                  <w14:solidFill>
                    <w14:schemeClr w14:val="tx1"/>
                  </w14:solidFill>
                </w14:textFill>
              </w:rPr>
            </w:pPr>
          </w:p>
        </w:tc>
        <w:tc>
          <w:tcPr>
            <w:tcW w:w="912" w:type="dxa"/>
            <w:vAlign w:val="center"/>
          </w:tcPr>
          <w:p w14:paraId="6A4C5B0B">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right="176" w:firstLine="13"/>
              <w:jc w:val="center"/>
              <w:textAlignment w:val="baseline"/>
              <w:rPr>
                <w:rFonts w:hint="eastAsia" w:ascii="宋体" w:hAnsi="宋体" w:eastAsia="宋体" w:cs="宋体"/>
                <w:snapToGrid w:val="0"/>
                <w:color w:val="000000" w:themeColor="text1"/>
                <w:spacing w:val="-1"/>
                <w:kern w:val="0"/>
                <w:sz w:val="20"/>
                <w:szCs w:val="20"/>
                <w:lang w:eastAsia="zh-CN"/>
                <w14:textFill>
                  <w14:solidFill>
                    <w14:schemeClr w14:val="tx1"/>
                  </w14:solidFill>
                </w14:textFill>
              </w:rPr>
            </w:pP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从业人员</w:t>
            </w:r>
          </w:p>
        </w:tc>
        <w:tc>
          <w:tcPr>
            <w:tcW w:w="1219" w:type="dxa"/>
            <w:vAlign w:val="center"/>
          </w:tcPr>
          <w:p w14:paraId="3D2D9E7A">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right="176" w:firstLine="13"/>
              <w:jc w:val="center"/>
              <w:textAlignment w:val="baseline"/>
              <w:rPr>
                <w:rFonts w:hint="eastAsia" w:ascii="宋体" w:hAnsi="宋体" w:eastAsia="宋体" w:cs="宋体"/>
                <w:snapToGrid w:val="0"/>
                <w:color w:val="000000" w:themeColor="text1"/>
                <w:spacing w:val="-1"/>
                <w:kern w:val="0"/>
                <w:sz w:val="20"/>
                <w:szCs w:val="20"/>
                <w:lang w:eastAsia="zh-CN"/>
                <w14:textFill>
                  <w14:solidFill>
                    <w14:schemeClr w14:val="tx1"/>
                  </w14:solidFill>
                </w14:textFill>
              </w:rPr>
            </w:pP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拟派出服务人员</w:t>
            </w:r>
            <w:r>
              <w:rPr>
                <w:rFonts w:hint="eastAsia" w:ascii="宋体" w:hAnsi="宋体" w:eastAsia="宋体" w:cs="宋体"/>
                <w:snapToGrid w:val="0"/>
                <w:color w:val="000000" w:themeColor="text1"/>
                <w:spacing w:val="-1"/>
                <w:kern w:val="0"/>
                <w:sz w:val="20"/>
                <w:szCs w:val="20"/>
                <w:lang w:eastAsia="zh-CN"/>
                <w14:textFill>
                  <w14:solidFill>
                    <w14:schemeClr w14:val="tx1"/>
                  </w14:solidFill>
                </w14:textFill>
              </w:rPr>
              <w:t>（</w:t>
            </w: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5分</w:t>
            </w:r>
            <w:r>
              <w:rPr>
                <w:rFonts w:hint="eastAsia" w:ascii="宋体" w:hAnsi="宋体" w:eastAsia="宋体" w:cs="宋体"/>
                <w:snapToGrid w:val="0"/>
                <w:color w:val="000000" w:themeColor="text1"/>
                <w:spacing w:val="-1"/>
                <w:kern w:val="0"/>
                <w:sz w:val="20"/>
                <w:szCs w:val="20"/>
                <w:lang w:eastAsia="zh-CN"/>
                <w14:textFill>
                  <w14:solidFill>
                    <w14:schemeClr w14:val="tx1"/>
                  </w14:solidFill>
                </w14:textFill>
              </w:rPr>
              <w:t>）</w:t>
            </w:r>
          </w:p>
        </w:tc>
        <w:tc>
          <w:tcPr>
            <w:tcW w:w="6300" w:type="dxa"/>
            <w:vAlign w:val="center"/>
          </w:tcPr>
          <w:p w14:paraId="4ECE7986">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right="176" w:firstLine="13"/>
              <w:jc w:val="both"/>
              <w:textAlignment w:val="baseline"/>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pP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对所有</w:t>
            </w: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供应商</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的拟派出服务人员进行比较和评价。</w:t>
            </w:r>
          </w:p>
          <w:p w14:paraId="18DFBCE0">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right="176" w:firstLine="13"/>
              <w:jc w:val="left"/>
              <w:textAlignment w:val="baseline"/>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pP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对比所有</w:t>
            </w: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供应商</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项目负责人的从业年限、学历、从业经验、从业资格、职业水平进行比较和评价。对拟派出人员配备齐全、个人条件、管理经验进行综合对比</w:t>
            </w: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并</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提供退伍证</w:t>
            </w: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或</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拓展训练师</w:t>
            </w: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证</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w:t>
            </w:r>
          </w:p>
          <w:p w14:paraId="29017945">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leftChars="0" w:right="176" w:rightChars="0" w:firstLine="13" w:firstLineChars="0"/>
              <w:jc w:val="left"/>
              <w:textAlignment w:val="baseline"/>
              <w:rPr>
                <w:rFonts w:hint="eastAsia" w:ascii="宋体" w:hAnsi="宋体" w:eastAsia="宋体" w:cs="宋体"/>
                <w:snapToGrid w:val="0"/>
                <w:color w:val="000000" w:themeColor="text1"/>
                <w:spacing w:val="-1"/>
                <w:kern w:val="0"/>
                <w:sz w:val="20"/>
                <w:szCs w:val="20"/>
                <w:lang w:eastAsia="zh-CN"/>
                <w14:textFill>
                  <w14:solidFill>
                    <w14:schemeClr w14:val="tx1"/>
                  </w14:solidFill>
                </w14:textFill>
              </w:rPr>
            </w:pP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供应商</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拟派出</w:t>
            </w: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的</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服务人员完全贴合采购需求的得</w:t>
            </w: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5</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分</w:t>
            </w:r>
            <w:r>
              <w:rPr>
                <w:rFonts w:hint="eastAsia" w:ascii="宋体" w:hAnsi="宋体" w:eastAsia="宋体" w:cs="宋体"/>
                <w:snapToGrid w:val="0"/>
                <w:color w:val="000000" w:themeColor="text1"/>
                <w:spacing w:val="-1"/>
                <w:kern w:val="0"/>
                <w:sz w:val="20"/>
                <w:szCs w:val="20"/>
                <w:lang w:eastAsia="zh-CN"/>
                <w14:textFill>
                  <w14:solidFill>
                    <w14:schemeClr w14:val="tx1"/>
                  </w14:solidFill>
                </w14:textFill>
              </w:rPr>
              <w:t>；</w:t>
            </w:r>
          </w:p>
          <w:p w14:paraId="249C71F6">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leftChars="0" w:right="176" w:rightChars="0" w:firstLine="13" w:firstLineChars="0"/>
              <w:jc w:val="left"/>
              <w:textAlignment w:val="baseline"/>
              <w:rPr>
                <w:rFonts w:hint="eastAsia" w:ascii="宋体" w:hAnsi="宋体" w:eastAsia="宋体" w:cs="宋体"/>
                <w:snapToGrid w:val="0"/>
                <w:color w:val="000000" w:themeColor="text1"/>
                <w:spacing w:val="-1"/>
                <w:kern w:val="0"/>
                <w:sz w:val="20"/>
                <w:szCs w:val="20"/>
                <w:lang w:eastAsia="zh-CN"/>
                <w14:textFill>
                  <w14:solidFill>
                    <w14:schemeClr w14:val="tx1"/>
                  </w14:solidFill>
                </w14:textFill>
              </w:rPr>
            </w:pP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供应商</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拟派出</w:t>
            </w: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的</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服务人员</w:t>
            </w: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虽配备齐全</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但未贴合采购需求的得</w:t>
            </w: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3</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分</w:t>
            </w:r>
            <w:r>
              <w:rPr>
                <w:rFonts w:hint="eastAsia" w:ascii="宋体" w:hAnsi="宋体" w:eastAsia="宋体" w:cs="宋体"/>
                <w:snapToGrid w:val="0"/>
                <w:color w:val="000000" w:themeColor="text1"/>
                <w:spacing w:val="-1"/>
                <w:kern w:val="0"/>
                <w:sz w:val="20"/>
                <w:szCs w:val="20"/>
                <w:lang w:eastAsia="zh-CN"/>
                <w14:textFill>
                  <w14:solidFill>
                    <w14:schemeClr w14:val="tx1"/>
                  </w14:solidFill>
                </w14:textFill>
              </w:rPr>
              <w:t>；</w:t>
            </w:r>
          </w:p>
          <w:p w14:paraId="459009C9">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leftChars="0" w:right="176" w:rightChars="0" w:firstLine="13" w:firstLineChars="0"/>
              <w:jc w:val="left"/>
              <w:textAlignment w:val="baseline"/>
              <w:rPr>
                <w:rFonts w:hint="eastAsia" w:ascii="宋体" w:hAnsi="宋体" w:eastAsia="宋体" w:cs="宋体"/>
                <w:snapToGrid w:val="0"/>
                <w:color w:val="000000" w:themeColor="text1"/>
                <w:spacing w:val="-1"/>
                <w:kern w:val="0"/>
                <w:sz w:val="20"/>
                <w:szCs w:val="20"/>
                <w:lang w:eastAsia="zh-CN"/>
                <w14:textFill>
                  <w14:solidFill>
                    <w14:schemeClr w14:val="tx1"/>
                  </w14:solidFill>
                </w14:textFill>
              </w:rPr>
            </w:pP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供应商</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拟派出</w:t>
            </w: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的</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服务人员不完整存在明显缺陷的得</w:t>
            </w: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2</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分</w:t>
            </w:r>
            <w:r>
              <w:rPr>
                <w:rFonts w:hint="eastAsia" w:ascii="宋体" w:hAnsi="宋体" w:eastAsia="宋体" w:cs="宋体"/>
                <w:snapToGrid w:val="0"/>
                <w:color w:val="000000" w:themeColor="text1"/>
                <w:spacing w:val="-1"/>
                <w:kern w:val="0"/>
                <w:sz w:val="20"/>
                <w:szCs w:val="20"/>
                <w:lang w:eastAsia="zh-CN"/>
                <w14:textFill>
                  <w14:solidFill>
                    <w14:schemeClr w14:val="tx1"/>
                  </w14:solidFill>
                </w14:textFill>
              </w:rPr>
              <w:t>；</w:t>
            </w:r>
          </w:p>
          <w:p w14:paraId="2579E606">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right="176" w:firstLine="13"/>
              <w:jc w:val="left"/>
              <w:textAlignment w:val="baseline"/>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pP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未提供应相关内容的得0分。</w:t>
            </w:r>
          </w:p>
        </w:tc>
      </w:tr>
      <w:tr w14:paraId="39739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02" w:type="dxa"/>
            <w:vMerge w:val="continue"/>
            <w:vAlign w:val="center"/>
          </w:tcPr>
          <w:p w14:paraId="5FE8BDFD">
            <w:pPr>
              <w:keepNext w:val="0"/>
              <w:keepLines w:val="0"/>
              <w:pageBreakBefore w:val="0"/>
              <w:widowControl/>
              <w:kinsoku/>
              <w:wordWrap/>
              <w:overflowPunct/>
              <w:topLinePunct w:val="0"/>
              <w:autoSpaceDE w:val="0"/>
              <w:autoSpaceDN w:val="0"/>
              <w:bidi w:val="0"/>
              <w:adjustRightInd w:val="0"/>
              <w:snapToGrid w:val="0"/>
              <w:spacing w:before="137" w:after="160" w:line="360" w:lineRule="auto"/>
              <w:ind w:right="114"/>
              <w:jc w:val="left"/>
              <w:textAlignment w:val="baseline"/>
              <w:rPr>
                <w:rFonts w:hint="eastAsia" w:ascii="宋体" w:hAnsi="宋体" w:eastAsia="宋体" w:cs="宋体"/>
                <w:b/>
                <w:bCs/>
                <w:snapToGrid w:val="0"/>
                <w:color w:val="000000" w:themeColor="text1"/>
                <w:spacing w:val="1"/>
                <w:kern w:val="0"/>
                <w:sz w:val="20"/>
                <w:szCs w:val="20"/>
                <w:lang w:val="zh-CN" w:eastAsia="en-US"/>
                <w14:textFill>
                  <w14:solidFill>
                    <w14:schemeClr w14:val="tx1"/>
                  </w14:solidFill>
                </w14:textFill>
              </w:rPr>
            </w:pPr>
          </w:p>
        </w:tc>
        <w:tc>
          <w:tcPr>
            <w:tcW w:w="912" w:type="dxa"/>
            <w:vAlign w:val="center"/>
          </w:tcPr>
          <w:p w14:paraId="295EA375">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right="176" w:firstLine="13"/>
              <w:jc w:val="center"/>
              <w:textAlignment w:val="baseline"/>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pP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突发事件</w:t>
            </w:r>
          </w:p>
        </w:tc>
        <w:tc>
          <w:tcPr>
            <w:tcW w:w="1219" w:type="dxa"/>
            <w:vAlign w:val="center"/>
          </w:tcPr>
          <w:p w14:paraId="37257DFD">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right="176" w:firstLine="13"/>
              <w:jc w:val="center"/>
              <w:textAlignment w:val="baseline"/>
              <w:rPr>
                <w:rFonts w:hint="eastAsia" w:ascii="宋体" w:hAnsi="宋体" w:eastAsia="宋体" w:cs="宋体"/>
                <w:snapToGrid w:val="0"/>
                <w:color w:val="000000" w:themeColor="text1"/>
                <w:spacing w:val="-1"/>
                <w:kern w:val="0"/>
                <w:sz w:val="20"/>
                <w:szCs w:val="20"/>
                <w:highlight w:val="none"/>
                <w:lang w:eastAsia="zh-CN"/>
                <w14:textFill>
                  <w14:solidFill>
                    <w14:schemeClr w14:val="tx1"/>
                  </w14:solidFill>
                </w14:textFill>
              </w:rPr>
            </w:pPr>
            <w:r>
              <w:rPr>
                <w:rFonts w:hint="eastAsia" w:ascii="宋体" w:hAnsi="宋体" w:eastAsia="宋体" w:cs="宋体"/>
                <w:snapToGrid w:val="0"/>
                <w:color w:val="000000" w:themeColor="text1"/>
                <w:spacing w:val="-1"/>
                <w:kern w:val="0"/>
                <w:sz w:val="20"/>
                <w:szCs w:val="20"/>
                <w:highlight w:val="none"/>
                <w:lang w:eastAsia="en-US"/>
                <w14:textFill>
                  <w14:solidFill>
                    <w14:schemeClr w14:val="tx1"/>
                  </w14:solidFill>
                </w14:textFill>
              </w:rPr>
              <w:t>突发事件</w:t>
            </w: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应急预案及处置</w:t>
            </w:r>
            <w:r>
              <w:rPr>
                <w:rFonts w:hint="eastAsia" w:ascii="宋体" w:hAnsi="宋体" w:eastAsia="宋体" w:cs="宋体"/>
                <w:snapToGrid w:val="0"/>
                <w:color w:val="000000" w:themeColor="text1"/>
                <w:spacing w:val="-1"/>
                <w:kern w:val="0"/>
                <w:sz w:val="20"/>
                <w:szCs w:val="20"/>
                <w:highlight w:val="none"/>
                <w:lang w:eastAsia="en-US"/>
                <w14:textFill>
                  <w14:solidFill>
                    <w14:schemeClr w14:val="tx1"/>
                  </w14:solidFill>
                </w14:textFill>
              </w:rPr>
              <w:t>方案</w:t>
            </w:r>
            <w:r>
              <w:rPr>
                <w:rFonts w:hint="eastAsia" w:ascii="宋体" w:hAnsi="宋体" w:eastAsia="宋体" w:cs="宋体"/>
                <w:snapToGrid w:val="0"/>
                <w:color w:val="000000" w:themeColor="text1"/>
                <w:spacing w:val="-1"/>
                <w:kern w:val="0"/>
                <w:sz w:val="20"/>
                <w:szCs w:val="20"/>
                <w:highlight w:val="none"/>
                <w:lang w:eastAsia="zh-CN"/>
                <w14:textFill>
                  <w14:solidFill>
                    <w14:schemeClr w14:val="tx1"/>
                  </w14:solidFill>
                </w14:textFill>
              </w:rPr>
              <w:t>（</w:t>
            </w: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5分</w:t>
            </w:r>
            <w:r>
              <w:rPr>
                <w:rFonts w:hint="eastAsia" w:ascii="宋体" w:hAnsi="宋体" w:eastAsia="宋体" w:cs="宋体"/>
                <w:snapToGrid w:val="0"/>
                <w:color w:val="000000" w:themeColor="text1"/>
                <w:spacing w:val="-1"/>
                <w:kern w:val="0"/>
                <w:sz w:val="20"/>
                <w:szCs w:val="20"/>
                <w:highlight w:val="none"/>
                <w:lang w:eastAsia="zh-CN"/>
                <w14:textFill>
                  <w14:solidFill>
                    <w14:schemeClr w14:val="tx1"/>
                  </w14:solidFill>
                </w14:textFill>
              </w:rPr>
              <w:t>）</w:t>
            </w:r>
          </w:p>
        </w:tc>
        <w:tc>
          <w:tcPr>
            <w:tcW w:w="6300" w:type="dxa"/>
            <w:vAlign w:val="center"/>
          </w:tcPr>
          <w:p w14:paraId="26189EDB">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right="176" w:firstLine="13"/>
              <w:jc w:val="both"/>
              <w:textAlignment w:val="baseline"/>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pP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对所有</w:t>
            </w: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供应商</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的</w:t>
            </w: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突发事件应急预案及处置方案</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进行比较和评价。</w:t>
            </w:r>
          </w:p>
          <w:p w14:paraId="32F2D603">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leftChars="0" w:right="176" w:rightChars="0" w:firstLine="13" w:firstLineChars="0"/>
              <w:jc w:val="left"/>
              <w:textAlignment w:val="baseline"/>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1"/>
                <w:kern w:val="0"/>
                <w:sz w:val="20"/>
                <w:szCs w:val="20"/>
                <w:highlight w:val="none"/>
                <w:lang w:eastAsia="en-US"/>
                <w14:textFill>
                  <w14:solidFill>
                    <w14:schemeClr w14:val="tx1"/>
                  </w14:solidFill>
                </w14:textFill>
              </w:rPr>
              <w:t>突发事件应急</w:t>
            </w: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预案及处置方案应该风险评估到位，体系健全，符合法律法规，处置流程科学、操作性，保障体系坚实，培训演练实效性强，外部联动顺畅。</w:t>
            </w:r>
          </w:p>
          <w:p w14:paraId="0861FF8C">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leftChars="0" w:right="176" w:rightChars="0" w:firstLine="13" w:firstLineChars="0"/>
              <w:jc w:val="left"/>
              <w:textAlignment w:val="baseline"/>
              <w:rPr>
                <w:rFonts w:hint="eastAsia" w:ascii="宋体" w:hAnsi="宋体" w:eastAsia="宋体" w:cs="宋体"/>
                <w:snapToGrid w:val="0"/>
                <w:color w:val="000000" w:themeColor="text1"/>
                <w:spacing w:val="-1"/>
                <w:kern w:val="0"/>
                <w:sz w:val="20"/>
                <w:szCs w:val="20"/>
                <w:lang w:eastAsia="zh-CN"/>
                <w14:textFill>
                  <w14:solidFill>
                    <w14:schemeClr w14:val="tx1"/>
                  </w14:solidFill>
                </w14:textFill>
              </w:rPr>
            </w:pP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供应商提供的</w:t>
            </w:r>
            <w:r>
              <w:rPr>
                <w:rFonts w:hint="eastAsia" w:ascii="宋体" w:hAnsi="宋体" w:eastAsia="宋体" w:cs="宋体"/>
                <w:snapToGrid w:val="0"/>
                <w:color w:val="000000" w:themeColor="text1"/>
                <w:spacing w:val="-1"/>
                <w:kern w:val="0"/>
                <w:sz w:val="20"/>
                <w:szCs w:val="20"/>
                <w:highlight w:val="none"/>
                <w:lang w:eastAsia="en-US"/>
                <w14:textFill>
                  <w14:solidFill>
                    <w14:schemeClr w14:val="tx1"/>
                  </w14:solidFill>
                </w14:textFill>
              </w:rPr>
              <w:t>突发事件</w:t>
            </w: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应急预案及处置</w:t>
            </w:r>
            <w:r>
              <w:rPr>
                <w:rFonts w:hint="eastAsia" w:ascii="宋体" w:hAnsi="宋体" w:eastAsia="宋体" w:cs="宋体"/>
                <w:snapToGrid w:val="0"/>
                <w:color w:val="000000" w:themeColor="text1"/>
                <w:spacing w:val="-1"/>
                <w:kern w:val="0"/>
                <w:sz w:val="20"/>
                <w:szCs w:val="20"/>
                <w:highlight w:val="none"/>
                <w:lang w:eastAsia="en-US"/>
                <w14:textFill>
                  <w14:solidFill>
                    <w14:schemeClr w14:val="tx1"/>
                  </w14:solidFill>
                </w14:textFill>
              </w:rPr>
              <w:t>方案</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论述详细,完全贴合采购需求的得</w:t>
            </w: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5</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分</w:t>
            </w:r>
            <w:r>
              <w:rPr>
                <w:rFonts w:hint="eastAsia" w:ascii="宋体" w:hAnsi="宋体" w:eastAsia="宋体" w:cs="宋体"/>
                <w:snapToGrid w:val="0"/>
                <w:color w:val="000000" w:themeColor="text1"/>
                <w:spacing w:val="-1"/>
                <w:kern w:val="0"/>
                <w:sz w:val="20"/>
                <w:szCs w:val="20"/>
                <w:lang w:eastAsia="zh-CN"/>
                <w14:textFill>
                  <w14:solidFill>
                    <w14:schemeClr w14:val="tx1"/>
                  </w14:solidFill>
                </w14:textFill>
              </w:rPr>
              <w:t>；</w:t>
            </w:r>
          </w:p>
          <w:p w14:paraId="3F0BFC1B">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leftChars="0" w:right="176" w:rightChars="0" w:firstLine="13" w:firstLineChars="0"/>
              <w:jc w:val="left"/>
              <w:textAlignment w:val="baseline"/>
              <w:rPr>
                <w:rFonts w:hint="eastAsia" w:ascii="宋体" w:hAnsi="宋体" w:eastAsia="宋体" w:cs="宋体"/>
                <w:snapToGrid w:val="0"/>
                <w:color w:val="000000" w:themeColor="text1"/>
                <w:spacing w:val="-1"/>
                <w:kern w:val="0"/>
                <w:sz w:val="20"/>
                <w:szCs w:val="20"/>
                <w:lang w:eastAsia="zh-CN"/>
                <w14:textFill>
                  <w14:solidFill>
                    <w14:schemeClr w14:val="tx1"/>
                  </w14:solidFill>
                </w14:textFill>
              </w:rPr>
            </w:pP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供应商提供的</w:t>
            </w:r>
            <w:r>
              <w:rPr>
                <w:rFonts w:hint="eastAsia" w:ascii="宋体" w:hAnsi="宋体" w:eastAsia="宋体" w:cs="宋体"/>
                <w:snapToGrid w:val="0"/>
                <w:color w:val="000000" w:themeColor="text1"/>
                <w:spacing w:val="-1"/>
                <w:kern w:val="0"/>
                <w:sz w:val="20"/>
                <w:szCs w:val="20"/>
                <w:highlight w:val="none"/>
                <w:lang w:eastAsia="en-US"/>
                <w14:textFill>
                  <w14:solidFill>
                    <w14:schemeClr w14:val="tx1"/>
                  </w14:solidFill>
                </w14:textFill>
              </w:rPr>
              <w:t>突发事件</w:t>
            </w: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应急预案及处置</w:t>
            </w:r>
            <w:r>
              <w:rPr>
                <w:rFonts w:hint="eastAsia" w:ascii="宋体" w:hAnsi="宋体" w:eastAsia="宋体" w:cs="宋体"/>
                <w:snapToGrid w:val="0"/>
                <w:color w:val="000000" w:themeColor="text1"/>
                <w:spacing w:val="-1"/>
                <w:kern w:val="0"/>
                <w:sz w:val="20"/>
                <w:szCs w:val="20"/>
                <w:highlight w:val="none"/>
                <w:lang w:eastAsia="en-US"/>
                <w14:textFill>
                  <w14:solidFill>
                    <w14:schemeClr w14:val="tx1"/>
                  </w14:solidFill>
                </w14:textFill>
              </w:rPr>
              <w:t>方案</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虽阐述但未贴合采购需求进行论述,或内容未包括具体细节的得</w:t>
            </w: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3</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分</w:t>
            </w:r>
            <w:r>
              <w:rPr>
                <w:rFonts w:hint="eastAsia" w:ascii="宋体" w:hAnsi="宋体" w:eastAsia="宋体" w:cs="宋体"/>
                <w:snapToGrid w:val="0"/>
                <w:color w:val="000000" w:themeColor="text1"/>
                <w:spacing w:val="-1"/>
                <w:kern w:val="0"/>
                <w:sz w:val="20"/>
                <w:szCs w:val="20"/>
                <w:lang w:eastAsia="zh-CN"/>
                <w14:textFill>
                  <w14:solidFill>
                    <w14:schemeClr w14:val="tx1"/>
                  </w14:solidFill>
                </w14:textFill>
              </w:rPr>
              <w:t>；</w:t>
            </w:r>
          </w:p>
          <w:p w14:paraId="6914DE77">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leftChars="0" w:right="176" w:rightChars="0" w:firstLine="13" w:firstLineChars="0"/>
              <w:jc w:val="left"/>
              <w:textAlignment w:val="baseline"/>
              <w:rPr>
                <w:rFonts w:hint="eastAsia" w:ascii="宋体" w:hAnsi="宋体" w:eastAsia="宋体" w:cs="宋体"/>
                <w:snapToGrid w:val="0"/>
                <w:color w:val="000000" w:themeColor="text1"/>
                <w:spacing w:val="-1"/>
                <w:kern w:val="0"/>
                <w:sz w:val="20"/>
                <w:szCs w:val="20"/>
                <w:lang w:eastAsia="zh-CN"/>
                <w14:textFill>
                  <w14:solidFill>
                    <w14:schemeClr w14:val="tx1"/>
                  </w14:solidFill>
                </w14:textFill>
              </w:rPr>
            </w:pP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供应商提供的</w:t>
            </w:r>
            <w:r>
              <w:rPr>
                <w:rFonts w:hint="eastAsia" w:ascii="宋体" w:hAnsi="宋体" w:eastAsia="宋体" w:cs="宋体"/>
                <w:snapToGrid w:val="0"/>
                <w:color w:val="000000" w:themeColor="text1"/>
                <w:spacing w:val="-1"/>
                <w:kern w:val="0"/>
                <w:sz w:val="20"/>
                <w:szCs w:val="20"/>
                <w:highlight w:val="none"/>
                <w:lang w:eastAsia="en-US"/>
                <w14:textFill>
                  <w14:solidFill>
                    <w14:schemeClr w14:val="tx1"/>
                  </w14:solidFill>
                </w14:textFill>
              </w:rPr>
              <w:t>突发事件</w:t>
            </w: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应急预案及处置</w:t>
            </w:r>
            <w:r>
              <w:rPr>
                <w:rFonts w:hint="eastAsia" w:ascii="宋体" w:hAnsi="宋体" w:eastAsia="宋体" w:cs="宋体"/>
                <w:snapToGrid w:val="0"/>
                <w:color w:val="000000" w:themeColor="text1"/>
                <w:spacing w:val="-1"/>
                <w:kern w:val="0"/>
                <w:sz w:val="20"/>
                <w:szCs w:val="20"/>
                <w:highlight w:val="none"/>
                <w:lang w:eastAsia="en-US"/>
                <w14:textFill>
                  <w14:solidFill>
                    <w14:schemeClr w14:val="tx1"/>
                  </w14:solidFill>
                </w14:textFill>
              </w:rPr>
              <w:t>方案</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不完整存在明显缺陷的得</w:t>
            </w: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2</w:t>
            </w: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分</w:t>
            </w:r>
            <w:r>
              <w:rPr>
                <w:rFonts w:hint="eastAsia" w:ascii="宋体" w:hAnsi="宋体" w:eastAsia="宋体" w:cs="宋体"/>
                <w:snapToGrid w:val="0"/>
                <w:color w:val="000000" w:themeColor="text1"/>
                <w:spacing w:val="-1"/>
                <w:kern w:val="0"/>
                <w:sz w:val="20"/>
                <w:szCs w:val="20"/>
                <w:lang w:eastAsia="zh-CN"/>
                <w14:textFill>
                  <w14:solidFill>
                    <w14:schemeClr w14:val="tx1"/>
                  </w14:solidFill>
                </w14:textFill>
              </w:rPr>
              <w:t>；</w:t>
            </w:r>
          </w:p>
          <w:p w14:paraId="74CA4ECA">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right="176" w:firstLine="13"/>
              <w:jc w:val="left"/>
              <w:textAlignment w:val="baseline"/>
              <w:rPr>
                <w:rFonts w:hint="eastAsia" w:ascii="宋体" w:hAnsi="宋体" w:eastAsia="宋体" w:cs="宋体"/>
                <w:snapToGrid w:val="0"/>
                <w:color w:val="000000" w:themeColor="text1"/>
                <w:spacing w:val="-1"/>
                <w:kern w:val="0"/>
                <w:sz w:val="20"/>
                <w:szCs w:val="20"/>
                <w:highlight w:val="none"/>
                <w:lang w:eastAsia="en-US"/>
                <w14:textFill>
                  <w14:solidFill>
                    <w14:schemeClr w14:val="tx1"/>
                  </w14:solidFill>
                </w14:textFill>
              </w:rPr>
            </w:pPr>
            <w:r>
              <w:rPr>
                <w:rFonts w:hint="eastAsia" w:ascii="宋体" w:hAnsi="宋体" w:eastAsia="宋体" w:cs="宋体"/>
                <w:snapToGrid w:val="0"/>
                <w:color w:val="000000" w:themeColor="text1"/>
                <w:spacing w:val="-1"/>
                <w:kern w:val="0"/>
                <w:sz w:val="20"/>
                <w:szCs w:val="20"/>
                <w:lang w:eastAsia="en-US"/>
                <w14:textFill>
                  <w14:solidFill>
                    <w14:schemeClr w14:val="tx1"/>
                  </w14:solidFill>
                </w14:textFill>
              </w:rPr>
              <w:t>未提供应相关内容的得0分。</w:t>
            </w:r>
          </w:p>
        </w:tc>
      </w:tr>
      <w:tr w14:paraId="0BA21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714" w:type="dxa"/>
            <w:gridSpan w:val="2"/>
            <w:vMerge w:val="restart"/>
            <w:vAlign w:val="center"/>
          </w:tcPr>
          <w:p w14:paraId="6E12337A">
            <w:pPr>
              <w:keepNext w:val="0"/>
              <w:keepLines w:val="0"/>
              <w:pageBreakBefore w:val="0"/>
              <w:widowControl/>
              <w:kinsoku/>
              <w:wordWrap/>
              <w:overflowPunct/>
              <w:topLinePunct w:val="0"/>
              <w:autoSpaceDE w:val="0"/>
              <w:autoSpaceDN w:val="0"/>
              <w:bidi w:val="0"/>
              <w:adjustRightInd w:val="0"/>
              <w:snapToGrid w:val="0"/>
              <w:spacing w:after="160" w:line="360" w:lineRule="auto"/>
              <w:jc w:val="center"/>
              <w:textAlignment w:val="baseline"/>
              <w:rPr>
                <w:rFonts w:hint="eastAsia" w:ascii="宋体" w:hAnsi="宋体" w:eastAsia="宋体" w:cs="宋体"/>
                <w:snapToGrid w:val="0"/>
                <w:color w:val="000000" w:themeColor="text1"/>
                <w:kern w:val="0"/>
                <w:sz w:val="20"/>
                <w:szCs w:val="20"/>
                <w:highlight w:val="none"/>
                <w:lang w:eastAsia="en-US"/>
                <w14:textFill>
                  <w14:solidFill>
                    <w14:schemeClr w14:val="tx1"/>
                  </w14:solidFill>
                </w14:textFill>
              </w:rPr>
            </w:pPr>
            <w:r>
              <w:rPr>
                <w:rFonts w:hint="eastAsia" w:ascii="宋体" w:hAnsi="宋体" w:eastAsia="宋体" w:cs="宋体"/>
                <w:snapToGrid w:val="0"/>
                <w:color w:val="000000" w:themeColor="text1"/>
                <w:kern w:val="0"/>
                <w:sz w:val="20"/>
                <w:szCs w:val="20"/>
                <w:highlight w:val="none"/>
                <w:lang w:val="en-US" w:eastAsia="zh-CN"/>
                <w14:textFill>
                  <w14:solidFill>
                    <w14:schemeClr w14:val="tx1"/>
                  </w14:solidFill>
                </w14:textFill>
              </w:rPr>
              <w:t>综合</w:t>
            </w:r>
            <w:r>
              <w:rPr>
                <w:rFonts w:hint="eastAsia" w:ascii="宋体" w:hAnsi="宋体" w:eastAsia="宋体" w:cs="宋体"/>
                <w:snapToGrid w:val="0"/>
                <w:color w:val="000000" w:themeColor="text1"/>
                <w:kern w:val="0"/>
                <w:sz w:val="20"/>
                <w:szCs w:val="20"/>
                <w:highlight w:val="none"/>
                <w:lang w:val="zh-CN" w:eastAsia="en-US"/>
                <w14:textFill>
                  <w14:solidFill>
                    <w14:schemeClr w14:val="tx1"/>
                  </w14:solidFill>
                </w14:textFill>
              </w:rPr>
              <w:t>部分</w:t>
            </w:r>
          </w:p>
          <w:p w14:paraId="6C977FCE">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right="176" w:firstLine="13"/>
              <w:jc w:val="center"/>
              <w:textAlignment w:val="baseline"/>
              <w:rPr>
                <w:rFonts w:hint="eastAsia" w:ascii="宋体" w:hAnsi="宋体" w:eastAsia="宋体" w:cs="宋体"/>
                <w:snapToGrid w:val="0"/>
                <w:color w:val="000000" w:themeColor="text1"/>
                <w:kern w:val="0"/>
                <w:sz w:val="20"/>
                <w:szCs w:val="20"/>
                <w:highlight w:val="none"/>
                <w:lang w:eastAsia="en-US"/>
                <w14:textFill>
                  <w14:solidFill>
                    <w14:schemeClr w14:val="tx1"/>
                  </w14:solidFill>
                </w14:textFill>
              </w:rPr>
            </w:pPr>
            <w:r>
              <w:rPr>
                <w:rFonts w:hint="eastAsia" w:ascii="宋体" w:hAnsi="宋体" w:eastAsia="宋体" w:cs="宋体"/>
                <w:snapToGrid w:val="0"/>
                <w:color w:val="000000" w:themeColor="text1"/>
                <w:kern w:val="0"/>
                <w:sz w:val="20"/>
                <w:szCs w:val="20"/>
                <w:highlight w:val="none"/>
                <w:lang w:eastAsia="en-US"/>
                <w14:textFill>
                  <w14:solidFill>
                    <w14:schemeClr w14:val="tx1"/>
                  </w14:solidFill>
                </w14:textFill>
              </w:rPr>
              <w:t>（</w:t>
            </w:r>
            <w:r>
              <w:rPr>
                <w:rFonts w:hint="eastAsia" w:ascii="宋体" w:hAnsi="宋体" w:eastAsia="宋体" w:cs="宋体"/>
                <w:snapToGrid w:val="0"/>
                <w:color w:val="000000" w:themeColor="text1"/>
                <w:kern w:val="0"/>
                <w:sz w:val="20"/>
                <w:szCs w:val="20"/>
                <w:highlight w:val="none"/>
                <w:lang w:val="en-US" w:eastAsia="zh-CN"/>
                <w14:textFill>
                  <w14:solidFill>
                    <w14:schemeClr w14:val="tx1"/>
                  </w14:solidFill>
                </w14:textFill>
              </w:rPr>
              <w:t>35</w:t>
            </w:r>
            <w:r>
              <w:rPr>
                <w:rFonts w:hint="eastAsia" w:ascii="宋体" w:hAnsi="宋体" w:eastAsia="宋体" w:cs="宋体"/>
                <w:snapToGrid w:val="0"/>
                <w:color w:val="000000" w:themeColor="text1"/>
                <w:kern w:val="0"/>
                <w:sz w:val="20"/>
                <w:szCs w:val="20"/>
                <w:highlight w:val="none"/>
                <w:lang w:val="zh-CN" w:eastAsia="en-US"/>
                <w14:textFill>
                  <w14:solidFill>
                    <w14:schemeClr w14:val="tx1"/>
                  </w14:solidFill>
                </w14:textFill>
              </w:rPr>
              <w:t>分</w:t>
            </w:r>
            <w:r>
              <w:rPr>
                <w:rFonts w:hint="eastAsia" w:ascii="宋体" w:hAnsi="宋体" w:eastAsia="宋体" w:cs="宋体"/>
                <w:snapToGrid w:val="0"/>
                <w:color w:val="000000" w:themeColor="text1"/>
                <w:kern w:val="0"/>
                <w:sz w:val="20"/>
                <w:szCs w:val="20"/>
                <w:highlight w:val="none"/>
                <w:lang w:eastAsia="en-US"/>
                <w14:textFill>
                  <w14:solidFill>
                    <w14:schemeClr w14:val="tx1"/>
                  </w14:solidFill>
                </w14:textFill>
              </w:rPr>
              <w:t>）</w:t>
            </w:r>
          </w:p>
        </w:tc>
        <w:tc>
          <w:tcPr>
            <w:tcW w:w="1219" w:type="dxa"/>
            <w:vAlign w:val="center"/>
          </w:tcPr>
          <w:p w14:paraId="52EBC5AD">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right="176" w:firstLine="13"/>
              <w:jc w:val="center"/>
              <w:textAlignment w:val="baseline"/>
              <w:rPr>
                <w:rFonts w:hint="eastAsia" w:ascii="宋体" w:hAnsi="宋体" w:eastAsia="宋体" w:cs="宋体"/>
                <w:snapToGrid w:val="0"/>
                <w:color w:val="000000" w:themeColor="text1"/>
                <w:spacing w:val="-1"/>
                <w:kern w:val="0"/>
                <w:sz w:val="20"/>
                <w:szCs w:val="20"/>
                <w:highlight w:val="none"/>
                <w:lang w:eastAsia="en-US"/>
                <w14:textFill>
                  <w14:solidFill>
                    <w14:schemeClr w14:val="tx1"/>
                  </w14:solidFill>
                </w14:textFill>
              </w:rPr>
            </w:pPr>
            <w:r>
              <w:rPr>
                <w:rFonts w:hint="eastAsia" w:ascii="宋体" w:hAnsi="宋体" w:eastAsia="宋体" w:cs="宋体"/>
                <w:snapToGrid w:val="0"/>
                <w:color w:val="000000" w:themeColor="text1"/>
                <w:kern w:val="0"/>
                <w:sz w:val="20"/>
                <w:szCs w:val="20"/>
                <w:highlight w:val="none"/>
                <w:lang w:eastAsia="en-US"/>
                <w14:textFill>
                  <w14:solidFill>
                    <w14:schemeClr w14:val="tx1"/>
                  </w14:solidFill>
                </w14:textFill>
              </w:rPr>
              <w:t>业绩</w:t>
            </w:r>
            <w:r>
              <w:rPr>
                <w:rFonts w:hint="eastAsia" w:ascii="宋体" w:hAnsi="宋体" w:eastAsia="宋体" w:cs="宋体"/>
                <w:snapToGrid w:val="0"/>
                <w:color w:val="000000" w:themeColor="text1"/>
                <w:kern w:val="0"/>
                <w:sz w:val="20"/>
                <w:szCs w:val="20"/>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0"/>
                <w:szCs w:val="20"/>
                <w:highlight w:val="none"/>
                <w:lang w:val="en-US" w:eastAsia="zh-CN"/>
                <w14:textFill>
                  <w14:solidFill>
                    <w14:schemeClr w14:val="tx1"/>
                  </w14:solidFill>
                </w14:textFill>
              </w:rPr>
              <w:t>30分</w:t>
            </w:r>
            <w:r>
              <w:rPr>
                <w:rFonts w:hint="eastAsia" w:ascii="宋体" w:hAnsi="宋体" w:eastAsia="宋体" w:cs="宋体"/>
                <w:snapToGrid w:val="0"/>
                <w:color w:val="000000" w:themeColor="text1"/>
                <w:kern w:val="0"/>
                <w:sz w:val="20"/>
                <w:szCs w:val="20"/>
                <w:highlight w:val="none"/>
                <w:lang w:eastAsia="zh-CN"/>
                <w14:textFill>
                  <w14:solidFill>
                    <w14:schemeClr w14:val="tx1"/>
                  </w14:solidFill>
                </w14:textFill>
              </w:rPr>
              <w:t>）</w:t>
            </w:r>
          </w:p>
        </w:tc>
        <w:tc>
          <w:tcPr>
            <w:tcW w:w="6300" w:type="dxa"/>
            <w:vAlign w:val="center"/>
          </w:tcPr>
          <w:p w14:paraId="5742C709">
            <w:pPr>
              <w:keepNext w:val="0"/>
              <w:keepLines w:val="0"/>
              <w:pageBreakBefore w:val="0"/>
              <w:widowControl/>
              <w:kinsoku/>
              <w:wordWrap/>
              <w:overflowPunct/>
              <w:topLinePunct w:val="0"/>
              <w:autoSpaceDE w:val="0"/>
              <w:autoSpaceDN w:val="0"/>
              <w:bidi w:val="0"/>
              <w:adjustRightInd w:val="0"/>
              <w:snapToGrid w:val="0"/>
              <w:spacing w:before="128" w:after="160" w:line="240" w:lineRule="auto"/>
              <w:ind w:left="111" w:leftChars="0" w:right="176" w:rightChars="0" w:firstLine="13" w:firstLineChars="0"/>
              <w:jc w:val="left"/>
              <w:textAlignment w:val="baseline"/>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1"/>
                <w:kern w:val="0"/>
                <w:sz w:val="20"/>
                <w:szCs w:val="20"/>
                <w:highlight w:val="none"/>
                <w:lang w:eastAsia="en-US"/>
                <w14:textFill>
                  <w14:solidFill>
                    <w14:schemeClr w14:val="tx1"/>
                  </w14:solidFill>
                </w14:textFill>
              </w:rPr>
              <w:t>对所有</w:t>
            </w: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供应商</w:t>
            </w:r>
            <w:r>
              <w:rPr>
                <w:rFonts w:hint="eastAsia" w:ascii="宋体" w:hAnsi="宋体" w:eastAsia="宋体" w:cs="宋体"/>
                <w:snapToGrid w:val="0"/>
                <w:color w:val="000000" w:themeColor="text1"/>
                <w:spacing w:val="-1"/>
                <w:kern w:val="0"/>
                <w:sz w:val="20"/>
                <w:szCs w:val="20"/>
                <w:highlight w:val="none"/>
                <w:lang w:eastAsia="en-US"/>
                <w14:textFill>
                  <w14:solidFill>
                    <w14:schemeClr w14:val="tx1"/>
                  </w14:solidFill>
                </w14:textFill>
              </w:rPr>
              <w:t>的</w:t>
            </w: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业绩</w:t>
            </w:r>
            <w:r>
              <w:rPr>
                <w:rFonts w:hint="eastAsia" w:ascii="宋体" w:hAnsi="宋体" w:eastAsia="宋体" w:cs="宋体"/>
                <w:snapToGrid w:val="0"/>
                <w:color w:val="000000" w:themeColor="text1"/>
                <w:spacing w:val="-1"/>
                <w:kern w:val="0"/>
                <w:sz w:val="20"/>
                <w:szCs w:val="20"/>
                <w:highlight w:val="none"/>
                <w:lang w:eastAsia="en-US"/>
                <w14:textFill>
                  <w14:solidFill>
                    <w14:schemeClr w14:val="tx1"/>
                  </w14:solidFill>
                </w14:textFill>
              </w:rPr>
              <w:t>进行比较和评价。</w:t>
            </w:r>
          </w:p>
          <w:p w14:paraId="5E63A9CA">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leftChars="0" w:right="176" w:rightChars="0" w:firstLine="13" w:firstLineChars="0"/>
              <w:jc w:val="left"/>
              <w:textAlignment w:val="baseline"/>
              <w:rPr>
                <w:rFonts w:hint="eastAsia" w:ascii="宋体" w:hAnsi="宋体" w:eastAsia="宋体" w:cs="宋体"/>
                <w:snapToGrid w:val="0"/>
                <w:color w:val="000000" w:themeColor="text1"/>
                <w:spacing w:val="-1"/>
                <w:kern w:val="0"/>
                <w:sz w:val="20"/>
                <w:szCs w:val="20"/>
                <w:highlight w:val="none"/>
                <w:lang w:eastAsia="en-US"/>
                <w14:textFill>
                  <w14:solidFill>
                    <w14:schemeClr w14:val="tx1"/>
                  </w14:solidFill>
                </w14:textFill>
              </w:rPr>
            </w:pP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此项目评审旨在通过对供应商过往成功的案例进行考察，评估其对本项目实施难点的把控能力、项目实施的成熟度以及保证服务质量的可靠性。业绩是保障项目高质量交付、规避实施风险的重要依据。供应商应</w:t>
            </w:r>
            <w:r>
              <w:rPr>
                <w:rFonts w:hint="eastAsia" w:ascii="宋体" w:hAnsi="宋体" w:eastAsia="宋体" w:cs="宋体"/>
                <w:snapToGrid w:val="0"/>
                <w:color w:val="000000" w:themeColor="text1"/>
                <w:spacing w:val="-1"/>
                <w:kern w:val="0"/>
                <w:sz w:val="20"/>
                <w:szCs w:val="20"/>
                <w:highlight w:val="none"/>
                <w:lang w:eastAsia="en-US"/>
                <w14:textFill>
                  <w14:solidFill>
                    <w14:schemeClr w14:val="tx1"/>
                  </w14:solidFill>
                </w14:textFill>
              </w:rPr>
              <w:t>提供自2022年1月1日起至今（以合同签订时间为准）学生综合素养提升项目业绩，每提供一份真实有效的项目业绩得5分，最多得30分</w:t>
            </w:r>
            <w:r>
              <w:rPr>
                <w:rFonts w:hint="eastAsia" w:ascii="宋体" w:hAnsi="宋体" w:eastAsia="宋体" w:cs="宋体"/>
                <w:snapToGrid w:val="0"/>
                <w:color w:val="000000" w:themeColor="text1"/>
                <w:spacing w:val="-1"/>
                <w:kern w:val="0"/>
                <w:sz w:val="20"/>
                <w:szCs w:val="20"/>
                <w:highlight w:val="none"/>
                <w:lang w:eastAsia="zh-CN"/>
                <w14:textFill>
                  <w14:solidFill>
                    <w14:schemeClr w14:val="tx1"/>
                  </w14:solidFill>
                </w14:textFill>
              </w:rPr>
              <w:t>。</w:t>
            </w:r>
            <w:r>
              <w:rPr>
                <w:rFonts w:hint="eastAsia" w:ascii="宋体" w:hAnsi="宋体" w:eastAsia="宋体" w:cs="宋体"/>
                <w:snapToGrid w:val="0"/>
                <w:color w:val="000000" w:themeColor="text1"/>
                <w:spacing w:val="-1"/>
                <w:kern w:val="0"/>
                <w:sz w:val="20"/>
                <w:szCs w:val="20"/>
                <w:highlight w:val="none"/>
                <w:lang w:eastAsia="en-US"/>
                <w14:textFill>
                  <w14:solidFill>
                    <w14:schemeClr w14:val="tx1"/>
                  </w14:solidFill>
                </w14:textFill>
              </w:rPr>
              <w:t>每一份业绩需同时提供中标公示</w:t>
            </w: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网址</w:t>
            </w:r>
            <w:r>
              <w:rPr>
                <w:rFonts w:hint="eastAsia" w:ascii="宋体" w:hAnsi="宋体" w:eastAsia="宋体" w:cs="宋体"/>
                <w:snapToGrid w:val="0"/>
                <w:color w:val="000000" w:themeColor="text1"/>
                <w:spacing w:val="-1"/>
                <w:kern w:val="0"/>
                <w:sz w:val="20"/>
                <w:szCs w:val="20"/>
                <w:highlight w:val="none"/>
                <w:lang w:eastAsia="en-US"/>
                <w14:textFill>
                  <w14:solidFill>
                    <w14:schemeClr w14:val="tx1"/>
                  </w14:solidFill>
                </w14:textFill>
              </w:rPr>
              <w:t>链接及截图、中标通知书原件和合同原件的扫描件，未提供或提供不全者不得分；同一采购单位不同年度的业绩不重复计分。</w:t>
            </w:r>
          </w:p>
        </w:tc>
      </w:tr>
      <w:tr w14:paraId="55A7B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714" w:type="dxa"/>
            <w:gridSpan w:val="2"/>
            <w:vMerge w:val="continue"/>
            <w:vAlign w:val="center"/>
          </w:tcPr>
          <w:p w14:paraId="275E3A2B">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right="176" w:firstLine="13"/>
              <w:jc w:val="center"/>
              <w:textAlignment w:val="baseline"/>
              <w:rPr>
                <w:rFonts w:hint="eastAsia" w:ascii="宋体" w:hAnsi="宋体" w:eastAsia="宋体" w:cs="宋体"/>
                <w:snapToGrid w:val="0"/>
                <w:color w:val="000000" w:themeColor="text1"/>
                <w:kern w:val="0"/>
                <w:sz w:val="20"/>
                <w:szCs w:val="20"/>
                <w:highlight w:val="none"/>
                <w:lang w:eastAsia="en-US"/>
                <w14:textFill>
                  <w14:solidFill>
                    <w14:schemeClr w14:val="tx1"/>
                  </w14:solidFill>
                </w14:textFill>
              </w:rPr>
            </w:pPr>
          </w:p>
        </w:tc>
        <w:tc>
          <w:tcPr>
            <w:tcW w:w="1219" w:type="dxa"/>
            <w:vAlign w:val="center"/>
          </w:tcPr>
          <w:p w14:paraId="1C4EAE38">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right="176" w:firstLine="13"/>
              <w:jc w:val="center"/>
              <w:textAlignment w:val="baseline"/>
              <w:rPr>
                <w:rFonts w:hint="eastAsia" w:ascii="宋体" w:hAnsi="宋体" w:eastAsia="宋体" w:cs="宋体"/>
                <w:snapToGrid w:val="0"/>
                <w:color w:val="000000" w:themeColor="text1"/>
                <w:kern w:val="0"/>
                <w:sz w:val="20"/>
                <w:szCs w:val="20"/>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0"/>
                <w:szCs w:val="20"/>
                <w:highlight w:val="none"/>
                <w:lang w:val="en-US" w:eastAsia="zh-CN"/>
                <w14:textFill>
                  <w14:solidFill>
                    <w14:schemeClr w14:val="tx1"/>
                  </w14:solidFill>
                </w14:textFill>
              </w:rPr>
              <w:t>企业实力（5分）</w:t>
            </w:r>
          </w:p>
        </w:tc>
        <w:tc>
          <w:tcPr>
            <w:tcW w:w="6300" w:type="dxa"/>
            <w:vAlign w:val="center"/>
          </w:tcPr>
          <w:p w14:paraId="4BA714C0">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leftChars="0" w:right="176" w:rightChars="0" w:firstLine="13" w:firstLineChars="0"/>
              <w:jc w:val="left"/>
              <w:textAlignment w:val="baseline"/>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供应商提供有关学生综合素养提升系统的计算机软件著作权登记证书，包含但不限于：个人成长追踪、学生领导力的培养、品德发展、心理健康等相关证书。</w:t>
            </w:r>
          </w:p>
          <w:p w14:paraId="6CB73C61">
            <w:pPr>
              <w:keepNext w:val="0"/>
              <w:keepLines w:val="0"/>
              <w:pageBreakBefore w:val="0"/>
              <w:widowControl/>
              <w:kinsoku/>
              <w:wordWrap/>
              <w:overflowPunct/>
              <w:topLinePunct w:val="0"/>
              <w:autoSpaceDE w:val="0"/>
              <w:autoSpaceDN w:val="0"/>
              <w:bidi w:val="0"/>
              <w:adjustRightInd w:val="0"/>
              <w:snapToGrid w:val="0"/>
              <w:spacing w:before="128" w:after="160" w:line="360" w:lineRule="auto"/>
              <w:ind w:left="111" w:leftChars="0" w:right="176" w:rightChars="0" w:firstLine="13" w:firstLineChars="0"/>
              <w:jc w:val="left"/>
              <w:textAlignment w:val="baseline"/>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1"/>
                <w:kern w:val="0"/>
                <w:sz w:val="20"/>
                <w:szCs w:val="20"/>
                <w:highlight w:val="none"/>
                <w:lang w:val="en-US" w:eastAsia="zh-CN"/>
                <w14:textFill>
                  <w14:solidFill>
                    <w14:schemeClr w14:val="tx1"/>
                  </w14:solidFill>
                </w14:textFill>
              </w:rPr>
              <w:t>每提供一份得1分，满分5分。</w:t>
            </w:r>
          </w:p>
        </w:tc>
      </w:tr>
      <w:tr w14:paraId="4BE03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233" w:type="dxa"/>
            <w:gridSpan w:val="4"/>
            <w:vAlign w:val="center"/>
          </w:tcPr>
          <w:p w14:paraId="2159FC05">
            <w:pPr>
              <w:keepNext w:val="0"/>
              <w:keepLines w:val="0"/>
              <w:pageBreakBefore w:val="0"/>
              <w:widowControl/>
              <w:numPr>
                <w:ilvl w:val="0"/>
                <w:numId w:val="0"/>
              </w:numPr>
              <w:kinsoku/>
              <w:wordWrap/>
              <w:overflowPunct/>
              <w:topLinePunct w:val="0"/>
              <w:autoSpaceDE w:val="0"/>
              <w:autoSpaceDN w:val="0"/>
              <w:bidi w:val="0"/>
              <w:adjustRightInd w:val="0"/>
              <w:snapToGrid w:val="0"/>
              <w:spacing w:before="128" w:after="160" w:line="360" w:lineRule="auto"/>
              <w:ind w:right="176" w:rightChars="0"/>
              <w:jc w:val="left"/>
              <w:textAlignment w:val="baseline"/>
              <w:rPr>
                <w:rFonts w:hint="eastAsia" w:ascii="宋体" w:hAnsi="宋体" w:eastAsia="宋体" w:cs="宋体"/>
                <w:snapToGrid w:val="0"/>
                <w:color w:val="000000" w:themeColor="text1"/>
                <w:kern w:val="0"/>
                <w:sz w:val="20"/>
                <w:szCs w:val="20"/>
                <w:lang w:eastAsia="zh-CN"/>
                <w14:textFill>
                  <w14:solidFill>
                    <w14:schemeClr w14:val="tx1"/>
                  </w14:solidFill>
                </w14:textFill>
              </w:rPr>
            </w:pPr>
            <w:r>
              <w:rPr>
                <w:rFonts w:hint="eastAsia" w:ascii="宋体" w:hAnsi="宋体" w:eastAsia="宋体" w:cs="宋体"/>
                <w:color w:val="000000" w:themeColor="text1"/>
                <w:sz w:val="20"/>
                <w:szCs w:val="20"/>
                <w:u w:val="none"/>
                <w14:textFill>
                  <w14:solidFill>
                    <w14:schemeClr w14:val="tx1"/>
                  </w14:solidFill>
                </w14:textFill>
              </w:rPr>
              <w:t>本项目采用综合评标法，不采用最低价中标。评标委员会认为</w:t>
            </w:r>
            <w:r>
              <w:rPr>
                <w:rFonts w:hint="eastAsia" w:ascii="宋体" w:hAnsi="宋体" w:eastAsia="宋体" w:cs="宋体"/>
                <w:snapToGrid w:val="0"/>
                <w:color w:val="000000" w:themeColor="text1"/>
                <w:spacing w:val="-1"/>
                <w:kern w:val="0"/>
                <w:sz w:val="20"/>
                <w:szCs w:val="20"/>
                <w:lang w:val="en-US" w:eastAsia="zh-CN"/>
                <w14:textFill>
                  <w14:solidFill>
                    <w14:schemeClr w14:val="tx1"/>
                  </w14:solidFill>
                </w14:textFill>
              </w:rPr>
              <w:t>供应商</w:t>
            </w:r>
            <w:r>
              <w:rPr>
                <w:rFonts w:hint="eastAsia" w:ascii="宋体" w:hAnsi="宋体" w:eastAsia="宋体" w:cs="宋体"/>
                <w:color w:val="000000" w:themeColor="text1"/>
                <w:sz w:val="20"/>
                <w:szCs w:val="20"/>
                <w:u w:val="none"/>
                <w14:textFill>
                  <w14:solidFill>
                    <w14:schemeClr w14:val="tx1"/>
                  </w14:solidFill>
                </w14:textFill>
              </w:rPr>
              <w:t>的报价明显低于其他通过符合性审查</w:t>
            </w:r>
            <w:r>
              <w:rPr>
                <w:rFonts w:hint="eastAsia" w:ascii="宋体" w:hAnsi="宋体" w:eastAsia="宋体" w:cs="宋体"/>
                <w:color w:val="000000" w:themeColor="text1"/>
                <w:sz w:val="20"/>
                <w:szCs w:val="20"/>
                <w:u w:val="none"/>
                <w:lang w:eastAsia="zh-CN"/>
                <w14:textFill>
                  <w14:solidFill>
                    <w14:schemeClr w14:val="tx1"/>
                  </w14:solidFill>
                </w14:textFill>
              </w:rPr>
              <w:t>供应商</w:t>
            </w:r>
            <w:r>
              <w:rPr>
                <w:rFonts w:hint="eastAsia" w:ascii="宋体" w:hAnsi="宋体" w:eastAsia="宋体" w:cs="宋体"/>
                <w:color w:val="000000" w:themeColor="text1"/>
                <w:sz w:val="20"/>
                <w:szCs w:val="20"/>
                <w:u w:val="none"/>
                <w14:textFill>
                  <w14:solidFill>
                    <w14:schemeClr w14:val="tx1"/>
                  </w14:solidFill>
                </w14:textFill>
              </w:rPr>
              <w:t>的报价，有可能影响服务质量或者不能诚信履约的，应当要求其在评标现场合理的时间内提供书面说明，必要时提交相关证明材料；</w:t>
            </w:r>
            <w:r>
              <w:rPr>
                <w:rFonts w:hint="eastAsia" w:ascii="宋体" w:hAnsi="宋体" w:eastAsia="宋体" w:cs="宋体"/>
                <w:color w:val="000000" w:themeColor="text1"/>
                <w:sz w:val="20"/>
                <w:szCs w:val="20"/>
                <w:u w:val="none"/>
                <w:lang w:val="en-US" w:eastAsia="zh-CN"/>
                <w14:textFill>
                  <w14:solidFill>
                    <w14:schemeClr w14:val="tx1"/>
                  </w14:solidFill>
                </w14:textFill>
              </w:rPr>
              <w:t>供应商</w:t>
            </w:r>
            <w:r>
              <w:rPr>
                <w:rFonts w:hint="eastAsia" w:ascii="宋体" w:hAnsi="宋体" w:eastAsia="宋体" w:cs="宋体"/>
                <w:color w:val="000000" w:themeColor="text1"/>
                <w:sz w:val="20"/>
                <w:szCs w:val="20"/>
                <w:u w:val="none"/>
                <w14:textFill>
                  <w14:solidFill>
                    <w14:schemeClr w14:val="tx1"/>
                  </w14:solidFill>
                </w14:textFill>
              </w:rPr>
              <w:t>不能证明其报价合理性的，评标委员会应当将其作为无效投标处理。</w:t>
            </w:r>
          </w:p>
        </w:tc>
      </w:tr>
    </w:tbl>
    <w:p w14:paraId="24F07C9E">
      <w:pPr>
        <w:keepNext w:val="0"/>
        <w:keepLines w:val="0"/>
        <w:pageBreakBefore w:val="0"/>
        <w:kinsoku/>
        <w:wordWrap/>
        <w:overflowPunct/>
        <w:topLinePunct w:val="0"/>
        <w:bidi w:val="0"/>
        <w:spacing w:before="160" w:line="219" w:lineRule="auto"/>
        <w:ind w:left="3698"/>
        <w:rPr>
          <w:rFonts w:ascii="宋体" w:hAnsi="宋体" w:eastAsia="宋体" w:cs="宋体"/>
          <w:b/>
          <w:bCs/>
          <w:spacing w:val="-4"/>
          <w:sz w:val="24"/>
          <w:szCs w:val="24"/>
        </w:rPr>
      </w:pPr>
    </w:p>
    <w:p w14:paraId="41E9B113">
      <w:pPr>
        <w:keepNext w:val="0"/>
        <w:keepLines w:val="0"/>
        <w:pageBreakBefore w:val="0"/>
        <w:kinsoku/>
        <w:wordWrap/>
        <w:overflowPunct/>
        <w:topLinePunct w:val="0"/>
        <w:bidi w:val="0"/>
        <w:spacing w:line="73" w:lineRule="exact"/>
      </w:pPr>
    </w:p>
    <w:p w14:paraId="66173B01">
      <w:pPr>
        <w:keepNext w:val="0"/>
        <w:keepLines w:val="0"/>
        <w:pageBreakBefore w:val="0"/>
        <w:kinsoku/>
        <w:wordWrap/>
        <w:overflowPunct/>
        <w:topLinePunct w:val="0"/>
        <w:bidi w:val="0"/>
        <w:spacing w:line="42" w:lineRule="exact"/>
      </w:pPr>
    </w:p>
    <w:p w14:paraId="3C39EFE6">
      <w:pPr>
        <w:keepNext w:val="0"/>
        <w:keepLines w:val="0"/>
        <w:pageBreakBefore w:val="0"/>
        <w:kinsoku/>
        <w:wordWrap/>
        <w:overflowPunct/>
        <w:topLinePunct w:val="0"/>
        <w:bidi w:val="0"/>
        <w:spacing w:before="176" w:line="228" w:lineRule="auto"/>
        <w:ind w:left="14"/>
        <w:rPr>
          <w:rFonts w:ascii="宋体" w:hAnsi="宋体" w:eastAsia="宋体" w:cs="宋体"/>
          <w:sz w:val="20"/>
          <w:szCs w:val="20"/>
        </w:rPr>
      </w:pPr>
      <w:r>
        <w:rPr>
          <w:rFonts w:ascii="宋体" w:hAnsi="宋体" w:eastAsia="宋体" w:cs="宋体"/>
          <w:b/>
          <w:bCs/>
          <w:spacing w:val="2"/>
          <w:sz w:val="20"/>
          <w:szCs w:val="20"/>
        </w:rPr>
        <w:t>1.评标方法</w:t>
      </w:r>
    </w:p>
    <w:p w14:paraId="67FB88D7">
      <w:pPr>
        <w:keepNext w:val="0"/>
        <w:keepLines w:val="0"/>
        <w:pageBreakBefore w:val="0"/>
        <w:kinsoku/>
        <w:wordWrap/>
        <w:overflowPunct/>
        <w:topLinePunct w:val="0"/>
        <w:bidi w:val="0"/>
        <w:spacing w:before="228" w:line="439" w:lineRule="auto"/>
        <w:ind w:right="115" w:firstLine="420"/>
        <w:jc w:val="both"/>
        <w:rPr>
          <w:rFonts w:ascii="宋体" w:hAnsi="宋体" w:eastAsia="宋体" w:cs="宋体"/>
          <w:sz w:val="20"/>
          <w:szCs w:val="20"/>
        </w:rPr>
      </w:pPr>
      <w:r>
        <w:rPr>
          <w:rFonts w:ascii="宋体" w:hAnsi="宋体" w:eastAsia="宋体" w:cs="宋体"/>
          <w:spacing w:val="11"/>
          <w:sz w:val="20"/>
          <w:szCs w:val="20"/>
        </w:rPr>
        <w:t>本次评标采用综合评分法。评标委员会对满足招标文</w:t>
      </w:r>
      <w:r>
        <w:rPr>
          <w:rFonts w:ascii="宋体" w:hAnsi="宋体" w:eastAsia="宋体" w:cs="宋体"/>
          <w:spacing w:val="10"/>
          <w:sz w:val="20"/>
          <w:szCs w:val="20"/>
        </w:rPr>
        <w:t>件实质性要求的投标文件，按照本章第2.2</w:t>
      </w:r>
      <w:r>
        <w:rPr>
          <w:rFonts w:ascii="宋体" w:hAnsi="宋体" w:eastAsia="宋体" w:cs="宋体"/>
          <w:spacing w:val="9"/>
          <w:sz w:val="20"/>
          <w:szCs w:val="20"/>
        </w:rPr>
        <w:t>款规定的评分标准进行打分，并按得分由高到</w:t>
      </w:r>
      <w:r>
        <w:rPr>
          <w:rFonts w:ascii="宋体" w:hAnsi="宋体" w:eastAsia="宋体" w:cs="宋体"/>
          <w:spacing w:val="8"/>
          <w:sz w:val="20"/>
          <w:szCs w:val="20"/>
        </w:rPr>
        <w:t>低顺序推荐中标候选人，或根据采购人授权直接确定中</w:t>
      </w:r>
      <w:r>
        <w:rPr>
          <w:rFonts w:ascii="宋体" w:hAnsi="宋体" w:eastAsia="宋体" w:cs="宋体"/>
          <w:spacing w:val="9"/>
          <w:sz w:val="20"/>
          <w:szCs w:val="20"/>
        </w:rPr>
        <w:t>标人，但投标报价低于其成本的除外。综合评分相等时，以投</w:t>
      </w:r>
      <w:r>
        <w:rPr>
          <w:rFonts w:ascii="宋体" w:hAnsi="宋体" w:eastAsia="宋体" w:cs="宋体"/>
          <w:spacing w:val="8"/>
          <w:sz w:val="20"/>
          <w:szCs w:val="20"/>
        </w:rPr>
        <w:t>标报价低的优先；投标报价也相等的，</w:t>
      </w:r>
      <w:r>
        <w:rPr>
          <w:rFonts w:ascii="宋体" w:hAnsi="宋体" w:eastAsia="宋体" w:cs="宋体"/>
          <w:spacing w:val="7"/>
          <w:sz w:val="20"/>
          <w:szCs w:val="20"/>
        </w:rPr>
        <w:t>由采购人自行确定。</w:t>
      </w:r>
    </w:p>
    <w:p w14:paraId="307CACBA">
      <w:pPr>
        <w:keepNext w:val="0"/>
        <w:keepLines w:val="0"/>
        <w:pageBreakBefore w:val="0"/>
        <w:kinsoku/>
        <w:wordWrap/>
        <w:overflowPunct/>
        <w:topLinePunct w:val="0"/>
        <w:bidi w:val="0"/>
        <w:spacing w:line="228" w:lineRule="auto"/>
        <w:ind w:left="1"/>
        <w:rPr>
          <w:rFonts w:ascii="宋体" w:hAnsi="宋体" w:eastAsia="宋体" w:cs="宋体"/>
          <w:sz w:val="20"/>
          <w:szCs w:val="20"/>
        </w:rPr>
      </w:pPr>
      <w:r>
        <w:rPr>
          <w:rFonts w:ascii="宋体" w:hAnsi="宋体" w:eastAsia="宋体" w:cs="宋体"/>
          <w:b/>
          <w:bCs/>
          <w:spacing w:val="5"/>
          <w:sz w:val="20"/>
          <w:szCs w:val="20"/>
        </w:rPr>
        <w:t>2.评审标准</w:t>
      </w:r>
    </w:p>
    <w:p w14:paraId="759CC94A">
      <w:pPr>
        <w:keepNext w:val="0"/>
        <w:keepLines w:val="0"/>
        <w:pageBreakBefore w:val="0"/>
        <w:kinsoku/>
        <w:wordWrap/>
        <w:overflowPunct/>
        <w:topLinePunct w:val="0"/>
        <w:bidi w:val="0"/>
        <w:spacing w:before="227" w:line="228" w:lineRule="auto"/>
        <w:ind w:left="1"/>
        <w:rPr>
          <w:rFonts w:ascii="宋体" w:hAnsi="宋体" w:eastAsia="宋体" w:cs="宋体"/>
          <w:sz w:val="20"/>
          <w:szCs w:val="20"/>
        </w:rPr>
      </w:pPr>
      <w:r>
        <w:rPr>
          <w:rFonts w:ascii="宋体" w:hAnsi="宋体" w:eastAsia="宋体" w:cs="宋体"/>
          <w:b/>
          <w:bCs/>
          <w:spacing w:val="5"/>
          <w:sz w:val="20"/>
          <w:szCs w:val="20"/>
        </w:rPr>
        <w:t>2.1</w:t>
      </w:r>
      <w:r>
        <w:rPr>
          <w:rFonts w:ascii="宋体" w:hAnsi="宋体" w:eastAsia="宋体" w:cs="宋体"/>
          <w:spacing w:val="5"/>
          <w:sz w:val="20"/>
          <w:szCs w:val="20"/>
        </w:rPr>
        <w:t xml:space="preserve"> </w:t>
      </w:r>
      <w:r>
        <w:rPr>
          <w:rFonts w:ascii="宋体" w:hAnsi="宋体" w:eastAsia="宋体" w:cs="宋体"/>
          <w:b/>
          <w:bCs/>
          <w:spacing w:val="5"/>
          <w:sz w:val="20"/>
          <w:szCs w:val="20"/>
        </w:rPr>
        <w:t>初步评审标准</w:t>
      </w:r>
    </w:p>
    <w:p w14:paraId="164BDFBC">
      <w:pPr>
        <w:keepNext w:val="0"/>
        <w:keepLines w:val="0"/>
        <w:pageBreakBefore w:val="0"/>
        <w:kinsoku/>
        <w:wordWrap/>
        <w:overflowPunct/>
        <w:topLinePunct w:val="0"/>
        <w:bidi w:val="0"/>
        <w:spacing w:before="227" w:line="439" w:lineRule="auto"/>
        <w:ind w:left="8" w:firstLine="420"/>
        <w:rPr>
          <w:rFonts w:ascii="宋体" w:hAnsi="宋体" w:eastAsia="宋体" w:cs="宋体"/>
          <w:sz w:val="20"/>
          <w:szCs w:val="20"/>
        </w:rPr>
      </w:pPr>
      <w:r>
        <w:rPr>
          <w:rFonts w:ascii="宋体" w:hAnsi="宋体" w:eastAsia="宋体" w:cs="宋体"/>
          <w:spacing w:val="10"/>
          <w:sz w:val="20"/>
          <w:szCs w:val="20"/>
        </w:rPr>
        <w:t>2.1.1 资格审查标准：详见资格性审查表。开标结束后，采购人或采购代理机构依法对投标人的</w:t>
      </w:r>
      <w:r>
        <w:rPr>
          <w:rFonts w:ascii="宋体" w:hAnsi="宋体" w:eastAsia="宋体" w:cs="宋体"/>
          <w:spacing w:val="5"/>
          <w:sz w:val="20"/>
          <w:szCs w:val="20"/>
        </w:rPr>
        <w:t>资格进行审查。</w:t>
      </w:r>
    </w:p>
    <w:p w14:paraId="54526ED4">
      <w:pPr>
        <w:keepNext w:val="0"/>
        <w:keepLines w:val="0"/>
        <w:pageBreakBefore w:val="0"/>
        <w:kinsoku/>
        <w:wordWrap/>
        <w:overflowPunct/>
        <w:topLinePunct w:val="0"/>
        <w:bidi w:val="0"/>
        <w:spacing w:before="1" w:line="227" w:lineRule="auto"/>
        <w:ind w:left="428"/>
        <w:rPr>
          <w:rFonts w:ascii="宋体" w:hAnsi="宋体" w:eastAsia="宋体" w:cs="宋体"/>
          <w:sz w:val="20"/>
          <w:szCs w:val="20"/>
        </w:rPr>
      </w:pPr>
      <w:r>
        <w:rPr>
          <w:rFonts w:ascii="宋体" w:hAnsi="宋体" w:eastAsia="宋体" w:cs="宋体"/>
          <w:spacing w:val="7"/>
          <w:sz w:val="20"/>
          <w:szCs w:val="20"/>
        </w:rPr>
        <w:t>2.1.2 符合性评审标准：详见符合性审查表。</w:t>
      </w:r>
    </w:p>
    <w:p w14:paraId="1E39E45D">
      <w:pPr>
        <w:keepNext w:val="0"/>
        <w:keepLines w:val="0"/>
        <w:pageBreakBefore w:val="0"/>
        <w:kinsoku/>
        <w:wordWrap/>
        <w:overflowPunct/>
        <w:topLinePunct w:val="0"/>
        <w:bidi w:val="0"/>
        <w:spacing w:before="228" w:line="228" w:lineRule="auto"/>
        <w:ind w:left="1"/>
        <w:rPr>
          <w:rFonts w:ascii="宋体" w:hAnsi="宋体" w:eastAsia="宋体" w:cs="宋体"/>
          <w:sz w:val="20"/>
          <w:szCs w:val="20"/>
        </w:rPr>
      </w:pPr>
      <w:r>
        <w:rPr>
          <w:rFonts w:ascii="宋体" w:hAnsi="宋体" w:eastAsia="宋体" w:cs="宋体"/>
          <w:b/>
          <w:bCs/>
          <w:spacing w:val="6"/>
          <w:sz w:val="20"/>
          <w:szCs w:val="20"/>
        </w:rPr>
        <w:t>2.2</w:t>
      </w:r>
      <w:r>
        <w:rPr>
          <w:rFonts w:ascii="宋体" w:hAnsi="宋体" w:eastAsia="宋体" w:cs="宋体"/>
          <w:spacing w:val="6"/>
          <w:sz w:val="20"/>
          <w:szCs w:val="20"/>
        </w:rPr>
        <w:t xml:space="preserve"> </w:t>
      </w:r>
      <w:r>
        <w:rPr>
          <w:rFonts w:ascii="宋体" w:hAnsi="宋体" w:eastAsia="宋体" w:cs="宋体"/>
          <w:b/>
          <w:bCs/>
          <w:spacing w:val="6"/>
          <w:sz w:val="20"/>
          <w:szCs w:val="20"/>
        </w:rPr>
        <w:t>分值构成与评分标准</w:t>
      </w:r>
    </w:p>
    <w:p w14:paraId="4D3399BA">
      <w:pPr>
        <w:keepNext w:val="0"/>
        <w:keepLines w:val="0"/>
        <w:pageBreakBefore w:val="0"/>
        <w:kinsoku/>
        <w:wordWrap/>
        <w:overflowPunct/>
        <w:topLinePunct w:val="0"/>
        <w:bidi w:val="0"/>
        <w:spacing w:before="228" w:line="228" w:lineRule="auto"/>
        <w:ind w:left="428"/>
        <w:rPr>
          <w:rFonts w:ascii="宋体" w:hAnsi="宋体" w:eastAsia="宋体" w:cs="宋体"/>
          <w:sz w:val="20"/>
          <w:szCs w:val="20"/>
        </w:rPr>
      </w:pPr>
      <w:r>
        <w:rPr>
          <w:rFonts w:ascii="宋体" w:hAnsi="宋体" w:eastAsia="宋体" w:cs="宋体"/>
          <w:spacing w:val="5"/>
          <w:sz w:val="20"/>
          <w:szCs w:val="20"/>
        </w:rPr>
        <w:t>2.2.1 分值构成</w:t>
      </w:r>
    </w:p>
    <w:p w14:paraId="22BF4C07">
      <w:pPr>
        <w:keepNext w:val="0"/>
        <w:keepLines w:val="0"/>
        <w:pageBreakBefore w:val="0"/>
        <w:kinsoku/>
        <w:wordWrap/>
        <w:overflowPunct/>
        <w:topLinePunct w:val="0"/>
        <w:bidi w:val="0"/>
        <w:spacing w:before="231" w:line="227" w:lineRule="auto"/>
        <w:ind w:left="436"/>
        <w:rPr>
          <w:rFonts w:ascii="宋体" w:hAnsi="宋体" w:eastAsia="宋体" w:cs="宋体"/>
          <w:sz w:val="20"/>
          <w:szCs w:val="20"/>
        </w:rPr>
      </w:pPr>
      <w:r>
        <w:rPr>
          <w:rFonts w:ascii="宋体" w:hAnsi="宋体" w:eastAsia="宋体" w:cs="宋体"/>
          <w:spacing w:val="8"/>
          <w:sz w:val="20"/>
          <w:szCs w:val="20"/>
        </w:rPr>
        <w:t>（1）经济标：见评标办法前附表；</w:t>
      </w:r>
    </w:p>
    <w:p w14:paraId="7D0104C1">
      <w:pPr>
        <w:keepNext w:val="0"/>
        <w:keepLines w:val="0"/>
        <w:pageBreakBefore w:val="0"/>
        <w:kinsoku/>
        <w:wordWrap/>
        <w:overflowPunct/>
        <w:topLinePunct w:val="0"/>
        <w:bidi w:val="0"/>
        <w:spacing w:before="229" w:line="227" w:lineRule="auto"/>
        <w:ind w:left="436"/>
        <w:rPr>
          <w:rFonts w:ascii="宋体" w:hAnsi="宋体" w:eastAsia="宋体" w:cs="宋体"/>
          <w:sz w:val="20"/>
          <w:szCs w:val="20"/>
        </w:rPr>
      </w:pPr>
      <w:r>
        <w:rPr>
          <w:rFonts w:ascii="宋体" w:hAnsi="宋体" w:eastAsia="宋体" w:cs="宋体"/>
          <w:spacing w:val="8"/>
          <w:sz w:val="20"/>
          <w:szCs w:val="20"/>
        </w:rPr>
        <w:t>（2）技术标：见评标办法前附表；</w:t>
      </w:r>
    </w:p>
    <w:p w14:paraId="5B87DE5C">
      <w:pPr>
        <w:keepNext w:val="0"/>
        <w:keepLines w:val="0"/>
        <w:pageBreakBefore w:val="0"/>
        <w:kinsoku/>
        <w:wordWrap/>
        <w:overflowPunct/>
        <w:topLinePunct w:val="0"/>
        <w:bidi w:val="0"/>
        <w:spacing w:before="230" w:line="227" w:lineRule="auto"/>
        <w:ind w:left="436"/>
        <w:rPr>
          <w:rFonts w:ascii="宋体" w:hAnsi="宋体" w:eastAsia="宋体" w:cs="宋体"/>
          <w:sz w:val="20"/>
          <w:szCs w:val="20"/>
        </w:rPr>
      </w:pPr>
      <w:r>
        <w:rPr>
          <w:rFonts w:ascii="宋体" w:hAnsi="宋体" w:eastAsia="宋体" w:cs="宋体"/>
          <w:spacing w:val="8"/>
          <w:sz w:val="20"/>
          <w:szCs w:val="20"/>
        </w:rPr>
        <w:t>（3）综合标：见评标办法前附表；</w:t>
      </w:r>
    </w:p>
    <w:p w14:paraId="17D1AE7C">
      <w:pPr>
        <w:keepNext w:val="0"/>
        <w:keepLines w:val="0"/>
        <w:pageBreakBefore w:val="0"/>
        <w:kinsoku/>
        <w:wordWrap/>
        <w:overflowPunct/>
        <w:topLinePunct w:val="0"/>
        <w:bidi w:val="0"/>
        <w:spacing w:before="229" w:line="226" w:lineRule="auto"/>
        <w:ind w:left="428"/>
        <w:rPr>
          <w:rFonts w:ascii="宋体" w:hAnsi="宋体" w:eastAsia="宋体" w:cs="宋体"/>
          <w:sz w:val="20"/>
          <w:szCs w:val="20"/>
        </w:rPr>
      </w:pPr>
      <w:r>
        <w:rPr>
          <w:rFonts w:ascii="宋体" w:hAnsi="宋体" w:eastAsia="宋体" w:cs="宋体"/>
          <w:spacing w:val="6"/>
          <w:sz w:val="20"/>
          <w:szCs w:val="20"/>
        </w:rPr>
        <w:t>2.2.2 评标基准价计算</w:t>
      </w:r>
    </w:p>
    <w:p w14:paraId="56702F9A">
      <w:pPr>
        <w:keepNext w:val="0"/>
        <w:keepLines w:val="0"/>
        <w:pageBreakBefore w:val="0"/>
        <w:kinsoku/>
        <w:wordWrap/>
        <w:overflowPunct/>
        <w:topLinePunct w:val="0"/>
        <w:bidi w:val="0"/>
        <w:spacing w:before="231" w:line="226" w:lineRule="auto"/>
        <w:ind w:left="425"/>
        <w:rPr>
          <w:rFonts w:ascii="宋体" w:hAnsi="宋体" w:eastAsia="宋体" w:cs="宋体"/>
          <w:sz w:val="20"/>
          <w:szCs w:val="20"/>
        </w:rPr>
      </w:pPr>
      <w:r>
        <w:rPr>
          <w:rFonts w:ascii="宋体" w:hAnsi="宋体" w:eastAsia="宋体" w:cs="宋体"/>
          <w:spacing w:val="8"/>
          <w:sz w:val="20"/>
          <w:szCs w:val="20"/>
        </w:rPr>
        <w:t>评标基准价计算方法：见评标办法前附表。</w:t>
      </w:r>
    </w:p>
    <w:p w14:paraId="50693B63">
      <w:pPr>
        <w:keepNext w:val="0"/>
        <w:keepLines w:val="0"/>
        <w:pageBreakBefore w:val="0"/>
        <w:kinsoku/>
        <w:wordWrap/>
        <w:overflowPunct/>
        <w:topLinePunct w:val="0"/>
        <w:bidi w:val="0"/>
        <w:spacing w:before="230" w:line="228" w:lineRule="auto"/>
        <w:ind w:left="428"/>
        <w:rPr>
          <w:rFonts w:ascii="宋体" w:hAnsi="宋体" w:eastAsia="宋体" w:cs="宋体"/>
          <w:sz w:val="20"/>
          <w:szCs w:val="20"/>
        </w:rPr>
      </w:pPr>
      <w:r>
        <w:rPr>
          <w:rFonts w:ascii="宋体" w:hAnsi="宋体" w:eastAsia="宋体" w:cs="宋体"/>
          <w:spacing w:val="5"/>
          <w:sz w:val="20"/>
          <w:szCs w:val="20"/>
        </w:rPr>
        <w:t>2.2.3 评分标准</w:t>
      </w:r>
    </w:p>
    <w:p w14:paraId="20FD9591">
      <w:pPr>
        <w:keepNext w:val="0"/>
        <w:keepLines w:val="0"/>
        <w:pageBreakBefore w:val="0"/>
        <w:kinsoku/>
        <w:wordWrap/>
        <w:overflowPunct/>
        <w:topLinePunct w:val="0"/>
        <w:bidi w:val="0"/>
        <w:spacing w:before="228" w:line="227" w:lineRule="auto"/>
        <w:ind w:left="436"/>
        <w:rPr>
          <w:rFonts w:ascii="宋体" w:hAnsi="宋体" w:eastAsia="宋体" w:cs="宋体"/>
          <w:sz w:val="20"/>
          <w:szCs w:val="20"/>
        </w:rPr>
      </w:pPr>
      <w:r>
        <w:rPr>
          <w:rFonts w:ascii="宋体" w:hAnsi="宋体" w:eastAsia="宋体" w:cs="宋体"/>
          <w:spacing w:val="8"/>
          <w:sz w:val="20"/>
          <w:szCs w:val="20"/>
        </w:rPr>
        <w:t>（1）经济标：见评标办法前附表；</w:t>
      </w:r>
    </w:p>
    <w:p w14:paraId="0584381F">
      <w:pPr>
        <w:keepNext w:val="0"/>
        <w:keepLines w:val="0"/>
        <w:pageBreakBefore w:val="0"/>
        <w:kinsoku/>
        <w:wordWrap/>
        <w:overflowPunct/>
        <w:topLinePunct w:val="0"/>
        <w:bidi w:val="0"/>
        <w:spacing w:before="229" w:line="227" w:lineRule="auto"/>
        <w:ind w:left="436"/>
        <w:rPr>
          <w:rFonts w:ascii="宋体" w:hAnsi="宋体" w:eastAsia="宋体" w:cs="宋体"/>
          <w:sz w:val="20"/>
          <w:szCs w:val="20"/>
        </w:rPr>
      </w:pPr>
      <w:r>
        <w:rPr>
          <w:rFonts w:ascii="宋体" w:hAnsi="宋体" w:eastAsia="宋体" w:cs="宋体"/>
          <w:spacing w:val="8"/>
          <w:sz w:val="20"/>
          <w:szCs w:val="20"/>
        </w:rPr>
        <w:t>（2）技术标：见评标办法前附表；</w:t>
      </w:r>
    </w:p>
    <w:p w14:paraId="7BDECFBC">
      <w:pPr>
        <w:keepNext w:val="0"/>
        <w:keepLines w:val="0"/>
        <w:pageBreakBefore w:val="0"/>
        <w:kinsoku/>
        <w:wordWrap/>
        <w:overflowPunct/>
        <w:topLinePunct w:val="0"/>
        <w:bidi w:val="0"/>
        <w:spacing w:before="232" w:line="227" w:lineRule="auto"/>
        <w:ind w:left="436"/>
        <w:rPr>
          <w:rFonts w:ascii="宋体" w:hAnsi="宋体" w:eastAsia="宋体" w:cs="宋体"/>
          <w:sz w:val="20"/>
          <w:szCs w:val="20"/>
        </w:rPr>
      </w:pPr>
      <w:r>
        <w:rPr>
          <w:rFonts w:ascii="宋体" w:hAnsi="宋体" w:eastAsia="宋体" w:cs="宋体"/>
          <w:spacing w:val="8"/>
          <w:sz w:val="20"/>
          <w:szCs w:val="20"/>
        </w:rPr>
        <w:t>（3）综合标：见评标办法前附表；</w:t>
      </w:r>
    </w:p>
    <w:p w14:paraId="1B3963BA">
      <w:pPr>
        <w:keepNext w:val="0"/>
        <w:keepLines w:val="0"/>
        <w:pageBreakBefore w:val="0"/>
        <w:kinsoku/>
        <w:wordWrap/>
        <w:overflowPunct/>
        <w:topLinePunct w:val="0"/>
        <w:bidi w:val="0"/>
        <w:spacing w:before="230" w:line="228" w:lineRule="auto"/>
        <w:ind w:left="3"/>
        <w:rPr>
          <w:rFonts w:ascii="宋体" w:hAnsi="宋体" w:eastAsia="宋体" w:cs="宋体"/>
          <w:sz w:val="20"/>
          <w:szCs w:val="20"/>
        </w:rPr>
      </w:pPr>
      <w:r>
        <w:rPr>
          <w:rFonts w:ascii="宋体" w:hAnsi="宋体" w:eastAsia="宋体" w:cs="宋体"/>
          <w:b/>
          <w:bCs/>
          <w:spacing w:val="4"/>
          <w:sz w:val="20"/>
          <w:szCs w:val="20"/>
        </w:rPr>
        <w:t>3.评标程序</w:t>
      </w:r>
    </w:p>
    <w:p w14:paraId="55D9C71A">
      <w:pPr>
        <w:keepNext w:val="0"/>
        <w:keepLines w:val="0"/>
        <w:pageBreakBefore w:val="0"/>
        <w:kinsoku/>
        <w:wordWrap/>
        <w:overflowPunct/>
        <w:topLinePunct w:val="0"/>
        <w:bidi w:val="0"/>
        <w:spacing w:before="227" w:line="228" w:lineRule="auto"/>
        <w:ind w:left="3"/>
        <w:rPr>
          <w:rFonts w:ascii="宋体" w:hAnsi="宋体" w:eastAsia="宋体" w:cs="宋体"/>
          <w:sz w:val="20"/>
          <w:szCs w:val="20"/>
        </w:rPr>
      </w:pPr>
      <w:r>
        <w:rPr>
          <w:rFonts w:ascii="宋体" w:hAnsi="宋体" w:eastAsia="宋体" w:cs="宋体"/>
          <w:b/>
          <w:bCs/>
          <w:spacing w:val="4"/>
          <w:sz w:val="20"/>
          <w:szCs w:val="20"/>
        </w:rPr>
        <w:t>3.1</w:t>
      </w:r>
      <w:r>
        <w:rPr>
          <w:rFonts w:ascii="宋体" w:hAnsi="宋体" w:eastAsia="宋体" w:cs="宋体"/>
          <w:spacing w:val="4"/>
          <w:sz w:val="20"/>
          <w:szCs w:val="20"/>
        </w:rPr>
        <w:t xml:space="preserve"> </w:t>
      </w:r>
      <w:r>
        <w:rPr>
          <w:rFonts w:ascii="宋体" w:hAnsi="宋体" w:eastAsia="宋体" w:cs="宋体"/>
          <w:b/>
          <w:bCs/>
          <w:spacing w:val="4"/>
          <w:sz w:val="20"/>
          <w:szCs w:val="20"/>
        </w:rPr>
        <w:t>初步评审</w:t>
      </w:r>
    </w:p>
    <w:p w14:paraId="7C682DF8">
      <w:pPr>
        <w:keepNext w:val="0"/>
        <w:keepLines w:val="0"/>
        <w:pageBreakBefore w:val="0"/>
        <w:kinsoku/>
        <w:wordWrap/>
        <w:overflowPunct/>
        <w:topLinePunct w:val="0"/>
        <w:bidi w:val="0"/>
        <w:spacing w:before="228" w:line="439" w:lineRule="auto"/>
        <w:ind w:right="165" w:firstLine="430"/>
        <w:rPr>
          <w:rFonts w:ascii="宋体" w:hAnsi="宋体" w:eastAsia="宋体" w:cs="宋体"/>
          <w:sz w:val="20"/>
          <w:szCs w:val="20"/>
        </w:rPr>
      </w:pPr>
      <w:r>
        <w:rPr>
          <w:rFonts w:ascii="宋体" w:hAnsi="宋体" w:eastAsia="宋体" w:cs="宋体"/>
          <w:spacing w:val="9"/>
          <w:sz w:val="20"/>
          <w:szCs w:val="20"/>
        </w:rPr>
        <w:t>3.1.1 评标委员会依据本章第2.1款规定的标准对投标文件</w:t>
      </w:r>
      <w:r>
        <w:rPr>
          <w:rFonts w:ascii="宋体" w:hAnsi="宋体" w:eastAsia="宋体" w:cs="宋体"/>
          <w:spacing w:val="8"/>
          <w:sz w:val="20"/>
          <w:szCs w:val="20"/>
        </w:rPr>
        <w:t>进行符合性评审。有一项不符合评审</w:t>
      </w:r>
      <w:r>
        <w:rPr>
          <w:rFonts w:ascii="宋体" w:hAnsi="宋体" w:eastAsia="宋体" w:cs="宋体"/>
          <w:spacing w:val="7"/>
          <w:sz w:val="20"/>
          <w:szCs w:val="20"/>
        </w:rPr>
        <w:t>标准的，作</w:t>
      </w:r>
      <w:r>
        <w:rPr>
          <w:rFonts w:ascii="宋体" w:hAnsi="宋体" w:eastAsia="宋体" w:cs="宋体"/>
          <w:b/>
          <w:bCs/>
          <w:spacing w:val="7"/>
          <w:sz w:val="20"/>
          <w:szCs w:val="20"/>
        </w:rPr>
        <w:t>无效投标处理。</w:t>
      </w:r>
    </w:p>
    <w:p w14:paraId="08494D69">
      <w:pPr>
        <w:keepNext w:val="0"/>
        <w:keepLines w:val="0"/>
        <w:pageBreakBefore w:val="0"/>
        <w:kinsoku/>
        <w:wordWrap/>
        <w:overflowPunct/>
        <w:topLinePunct w:val="0"/>
        <w:bidi w:val="0"/>
        <w:spacing w:line="228" w:lineRule="auto"/>
        <w:ind w:left="430"/>
        <w:rPr>
          <w:rFonts w:ascii="宋体" w:hAnsi="宋体" w:eastAsia="宋体" w:cs="宋体"/>
          <w:sz w:val="20"/>
          <w:szCs w:val="20"/>
        </w:rPr>
      </w:pPr>
      <w:r>
        <w:rPr>
          <w:rFonts w:ascii="宋体" w:hAnsi="宋体" w:eastAsia="宋体" w:cs="宋体"/>
          <w:spacing w:val="8"/>
          <w:sz w:val="20"/>
          <w:szCs w:val="20"/>
        </w:rPr>
        <w:t>3.1.2 投标人有以下情形之一的，其投标作</w:t>
      </w:r>
      <w:r>
        <w:rPr>
          <w:rFonts w:ascii="宋体" w:hAnsi="宋体" w:eastAsia="宋体" w:cs="宋体"/>
          <w:b/>
          <w:bCs/>
          <w:spacing w:val="7"/>
          <w:sz w:val="20"/>
          <w:szCs w:val="20"/>
        </w:rPr>
        <w:t>无效投标处理</w:t>
      </w:r>
      <w:r>
        <w:rPr>
          <w:rFonts w:ascii="宋体" w:hAnsi="宋体" w:eastAsia="宋体" w:cs="宋体"/>
          <w:spacing w:val="7"/>
          <w:sz w:val="20"/>
          <w:szCs w:val="20"/>
        </w:rPr>
        <w:t>：</w:t>
      </w:r>
    </w:p>
    <w:p w14:paraId="0EC37948">
      <w:pPr>
        <w:keepNext w:val="0"/>
        <w:keepLines w:val="0"/>
        <w:pageBreakBefore w:val="0"/>
        <w:kinsoku/>
        <w:wordWrap/>
        <w:overflowPunct/>
        <w:topLinePunct w:val="0"/>
        <w:bidi w:val="0"/>
        <w:spacing w:before="228" w:line="227" w:lineRule="auto"/>
        <w:ind w:left="436"/>
        <w:rPr>
          <w:rFonts w:hint="eastAsia" w:ascii="宋体" w:hAnsi="宋体" w:eastAsia="宋体" w:cs="宋体"/>
          <w:sz w:val="20"/>
          <w:szCs w:val="20"/>
          <w:lang w:eastAsia="zh-CN"/>
        </w:rPr>
      </w:pPr>
      <w:r>
        <w:rPr>
          <w:rFonts w:ascii="宋体" w:hAnsi="宋体" w:eastAsia="宋体" w:cs="宋体"/>
          <w:spacing w:val="8"/>
          <w:sz w:val="20"/>
          <w:szCs w:val="20"/>
        </w:rPr>
        <w:t>（1）投标（响应）文件制作机器码一致的</w:t>
      </w:r>
      <w:r>
        <w:rPr>
          <w:rFonts w:hint="eastAsia" w:ascii="宋体" w:hAnsi="宋体" w:eastAsia="宋体" w:cs="宋体"/>
          <w:spacing w:val="8"/>
          <w:sz w:val="20"/>
          <w:szCs w:val="20"/>
          <w:lang w:eastAsia="zh-CN"/>
        </w:rPr>
        <w:t>；</w:t>
      </w:r>
    </w:p>
    <w:p w14:paraId="160F7F0D">
      <w:pPr>
        <w:keepNext w:val="0"/>
        <w:keepLines w:val="0"/>
        <w:pageBreakBefore w:val="0"/>
        <w:kinsoku/>
        <w:wordWrap/>
        <w:overflowPunct/>
        <w:topLinePunct w:val="0"/>
        <w:bidi w:val="0"/>
        <w:spacing w:before="229" w:line="227" w:lineRule="auto"/>
        <w:ind w:left="436"/>
        <w:rPr>
          <w:rFonts w:ascii="宋体" w:hAnsi="宋体" w:eastAsia="宋体" w:cs="宋体"/>
          <w:sz w:val="20"/>
          <w:szCs w:val="20"/>
        </w:rPr>
      </w:pPr>
      <w:r>
        <w:rPr>
          <w:rFonts w:ascii="宋体" w:hAnsi="宋体" w:eastAsia="宋体" w:cs="宋体"/>
          <w:spacing w:val="7"/>
          <w:sz w:val="20"/>
          <w:szCs w:val="20"/>
        </w:rPr>
        <w:t>（2）不满足第二章“投标人须知</w:t>
      </w:r>
      <w:r>
        <w:rPr>
          <w:rFonts w:ascii="宋体" w:hAnsi="宋体" w:eastAsia="宋体" w:cs="宋体"/>
          <w:spacing w:val="-60"/>
          <w:sz w:val="20"/>
          <w:szCs w:val="20"/>
        </w:rPr>
        <w:t xml:space="preserve"> </w:t>
      </w:r>
      <w:r>
        <w:rPr>
          <w:rFonts w:ascii="宋体" w:hAnsi="宋体" w:eastAsia="宋体" w:cs="宋体"/>
          <w:spacing w:val="7"/>
          <w:sz w:val="20"/>
          <w:szCs w:val="20"/>
        </w:rPr>
        <w:t>”第1.4.1项规定的任何一种情形的；</w:t>
      </w:r>
    </w:p>
    <w:p w14:paraId="56E1654E">
      <w:pPr>
        <w:keepNext w:val="0"/>
        <w:keepLines w:val="0"/>
        <w:pageBreakBefore w:val="0"/>
        <w:kinsoku/>
        <w:wordWrap/>
        <w:overflowPunct/>
        <w:topLinePunct w:val="0"/>
        <w:bidi w:val="0"/>
        <w:spacing w:before="232" w:line="227" w:lineRule="auto"/>
        <w:ind w:left="436"/>
        <w:rPr>
          <w:rFonts w:ascii="宋体" w:hAnsi="宋体" w:eastAsia="宋体" w:cs="宋体"/>
          <w:sz w:val="20"/>
          <w:szCs w:val="20"/>
        </w:rPr>
      </w:pPr>
      <w:r>
        <w:rPr>
          <w:rFonts w:ascii="宋体" w:hAnsi="宋体" w:eastAsia="宋体" w:cs="宋体"/>
          <w:spacing w:val="8"/>
          <w:sz w:val="20"/>
          <w:szCs w:val="20"/>
        </w:rPr>
        <w:t>（3）串通投标或弄虚作假或有其他违法行为的；</w:t>
      </w:r>
    </w:p>
    <w:p w14:paraId="000E1D5E">
      <w:pPr>
        <w:keepNext w:val="0"/>
        <w:keepLines w:val="0"/>
        <w:pageBreakBefore w:val="0"/>
        <w:kinsoku/>
        <w:wordWrap/>
        <w:overflowPunct/>
        <w:topLinePunct w:val="0"/>
        <w:bidi w:val="0"/>
        <w:spacing w:before="175" w:line="439" w:lineRule="auto"/>
        <w:ind w:left="4" w:right="95" w:firstLine="434"/>
        <w:rPr>
          <w:rFonts w:ascii="宋体" w:hAnsi="宋体" w:eastAsia="宋体" w:cs="宋体"/>
          <w:sz w:val="20"/>
          <w:szCs w:val="20"/>
        </w:rPr>
      </w:pPr>
      <w:r>
        <w:rPr>
          <w:rFonts w:ascii="宋体" w:hAnsi="宋体" w:eastAsia="宋体" w:cs="宋体"/>
          <w:spacing w:val="9"/>
          <w:sz w:val="20"/>
          <w:szCs w:val="20"/>
        </w:rPr>
        <w:br w:type="page"/>
      </w:r>
      <w:r>
        <w:rPr>
          <w:rFonts w:ascii="宋体" w:hAnsi="宋体" w:eastAsia="宋体" w:cs="宋体"/>
          <w:spacing w:val="9"/>
          <w:sz w:val="20"/>
          <w:szCs w:val="20"/>
        </w:rPr>
        <w:t>（4）投标人递交两份或多份内容不同的投标文件，或在一份投标文件中对同一采购项目报两个</w:t>
      </w:r>
      <w:r>
        <w:rPr>
          <w:rFonts w:ascii="宋体" w:hAnsi="宋体" w:eastAsia="宋体" w:cs="宋体"/>
          <w:spacing w:val="6"/>
          <w:sz w:val="20"/>
          <w:szCs w:val="20"/>
        </w:rPr>
        <w:t>或多个报价的；</w:t>
      </w:r>
    </w:p>
    <w:p w14:paraId="79D62138">
      <w:pPr>
        <w:keepNext w:val="0"/>
        <w:keepLines w:val="0"/>
        <w:pageBreakBefore w:val="0"/>
        <w:kinsoku/>
        <w:wordWrap/>
        <w:overflowPunct/>
        <w:topLinePunct w:val="0"/>
        <w:bidi w:val="0"/>
        <w:spacing w:line="226" w:lineRule="auto"/>
        <w:ind w:left="439"/>
        <w:rPr>
          <w:rFonts w:ascii="宋体" w:hAnsi="宋体" w:eastAsia="宋体" w:cs="宋体"/>
          <w:sz w:val="20"/>
          <w:szCs w:val="20"/>
        </w:rPr>
      </w:pPr>
      <w:r>
        <w:rPr>
          <w:rFonts w:ascii="宋体" w:hAnsi="宋体" w:eastAsia="宋体" w:cs="宋体"/>
          <w:spacing w:val="8"/>
          <w:sz w:val="20"/>
          <w:szCs w:val="20"/>
        </w:rPr>
        <w:t>（5）不按评标委员会要求澄清、说明或补正的。</w:t>
      </w:r>
    </w:p>
    <w:p w14:paraId="27530337">
      <w:pPr>
        <w:keepNext w:val="0"/>
        <w:keepLines w:val="0"/>
        <w:pageBreakBefore w:val="0"/>
        <w:kinsoku/>
        <w:wordWrap/>
        <w:overflowPunct/>
        <w:topLinePunct w:val="0"/>
        <w:bidi w:val="0"/>
        <w:spacing w:before="229" w:line="227" w:lineRule="auto"/>
        <w:ind w:left="439"/>
        <w:rPr>
          <w:rFonts w:ascii="宋体" w:hAnsi="宋体" w:eastAsia="宋体" w:cs="宋体"/>
          <w:sz w:val="20"/>
          <w:szCs w:val="20"/>
        </w:rPr>
      </w:pPr>
      <w:r>
        <w:rPr>
          <w:rFonts w:ascii="宋体" w:hAnsi="宋体" w:eastAsia="宋体" w:cs="宋体"/>
          <w:spacing w:val="8"/>
          <w:sz w:val="20"/>
          <w:szCs w:val="20"/>
        </w:rPr>
        <w:t>（6）投标文件中附有采购人不能接受的其他实质性条款。</w:t>
      </w:r>
    </w:p>
    <w:p w14:paraId="52D1E6C7">
      <w:pPr>
        <w:keepNext w:val="0"/>
        <w:keepLines w:val="0"/>
        <w:pageBreakBefore w:val="0"/>
        <w:kinsoku/>
        <w:wordWrap/>
        <w:overflowPunct/>
        <w:topLinePunct w:val="0"/>
        <w:bidi w:val="0"/>
        <w:spacing w:before="231" w:line="439" w:lineRule="auto"/>
        <w:ind w:left="3" w:right="54" w:firstLine="429"/>
        <w:rPr>
          <w:rFonts w:ascii="宋体" w:hAnsi="宋体" w:eastAsia="宋体" w:cs="宋体"/>
          <w:sz w:val="20"/>
          <w:szCs w:val="20"/>
        </w:rPr>
      </w:pPr>
      <w:r>
        <w:rPr>
          <w:rFonts w:ascii="宋体" w:hAnsi="宋体" w:eastAsia="宋体" w:cs="宋体"/>
          <w:spacing w:val="8"/>
          <w:sz w:val="20"/>
          <w:szCs w:val="20"/>
        </w:rPr>
        <w:t>3.1.3 投标报价有算术错误的，评标委员会按以</w:t>
      </w:r>
      <w:r>
        <w:rPr>
          <w:rFonts w:ascii="宋体" w:hAnsi="宋体" w:eastAsia="宋体" w:cs="宋体"/>
          <w:spacing w:val="7"/>
          <w:sz w:val="20"/>
          <w:szCs w:val="20"/>
        </w:rPr>
        <w:t>下原则对投标报价进行修正，修正的价格经投标</w:t>
      </w:r>
      <w:r>
        <w:rPr>
          <w:rFonts w:ascii="宋体" w:hAnsi="宋体" w:eastAsia="宋体" w:cs="宋体"/>
          <w:spacing w:val="9"/>
          <w:sz w:val="20"/>
          <w:szCs w:val="20"/>
        </w:rPr>
        <w:t>人确认后具有约束力。投标人不接受修正价格的，其投标作</w:t>
      </w:r>
      <w:r>
        <w:rPr>
          <w:rFonts w:ascii="宋体" w:hAnsi="宋体" w:eastAsia="宋体" w:cs="宋体"/>
          <w:b/>
          <w:bCs/>
          <w:spacing w:val="9"/>
          <w:sz w:val="20"/>
          <w:szCs w:val="20"/>
        </w:rPr>
        <w:t>无效投标处理</w:t>
      </w:r>
      <w:r>
        <w:rPr>
          <w:rFonts w:ascii="宋体" w:hAnsi="宋体" w:eastAsia="宋体" w:cs="宋体"/>
          <w:spacing w:val="9"/>
          <w:sz w:val="20"/>
          <w:szCs w:val="20"/>
        </w:rPr>
        <w:t>。</w:t>
      </w:r>
    </w:p>
    <w:p w14:paraId="2E658D3B">
      <w:pPr>
        <w:keepNext w:val="0"/>
        <w:keepLines w:val="0"/>
        <w:pageBreakBefore w:val="0"/>
        <w:kinsoku/>
        <w:wordWrap/>
        <w:overflowPunct/>
        <w:topLinePunct w:val="0"/>
        <w:bidi w:val="0"/>
        <w:spacing w:before="1" w:line="438" w:lineRule="auto"/>
        <w:ind w:left="2" w:right="76" w:firstLine="436"/>
        <w:rPr>
          <w:rFonts w:ascii="宋体" w:hAnsi="宋体" w:eastAsia="宋体" w:cs="宋体"/>
          <w:sz w:val="20"/>
          <w:szCs w:val="20"/>
        </w:rPr>
      </w:pPr>
      <w:r>
        <w:rPr>
          <w:rFonts w:ascii="宋体" w:hAnsi="宋体" w:eastAsia="宋体" w:cs="宋体"/>
          <w:spacing w:val="3"/>
          <w:sz w:val="20"/>
          <w:szCs w:val="20"/>
        </w:rPr>
        <w:t>（一）投标文件中开标一览表（报价表）内容与投标文件中</w:t>
      </w:r>
      <w:r>
        <w:rPr>
          <w:rFonts w:ascii="宋体" w:hAnsi="宋体" w:eastAsia="宋体" w:cs="宋体"/>
          <w:spacing w:val="2"/>
          <w:sz w:val="20"/>
          <w:szCs w:val="20"/>
        </w:rPr>
        <w:t>相应内容不一致的，以开标一览表（报</w:t>
      </w:r>
      <w:r>
        <w:rPr>
          <w:rFonts w:ascii="宋体" w:hAnsi="宋体" w:eastAsia="宋体" w:cs="宋体"/>
          <w:spacing w:val="6"/>
          <w:sz w:val="20"/>
          <w:szCs w:val="20"/>
        </w:rPr>
        <w:t>价表）为准；</w:t>
      </w:r>
    </w:p>
    <w:p w14:paraId="49B6A9C9">
      <w:pPr>
        <w:keepNext w:val="0"/>
        <w:keepLines w:val="0"/>
        <w:pageBreakBefore w:val="0"/>
        <w:kinsoku/>
        <w:wordWrap/>
        <w:overflowPunct/>
        <w:topLinePunct w:val="0"/>
        <w:bidi w:val="0"/>
        <w:spacing w:line="227" w:lineRule="auto"/>
        <w:ind w:left="439"/>
        <w:rPr>
          <w:rFonts w:ascii="宋体" w:hAnsi="宋体" w:eastAsia="宋体" w:cs="宋体"/>
          <w:sz w:val="20"/>
          <w:szCs w:val="20"/>
        </w:rPr>
      </w:pPr>
      <w:r>
        <w:rPr>
          <w:rFonts w:ascii="宋体" w:hAnsi="宋体" w:eastAsia="宋体" w:cs="宋体"/>
          <w:spacing w:val="8"/>
          <w:sz w:val="20"/>
          <w:szCs w:val="20"/>
        </w:rPr>
        <w:t>（二）大写金额和小写金额不一致的，以大写金额为准；</w:t>
      </w:r>
    </w:p>
    <w:p w14:paraId="37BBE7AD">
      <w:pPr>
        <w:keepNext w:val="0"/>
        <w:keepLines w:val="0"/>
        <w:pageBreakBefore w:val="0"/>
        <w:kinsoku/>
        <w:wordWrap/>
        <w:overflowPunct/>
        <w:topLinePunct w:val="0"/>
        <w:bidi w:val="0"/>
        <w:spacing w:before="229" w:line="226" w:lineRule="auto"/>
        <w:ind w:left="439"/>
        <w:rPr>
          <w:rFonts w:ascii="宋体" w:hAnsi="宋体" w:eastAsia="宋体" w:cs="宋体"/>
          <w:sz w:val="20"/>
          <w:szCs w:val="20"/>
        </w:rPr>
      </w:pPr>
      <w:r>
        <w:rPr>
          <w:rFonts w:ascii="宋体" w:hAnsi="宋体" w:eastAsia="宋体" w:cs="宋体"/>
          <w:spacing w:val="8"/>
          <w:sz w:val="20"/>
          <w:szCs w:val="20"/>
        </w:rPr>
        <w:t>（三）单价金额小数点或者百分比有明显错位的，</w:t>
      </w:r>
      <w:r>
        <w:rPr>
          <w:rFonts w:ascii="宋体" w:hAnsi="宋体" w:eastAsia="宋体" w:cs="宋体"/>
          <w:spacing w:val="-51"/>
          <w:sz w:val="20"/>
          <w:szCs w:val="20"/>
        </w:rPr>
        <w:t xml:space="preserve"> </w:t>
      </w:r>
      <w:r>
        <w:rPr>
          <w:rFonts w:ascii="宋体" w:hAnsi="宋体" w:eastAsia="宋体" w:cs="宋体"/>
          <w:spacing w:val="8"/>
          <w:sz w:val="20"/>
          <w:szCs w:val="20"/>
        </w:rPr>
        <w:t>以开标一览表的总价为准，并修改单价；</w:t>
      </w:r>
    </w:p>
    <w:p w14:paraId="339FD247">
      <w:pPr>
        <w:keepNext w:val="0"/>
        <w:keepLines w:val="0"/>
        <w:pageBreakBefore w:val="0"/>
        <w:kinsoku/>
        <w:wordWrap/>
        <w:overflowPunct/>
        <w:topLinePunct w:val="0"/>
        <w:bidi w:val="0"/>
        <w:spacing w:before="230" w:line="226" w:lineRule="auto"/>
        <w:ind w:left="439"/>
        <w:rPr>
          <w:rFonts w:ascii="宋体" w:hAnsi="宋体" w:eastAsia="宋体" w:cs="宋体"/>
          <w:sz w:val="20"/>
          <w:szCs w:val="20"/>
        </w:rPr>
      </w:pPr>
      <w:r>
        <w:rPr>
          <w:rFonts w:ascii="宋体" w:hAnsi="宋体" w:eastAsia="宋体" w:cs="宋体"/>
          <w:spacing w:val="9"/>
          <w:sz w:val="20"/>
          <w:szCs w:val="20"/>
        </w:rPr>
        <w:t>（四）总价金额与按单价汇总金额不一致的，以单价金额计算结果为准。</w:t>
      </w:r>
    </w:p>
    <w:p w14:paraId="6F15ACAC">
      <w:pPr>
        <w:keepNext w:val="0"/>
        <w:keepLines w:val="0"/>
        <w:pageBreakBefore w:val="0"/>
        <w:kinsoku/>
        <w:wordWrap/>
        <w:overflowPunct/>
        <w:topLinePunct w:val="0"/>
        <w:bidi w:val="0"/>
        <w:spacing w:before="230" w:line="228" w:lineRule="auto"/>
        <w:ind w:left="449"/>
        <w:rPr>
          <w:rFonts w:ascii="宋体" w:hAnsi="宋体" w:eastAsia="宋体" w:cs="宋体"/>
          <w:sz w:val="20"/>
          <w:szCs w:val="20"/>
        </w:rPr>
      </w:pPr>
      <w:r>
        <w:rPr>
          <w:rFonts w:ascii="宋体" w:hAnsi="宋体" w:eastAsia="宋体" w:cs="宋体"/>
          <w:spacing w:val="8"/>
          <w:sz w:val="20"/>
          <w:szCs w:val="20"/>
        </w:rPr>
        <w:t>同时出现两种以上不一致的，按照前款规定的顺序修正。</w:t>
      </w:r>
    </w:p>
    <w:p w14:paraId="30B2ED2A">
      <w:pPr>
        <w:keepNext w:val="0"/>
        <w:keepLines w:val="0"/>
        <w:pageBreakBefore w:val="0"/>
        <w:kinsoku/>
        <w:wordWrap/>
        <w:overflowPunct/>
        <w:topLinePunct w:val="0"/>
        <w:bidi w:val="0"/>
        <w:spacing w:before="231" w:line="226" w:lineRule="auto"/>
        <w:ind w:left="433"/>
        <w:rPr>
          <w:rFonts w:ascii="宋体" w:hAnsi="宋体" w:eastAsia="宋体" w:cs="宋体"/>
          <w:sz w:val="20"/>
          <w:szCs w:val="20"/>
        </w:rPr>
      </w:pPr>
      <w:r>
        <w:rPr>
          <w:rFonts w:ascii="宋体" w:hAnsi="宋体" w:eastAsia="宋体" w:cs="宋体"/>
          <w:b/>
          <w:bCs/>
          <w:spacing w:val="6"/>
          <w:sz w:val="20"/>
          <w:szCs w:val="20"/>
        </w:rPr>
        <w:t>3.1.4政府采购异常低价审查</w:t>
      </w:r>
    </w:p>
    <w:p w14:paraId="3877C493">
      <w:pPr>
        <w:keepNext w:val="0"/>
        <w:keepLines w:val="0"/>
        <w:pageBreakBefore w:val="0"/>
        <w:kinsoku/>
        <w:wordWrap/>
        <w:overflowPunct/>
        <w:topLinePunct w:val="0"/>
        <w:bidi w:val="0"/>
        <w:spacing w:before="229" w:line="439" w:lineRule="auto"/>
        <w:ind w:right="95" w:firstLine="439"/>
        <w:rPr>
          <w:rFonts w:ascii="宋体" w:hAnsi="宋体" w:eastAsia="宋体" w:cs="宋体"/>
          <w:sz w:val="20"/>
          <w:szCs w:val="20"/>
        </w:rPr>
      </w:pPr>
      <w:r>
        <w:rPr>
          <w:rFonts w:ascii="宋体" w:hAnsi="宋体" w:eastAsia="宋体" w:cs="宋体"/>
          <w:spacing w:val="9"/>
          <w:sz w:val="20"/>
          <w:szCs w:val="20"/>
        </w:rPr>
        <w:t>（一）根据《关于推动解决政府采购异常低价问题的通知》财库〔2026〕2号相关规定</w:t>
      </w:r>
      <w:r>
        <w:rPr>
          <w:rFonts w:ascii="宋体" w:hAnsi="宋体" w:eastAsia="宋体" w:cs="宋体"/>
          <w:spacing w:val="8"/>
          <w:sz w:val="20"/>
          <w:szCs w:val="20"/>
        </w:rPr>
        <w:t>，政府采</w:t>
      </w:r>
      <w:r>
        <w:rPr>
          <w:rFonts w:ascii="宋体" w:hAnsi="宋体" w:eastAsia="宋体" w:cs="宋体"/>
          <w:spacing w:val="10"/>
          <w:sz w:val="20"/>
          <w:szCs w:val="20"/>
        </w:rPr>
        <w:t>购评审中出现下列情形之一的，评审委员会</w:t>
      </w:r>
      <w:r>
        <w:rPr>
          <w:rFonts w:ascii="宋体" w:hAnsi="宋体" w:eastAsia="宋体" w:cs="宋体"/>
          <w:spacing w:val="9"/>
          <w:sz w:val="20"/>
          <w:szCs w:val="20"/>
        </w:rPr>
        <w:t>应当启动异常低价投标（响应）审查程序：</w:t>
      </w:r>
    </w:p>
    <w:p w14:paraId="24DA454C">
      <w:pPr>
        <w:keepNext w:val="0"/>
        <w:keepLines w:val="0"/>
        <w:pageBreakBefore w:val="0"/>
        <w:kinsoku/>
        <w:wordWrap/>
        <w:overflowPunct/>
        <w:topLinePunct w:val="0"/>
        <w:bidi w:val="0"/>
        <w:spacing w:before="2" w:line="438" w:lineRule="auto"/>
        <w:ind w:left="1" w:right="52" w:firstLine="442"/>
        <w:rPr>
          <w:rFonts w:ascii="宋体" w:hAnsi="宋体" w:eastAsia="宋体" w:cs="宋体"/>
          <w:sz w:val="20"/>
          <w:szCs w:val="20"/>
        </w:rPr>
      </w:pPr>
      <w:r>
        <w:rPr>
          <w:rFonts w:ascii="宋体" w:hAnsi="宋体" w:eastAsia="宋体" w:cs="宋体"/>
          <w:spacing w:val="5"/>
          <w:sz w:val="20"/>
          <w:szCs w:val="20"/>
        </w:rPr>
        <w:t>1.投标（响应）报价低于全部通过符合性审查供应商投标（响应）报价平均值50%的，即投标（响</w:t>
      </w:r>
      <w:r>
        <w:rPr>
          <w:rFonts w:ascii="宋体" w:hAnsi="宋体" w:eastAsia="宋体" w:cs="宋体"/>
          <w:spacing w:val="9"/>
          <w:sz w:val="20"/>
          <w:szCs w:val="20"/>
        </w:rPr>
        <w:t>应）报价&lt;全部通过符合性审查供应商投标（响应）报价平均值</w:t>
      </w:r>
      <w:r>
        <w:rPr>
          <w:rFonts w:ascii="宋体" w:hAnsi="宋体" w:eastAsia="宋体" w:cs="宋体"/>
          <w:spacing w:val="8"/>
          <w:sz w:val="20"/>
          <w:szCs w:val="20"/>
        </w:rPr>
        <w:t>×50%；</w:t>
      </w:r>
    </w:p>
    <w:p w14:paraId="7CF8EDA0">
      <w:pPr>
        <w:keepNext w:val="0"/>
        <w:keepLines w:val="0"/>
        <w:pageBreakBefore w:val="0"/>
        <w:kinsoku/>
        <w:wordWrap/>
        <w:overflowPunct/>
        <w:topLinePunct w:val="0"/>
        <w:bidi w:val="0"/>
        <w:spacing w:before="1" w:line="438" w:lineRule="auto"/>
        <w:ind w:left="1" w:right="52" w:firstLine="429"/>
        <w:rPr>
          <w:rFonts w:ascii="宋体" w:hAnsi="宋体" w:eastAsia="宋体" w:cs="宋体"/>
          <w:sz w:val="20"/>
          <w:szCs w:val="20"/>
        </w:rPr>
      </w:pPr>
      <w:r>
        <w:rPr>
          <w:rFonts w:ascii="宋体" w:hAnsi="宋体" w:eastAsia="宋体" w:cs="宋体"/>
          <w:spacing w:val="5"/>
          <w:sz w:val="20"/>
          <w:szCs w:val="20"/>
        </w:rPr>
        <w:t>2.投标（响应）报价低于通过符合性审查的次低报价供应商投标（响应）报价50%的，即投标（响</w:t>
      </w:r>
      <w:r>
        <w:rPr>
          <w:rFonts w:ascii="宋体" w:hAnsi="宋体" w:eastAsia="宋体" w:cs="宋体"/>
          <w:spacing w:val="9"/>
          <w:sz w:val="20"/>
          <w:szCs w:val="20"/>
        </w:rPr>
        <w:t>应）报价&lt;通过符合性审查的次低报价供应商投标（响应）报价</w:t>
      </w:r>
      <w:r>
        <w:rPr>
          <w:rFonts w:ascii="宋体" w:hAnsi="宋体" w:eastAsia="宋体" w:cs="宋体"/>
          <w:spacing w:val="8"/>
          <w:sz w:val="20"/>
          <w:szCs w:val="20"/>
        </w:rPr>
        <w:t>×50%；</w:t>
      </w:r>
    </w:p>
    <w:p w14:paraId="6BD03478">
      <w:pPr>
        <w:keepNext w:val="0"/>
        <w:keepLines w:val="0"/>
        <w:pageBreakBefore w:val="0"/>
        <w:kinsoku/>
        <w:wordWrap/>
        <w:overflowPunct/>
        <w:topLinePunct w:val="0"/>
        <w:bidi w:val="0"/>
        <w:spacing w:line="226" w:lineRule="auto"/>
        <w:ind w:firstLine="408" w:firstLineChars="200"/>
        <w:jc w:val="both"/>
        <w:rPr>
          <w:rFonts w:ascii="宋体" w:hAnsi="宋体" w:eastAsia="宋体" w:cs="宋体"/>
          <w:sz w:val="20"/>
          <w:szCs w:val="20"/>
        </w:rPr>
      </w:pPr>
      <w:r>
        <w:rPr>
          <w:rFonts w:ascii="宋体" w:hAnsi="宋体" w:eastAsia="宋体" w:cs="宋体"/>
          <w:spacing w:val="2"/>
          <w:sz w:val="20"/>
          <w:szCs w:val="20"/>
        </w:rPr>
        <w:t>3.投标（响应）报价低于采购项目最高限价45%的，即投标（响应）报价&lt;采购项目最高限价×45</w:t>
      </w:r>
      <w:r>
        <w:rPr>
          <w:rFonts w:ascii="宋体" w:hAnsi="宋体" w:eastAsia="宋体" w:cs="宋体"/>
          <w:spacing w:val="1"/>
          <w:sz w:val="20"/>
          <w:szCs w:val="20"/>
        </w:rPr>
        <w:t>%；</w:t>
      </w:r>
    </w:p>
    <w:p w14:paraId="1BE6DACC">
      <w:pPr>
        <w:keepNext w:val="0"/>
        <w:keepLines w:val="0"/>
        <w:pageBreakBefore w:val="0"/>
        <w:kinsoku/>
        <w:wordWrap/>
        <w:overflowPunct/>
        <w:topLinePunct w:val="0"/>
        <w:bidi w:val="0"/>
        <w:spacing w:before="232" w:line="439" w:lineRule="auto"/>
        <w:ind w:left="1" w:right="52" w:firstLine="426"/>
        <w:rPr>
          <w:rFonts w:ascii="宋体" w:hAnsi="宋体" w:eastAsia="宋体" w:cs="宋体"/>
          <w:sz w:val="20"/>
          <w:szCs w:val="20"/>
        </w:rPr>
      </w:pPr>
      <w:r>
        <w:rPr>
          <w:rFonts w:ascii="宋体" w:hAnsi="宋体" w:eastAsia="宋体" w:cs="宋体"/>
          <w:spacing w:val="8"/>
          <w:sz w:val="20"/>
          <w:szCs w:val="20"/>
        </w:rPr>
        <w:t>4.评审委员会基于专业判断，认为供应商报价过低，有可能影响产品质量或者不能诚信履约的其</w:t>
      </w:r>
      <w:r>
        <w:rPr>
          <w:rFonts w:ascii="宋体" w:hAnsi="宋体" w:eastAsia="宋体" w:cs="宋体"/>
          <w:spacing w:val="5"/>
          <w:sz w:val="20"/>
          <w:szCs w:val="20"/>
        </w:rPr>
        <w:t>他情形。</w:t>
      </w:r>
    </w:p>
    <w:p w14:paraId="0333B676">
      <w:pPr>
        <w:keepNext w:val="0"/>
        <w:keepLines w:val="0"/>
        <w:pageBreakBefore w:val="0"/>
        <w:kinsoku/>
        <w:wordWrap/>
        <w:overflowPunct/>
        <w:topLinePunct w:val="0"/>
        <w:bidi w:val="0"/>
        <w:spacing w:line="226" w:lineRule="auto"/>
        <w:ind w:left="428"/>
        <w:rPr>
          <w:rFonts w:ascii="宋体" w:hAnsi="宋体" w:eastAsia="宋体" w:cs="宋体"/>
          <w:sz w:val="20"/>
          <w:szCs w:val="20"/>
        </w:rPr>
      </w:pPr>
      <w:r>
        <w:rPr>
          <w:rFonts w:ascii="宋体" w:hAnsi="宋体" w:eastAsia="宋体" w:cs="宋体"/>
          <w:spacing w:val="9"/>
          <w:sz w:val="20"/>
          <w:szCs w:val="20"/>
        </w:rPr>
        <w:t>相关法律法规对供应商报价有规定的，从其规定。</w:t>
      </w:r>
    </w:p>
    <w:p w14:paraId="57F665DC">
      <w:pPr>
        <w:keepNext w:val="0"/>
        <w:keepLines w:val="0"/>
        <w:pageBreakBefore w:val="0"/>
        <w:kinsoku/>
        <w:wordWrap/>
        <w:overflowPunct/>
        <w:topLinePunct w:val="0"/>
        <w:bidi w:val="0"/>
        <w:spacing w:before="231" w:line="439" w:lineRule="auto"/>
        <w:ind w:left="1" w:right="54" w:firstLine="437"/>
        <w:jc w:val="both"/>
        <w:rPr>
          <w:rFonts w:ascii="宋体" w:hAnsi="宋体" w:eastAsia="宋体" w:cs="宋体"/>
          <w:sz w:val="20"/>
          <w:szCs w:val="20"/>
        </w:rPr>
      </w:pPr>
      <w:r>
        <w:rPr>
          <w:rFonts w:ascii="宋体" w:hAnsi="宋体" w:eastAsia="宋体" w:cs="宋体"/>
          <w:spacing w:val="8"/>
          <w:sz w:val="20"/>
          <w:szCs w:val="20"/>
        </w:rPr>
        <w:t>（二）评审委员会启动异常低价投标（响应）审查后，属于前述第1项至</w:t>
      </w:r>
      <w:r>
        <w:rPr>
          <w:rFonts w:ascii="宋体" w:hAnsi="宋体" w:eastAsia="宋体" w:cs="宋体"/>
          <w:spacing w:val="7"/>
          <w:sz w:val="20"/>
          <w:szCs w:val="20"/>
        </w:rPr>
        <w:t>第4项情形的，应当要求</w:t>
      </w:r>
      <w:r>
        <w:rPr>
          <w:rFonts w:ascii="宋体" w:hAnsi="宋体" w:eastAsia="宋体" w:cs="宋体"/>
          <w:spacing w:val="8"/>
          <w:sz w:val="20"/>
          <w:szCs w:val="20"/>
        </w:rPr>
        <w:t>相关供应商在评审现场合理的时间内对投标（响应）价格作出解释，提供项目具体成本测算等与报价</w:t>
      </w:r>
      <w:r>
        <w:rPr>
          <w:rFonts w:ascii="宋体" w:hAnsi="宋体" w:eastAsia="宋体" w:cs="宋体"/>
          <w:spacing w:val="9"/>
          <w:sz w:val="20"/>
          <w:szCs w:val="20"/>
        </w:rPr>
        <w:t>合理性相关的书面说明及必要的证明材料，</w:t>
      </w:r>
      <w:r>
        <w:rPr>
          <w:rFonts w:ascii="宋体" w:hAnsi="宋体" w:eastAsia="宋体" w:cs="宋体"/>
          <w:spacing w:val="8"/>
          <w:sz w:val="20"/>
          <w:szCs w:val="20"/>
        </w:rPr>
        <w:t>给予</w:t>
      </w:r>
      <w:r>
        <w:rPr>
          <w:rFonts w:ascii="宋体" w:hAnsi="宋体" w:eastAsia="宋体" w:cs="宋体"/>
          <w:spacing w:val="9"/>
          <w:sz w:val="20"/>
          <w:szCs w:val="20"/>
        </w:rPr>
        <w:t>相关供应商的合理时间一般不少于30分钟。其中，属于第3项情形，供应商已随投标（响应）文件一并提交相关书面说明及必要的证明材料的，在评审现场可不再重复提交。</w:t>
      </w:r>
    </w:p>
    <w:p w14:paraId="2FDA64DF">
      <w:pPr>
        <w:keepNext w:val="0"/>
        <w:keepLines w:val="0"/>
        <w:pageBreakBefore w:val="0"/>
        <w:kinsoku/>
        <w:wordWrap/>
        <w:overflowPunct/>
        <w:topLinePunct w:val="0"/>
        <w:bidi w:val="0"/>
        <w:spacing w:line="360" w:lineRule="auto"/>
        <w:ind w:firstLine="432" w:firstLineChars="200"/>
        <w:rPr>
          <w:rFonts w:ascii="宋体" w:hAnsi="宋体" w:eastAsia="宋体" w:cs="宋体"/>
          <w:sz w:val="20"/>
          <w:szCs w:val="20"/>
        </w:rPr>
      </w:pPr>
      <w:r>
        <w:rPr>
          <w:rFonts w:ascii="宋体" w:hAnsi="宋体" w:eastAsia="宋体" w:cs="宋体"/>
          <w:spacing w:val="8"/>
          <w:sz w:val="20"/>
          <w:szCs w:val="20"/>
        </w:rPr>
        <w:t>评审委员会依据专业经验，参考同类项目中标（成交）价格、类似产品市场价格水平、行业人工</w:t>
      </w:r>
      <w:r>
        <w:rPr>
          <w:rFonts w:ascii="宋体" w:hAnsi="宋体" w:eastAsia="宋体" w:cs="宋体"/>
          <w:spacing w:val="4"/>
          <w:sz w:val="20"/>
          <w:szCs w:val="20"/>
        </w:rPr>
        <w:t>费用标准、国家有关部门指导行业协会发布的行业平均成本</w:t>
      </w:r>
      <w:r>
        <w:rPr>
          <w:rFonts w:ascii="宋体" w:hAnsi="宋体" w:eastAsia="宋体" w:cs="宋体"/>
          <w:spacing w:val="3"/>
          <w:sz w:val="20"/>
          <w:szCs w:val="20"/>
        </w:rPr>
        <w:t>等情况，对报价合理性进行判断。投标（响</w:t>
      </w:r>
      <w:r>
        <w:rPr>
          <w:rFonts w:ascii="宋体" w:hAnsi="宋体" w:eastAsia="宋体" w:cs="宋体"/>
          <w:spacing w:val="5"/>
          <w:sz w:val="20"/>
          <w:szCs w:val="20"/>
        </w:rPr>
        <w:t>应）供应商不能提供书面说明、证明材料，或者提供的书面说明、证明材料不能证明其报价合理性的，</w:t>
      </w:r>
      <w:r>
        <w:rPr>
          <w:rFonts w:ascii="宋体" w:hAnsi="宋体" w:eastAsia="宋体" w:cs="宋体"/>
          <w:spacing w:val="8"/>
          <w:sz w:val="20"/>
          <w:szCs w:val="20"/>
        </w:rPr>
        <w:t>评审委员会应当将其作为</w:t>
      </w:r>
      <w:r>
        <w:rPr>
          <w:rFonts w:ascii="宋体" w:hAnsi="宋体" w:eastAsia="宋体" w:cs="宋体"/>
          <w:b/>
          <w:bCs/>
          <w:spacing w:val="8"/>
          <w:sz w:val="20"/>
          <w:szCs w:val="20"/>
        </w:rPr>
        <w:t>无效投标（响应）处理</w:t>
      </w:r>
      <w:r>
        <w:rPr>
          <w:rFonts w:ascii="宋体" w:hAnsi="宋体" w:eastAsia="宋体" w:cs="宋体"/>
          <w:spacing w:val="8"/>
          <w:sz w:val="20"/>
          <w:szCs w:val="20"/>
        </w:rPr>
        <w:t>。</w:t>
      </w:r>
    </w:p>
    <w:p w14:paraId="19F8154C">
      <w:pPr>
        <w:keepNext w:val="0"/>
        <w:keepLines w:val="0"/>
        <w:pageBreakBefore w:val="0"/>
        <w:kinsoku/>
        <w:wordWrap/>
        <w:overflowPunct/>
        <w:topLinePunct w:val="0"/>
        <w:bidi w:val="0"/>
        <w:spacing w:line="439" w:lineRule="auto"/>
        <w:ind w:right="54" w:firstLine="427"/>
        <w:jc w:val="both"/>
        <w:rPr>
          <w:rFonts w:ascii="宋体" w:hAnsi="宋体" w:eastAsia="宋体" w:cs="宋体"/>
          <w:sz w:val="20"/>
          <w:szCs w:val="20"/>
        </w:rPr>
      </w:pPr>
      <w:r>
        <w:rPr>
          <w:rFonts w:ascii="宋体" w:hAnsi="宋体" w:eastAsia="宋体" w:cs="宋体"/>
          <w:spacing w:val="8"/>
          <w:sz w:val="20"/>
          <w:szCs w:val="20"/>
        </w:rPr>
        <w:t>采购人、采购代理机构应当为评审委员会在评审现场及时获取同类项目中标（成交）价格、类似</w:t>
      </w:r>
      <w:r>
        <w:rPr>
          <w:rFonts w:ascii="宋体" w:hAnsi="宋体" w:eastAsia="宋体" w:cs="宋体"/>
          <w:spacing w:val="9"/>
          <w:sz w:val="20"/>
          <w:szCs w:val="20"/>
        </w:rPr>
        <w:t>产品市场价格水平、行业人工费用标准、国</w:t>
      </w:r>
      <w:r>
        <w:rPr>
          <w:rFonts w:ascii="宋体" w:hAnsi="宋体" w:eastAsia="宋体" w:cs="宋体"/>
          <w:spacing w:val="8"/>
          <w:sz w:val="20"/>
          <w:szCs w:val="20"/>
        </w:rPr>
        <w:t>家有关部门指导行业协会发布的行业平均成本等相关信息</w:t>
      </w:r>
      <w:r>
        <w:rPr>
          <w:rFonts w:ascii="宋体" w:hAnsi="宋体" w:eastAsia="宋体" w:cs="宋体"/>
          <w:spacing w:val="9"/>
          <w:sz w:val="20"/>
          <w:szCs w:val="20"/>
        </w:rPr>
        <w:t>资料提供便利。评审委员会借助互联网等渠道查询</w:t>
      </w:r>
      <w:r>
        <w:rPr>
          <w:rFonts w:ascii="宋体" w:hAnsi="宋体" w:eastAsia="宋体" w:cs="宋体"/>
          <w:spacing w:val="8"/>
          <w:sz w:val="20"/>
          <w:szCs w:val="20"/>
        </w:rPr>
        <w:t>相关信息的，应当严格遵守评审工作纪律，不得实施影响评审公正的行为。</w:t>
      </w:r>
    </w:p>
    <w:p w14:paraId="0A18A599">
      <w:pPr>
        <w:keepNext w:val="0"/>
        <w:keepLines w:val="0"/>
        <w:pageBreakBefore w:val="0"/>
        <w:kinsoku/>
        <w:wordWrap/>
        <w:overflowPunct/>
        <w:topLinePunct w:val="0"/>
        <w:bidi w:val="0"/>
        <w:spacing w:before="1" w:line="438" w:lineRule="auto"/>
        <w:ind w:left="5" w:right="54" w:firstLine="425"/>
        <w:rPr>
          <w:rFonts w:ascii="宋体" w:hAnsi="宋体" w:eastAsia="宋体" w:cs="宋体"/>
          <w:sz w:val="20"/>
          <w:szCs w:val="20"/>
        </w:rPr>
      </w:pPr>
      <w:r>
        <w:rPr>
          <w:rFonts w:ascii="宋体" w:hAnsi="宋体" w:eastAsia="宋体" w:cs="宋体"/>
          <w:b/>
          <w:bCs/>
          <w:spacing w:val="6"/>
          <w:sz w:val="20"/>
          <w:szCs w:val="20"/>
        </w:rPr>
        <w:t>异常低价投标（响应）审查的启动原因、审查意见和审查结果应当在评审报告中记录，并随供应</w:t>
      </w:r>
      <w:r>
        <w:rPr>
          <w:rFonts w:ascii="宋体" w:hAnsi="宋体" w:eastAsia="宋体" w:cs="宋体"/>
          <w:b/>
          <w:bCs/>
          <w:spacing w:val="8"/>
          <w:sz w:val="20"/>
          <w:szCs w:val="20"/>
        </w:rPr>
        <w:t>商提供的相关书面说明及证明材料，以及评审委员会有关互联网浏览、查询历史一并归档。</w:t>
      </w:r>
    </w:p>
    <w:p w14:paraId="3D9044DF">
      <w:pPr>
        <w:keepNext w:val="0"/>
        <w:keepLines w:val="0"/>
        <w:pageBreakBefore w:val="0"/>
        <w:kinsoku/>
        <w:wordWrap/>
        <w:overflowPunct/>
        <w:topLinePunct w:val="0"/>
        <w:bidi w:val="0"/>
        <w:spacing w:line="228" w:lineRule="auto"/>
        <w:ind w:left="5"/>
        <w:rPr>
          <w:rFonts w:ascii="宋体" w:hAnsi="宋体" w:eastAsia="宋体" w:cs="宋体"/>
          <w:sz w:val="20"/>
          <w:szCs w:val="20"/>
        </w:rPr>
      </w:pPr>
      <w:r>
        <w:rPr>
          <w:rFonts w:ascii="宋体" w:hAnsi="宋体" w:eastAsia="宋体" w:cs="宋体"/>
          <w:b/>
          <w:bCs/>
          <w:spacing w:val="3"/>
          <w:sz w:val="20"/>
          <w:szCs w:val="20"/>
        </w:rPr>
        <w:t>3.2</w:t>
      </w:r>
      <w:r>
        <w:rPr>
          <w:rFonts w:ascii="宋体" w:hAnsi="宋体" w:eastAsia="宋体" w:cs="宋体"/>
          <w:spacing w:val="15"/>
          <w:sz w:val="20"/>
          <w:szCs w:val="20"/>
        </w:rPr>
        <w:t xml:space="preserve"> </w:t>
      </w:r>
      <w:r>
        <w:rPr>
          <w:rFonts w:ascii="宋体" w:hAnsi="宋体" w:eastAsia="宋体" w:cs="宋体"/>
          <w:b/>
          <w:bCs/>
          <w:spacing w:val="3"/>
          <w:sz w:val="20"/>
          <w:szCs w:val="20"/>
        </w:rPr>
        <w:t>详细评审</w:t>
      </w:r>
    </w:p>
    <w:p w14:paraId="2428B9A9">
      <w:pPr>
        <w:keepNext w:val="0"/>
        <w:keepLines w:val="0"/>
        <w:pageBreakBefore w:val="0"/>
        <w:kinsoku/>
        <w:wordWrap/>
        <w:overflowPunct/>
        <w:topLinePunct w:val="0"/>
        <w:bidi w:val="0"/>
        <w:spacing w:before="228" w:line="226" w:lineRule="auto"/>
        <w:ind w:left="432"/>
        <w:rPr>
          <w:rFonts w:ascii="宋体" w:hAnsi="宋体" w:eastAsia="宋体" w:cs="宋体"/>
          <w:sz w:val="20"/>
          <w:szCs w:val="20"/>
        </w:rPr>
      </w:pPr>
      <w:r>
        <w:rPr>
          <w:rFonts w:ascii="宋体" w:hAnsi="宋体" w:eastAsia="宋体" w:cs="宋体"/>
          <w:spacing w:val="8"/>
          <w:sz w:val="20"/>
          <w:szCs w:val="20"/>
        </w:rPr>
        <w:t>3.2.1 评标委员会按本章第</w:t>
      </w:r>
      <w:r>
        <w:rPr>
          <w:rFonts w:ascii="宋体" w:hAnsi="宋体" w:eastAsia="宋体" w:cs="宋体"/>
          <w:spacing w:val="-37"/>
          <w:sz w:val="20"/>
          <w:szCs w:val="20"/>
        </w:rPr>
        <w:t xml:space="preserve"> </w:t>
      </w:r>
      <w:r>
        <w:rPr>
          <w:rFonts w:ascii="宋体" w:hAnsi="宋体" w:eastAsia="宋体" w:cs="宋体"/>
          <w:spacing w:val="8"/>
          <w:sz w:val="20"/>
          <w:szCs w:val="20"/>
        </w:rPr>
        <w:t>2.2</w:t>
      </w:r>
      <w:r>
        <w:rPr>
          <w:rFonts w:ascii="宋体" w:hAnsi="宋体" w:eastAsia="宋体" w:cs="宋体"/>
          <w:spacing w:val="-37"/>
          <w:sz w:val="20"/>
          <w:szCs w:val="20"/>
        </w:rPr>
        <w:t xml:space="preserve"> </w:t>
      </w:r>
      <w:r>
        <w:rPr>
          <w:rFonts w:ascii="宋体" w:hAnsi="宋体" w:eastAsia="宋体" w:cs="宋体"/>
          <w:spacing w:val="8"/>
          <w:sz w:val="20"/>
          <w:szCs w:val="20"/>
        </w:rPr>
        <w:t>款规定的量化因素和分值进行打分，并计算出综合评估得</w:t>
      </w:r>
      <w:r>
        <w:rPr>
          <w:rFonts w:ascii="宋体" w:hAnsi="宋体" w:eastAsia="宋体" w:cs="宋体"/>
          <w:spacing w:val="7"/>
          <w:sz w:val="20"/>
          <w:szCs w:val="20"/>
        </w:rPr>
        <w:t>分。</w:t>
      </w:r>
    </w:p>
    <w:p w14:paraId="0244B312">
      <w:pPr>
        <w:keepNext w:val="0"/>
        <w:keepLines w:val="0"/>
        <w:pageBreakBefore w:val="0"/>
        <w:kinsoku/>
        <w:wordWrap/>
        <w:overflowPunct/>
        <w:topLinePunct w:val="0"/>
        <w:bidi w:val="0"/>
        <w:spacing w:before="230" w:line="227" w:lineRule="auto"/>
        <w:ind w:left="438"/>
        <w:rPr>
          <w:rFonts w:ascii="宋体" w:hAnsi="宋体" w:eastAsia="宋体" w:cs="宋体"/>
          <w:sz w:val="20"/>
          <w:szCs w:val="20"/>
        </w:rPr>
      </w:pPr>
      <w:r>
        <w:rPr>
          <w:rFonts w:ascii="宋体" w:hAnsi="宋体" w:eastAsia="宋体" w:cs="宋体"/>
          <w:spacing w:val="11"/>
          <w:sz w:val="20"/>
          <w:szCs w:val="20"/>
        </w:rPr>
        <w:t>（1）按本章评标办法前附表规定的评审因素和分值对经济</w:t>
      </w:r>
      <w:r>
        <w:rPr>
          <w:rFonts w:ascii="宋体" w:hAnsi="宋体" w:eastAsia="宋体" w:cs="宋体"/>
          <w:spacing w:val="10"/>
          <w:sz w:val="20"/>
          <w:szCs w:val="20"/>
        </w:rPr>
        <w:t>标部分计算出得分A；</w:t>
      </w:r>
    </w:p>
    <w:p w14:paraId="4B8C2265">
      <w:pPr>
        <w:keepNext w:val="0"/>
        <w:keepLines w:val="0"/>
        <w:pageBreakBefore w:val="0"/>
        <w:kinsoku/>
        <w:wordWrap/>
        <w:overflowPunct/>
        <w:topLinePunct w:val="0"/>
        <w:bidi w:val="0"/>
        <w:spacing w:before="232" w:line="227" w:lineRule="auto"/>
        <w:ind w:left="438"/>
        <w:rPr>
          <w:rFonts w:ascii="宋体" w:hAnsi="宋体" w:eastAsia="宋体" w:cs="宋体"/>
          <w:sz w:val="20"/>
          <w:szCs w:val="20"/>
        </w:rPr>
      </w:pPr>
      <w:r>
        <w:rPr>
          <w:rFonts w:ascii="宋体" w:hAnsi="宋体" w:eastAsia="宋体" w:cs="宋体"/>
          <w:spacing w:val="11"/>
          <w:sz w:val="20"/>
          <w:szCs w:val="20"/>
        </w:rPr>
        <w:t>（2）按本章评标办法前附表规定的评审因素和分值对技术</w:t>
      </w:r>
      <w:r>
        <w:rPr>
          <w:rFonts w:ascii="宋体" w:hAnsi="宋体" w:eastAsia="宋体" w:cs="宋体"/>
          <w:spacing w:val="10"/>
          <w:sz w:val="20"/>
          <w:szCs w:val="20"/>
        </w:rPr>
        <w:t>标部分计算出得分B；</w:t>
      </w:r>
    </w:p>
    <w:p w14:paraId="13989A6A">
      <w:pPr>
        <w:keepNext w:val="0"/>
        <w:keepLines w:val="0"/>
        <w:pageBreakBefore w:val="0"/>
        <w:kinsoku/>
        <w:wordWrap/>
        <w:overflowPunct/>
        <w:topLinePunct w:val="0"/>
        <w:bidi w:val="0"/>
        <w:spacing w:before="229" w:line="227" w:lineRule="auto"/>
        <w:ind w:left="438"/>
        <w:rPr>
          <w:rFonts w:ascii="宋体" w:hAnsi="宋体" w:eastAsia="宋体" w:cs="宋体"/>
          <w:sz w:val="20"/>
          <w:szCs w:val="20"/>
        </w:rPr>
      </w:pPr>
      <w:r>
        <w:rPr>
          <w:rFonts w:ascii="宋体" w:hAnsi="宋体" w:eastAsia="宋体" w:cs="宋体"/>
          <w:spacing w:val="11"/>
          <w:sz w:val="20"/>
          <w:szCs w:val="20"/>
        </w:rPr>
        <w:t>（3）按本章评标办法前附表规定的评审因素和分值对综合</w:t>
      </w:r>
      <w:r>
        <w:rPr>
          <w:rFonts w:ascii="宋体" w:hAnsi="宋体" w:eastAsia="宋体" w:cs="宋体"/>
          <w:spacing w:val="10"/>
          <w:sz w:val="20"/>
          <w:szCs w:val="20"/>
        </w:rPr>
        <w:t>标部分计算出得分C；</w:t>
      </w:r>
    </w:p>
    <w:p w14:paraId="01649FA9">
      <w:pPr>
        <w:keepNext w:val="0"/>
        <w:keepLines w:val="0"/>
        <w:pageBreakBefore w:val="0"/>
        <w:kinsoku/>
        <w:wordWrap/>
        <w:overflowPunct/>
        <w:topLinePunct w:val="0"/>
        <w:bidi w:val="0"/>
        <w:spacing w:before="229" w:line="228" w:lineRule="auto"/>
        <w:ind w:left="432"/>
        <w:rPr>
          <w:rFonts w:ascii="宋体" w:hAnsi="宋体" w:eastAsia="宋体" w:cs="宋体"/>
          <w:sz w:val="20"/>
          <w:szCs w:val="20"/>
        </w:rPr>
      </w:pPr>
      <w:r>
        <w:rPr>
          <w:rFonts w:ascii="宋体" w:hAnsi="宋体" w:eastAsia="宋体" w:cs="宋体"/>
          <w:spacing w:val="8"/>
          <w:sz w:val="20"/>
          <w:szCs w:val="20"/>
        </w:rPr>
        <w:t>3.2.2 评分分值计算保留小数点后两</w:t>
      </w:r>
      <w:r>
        <w:rPr>
          <w:rFonts w:ascii="宋体" w:hAnsi="宋体" w:eastAsia="宋体" w:cs="宋体"/>
          <w:spacing w:val="7"/>
          <w:sz w:val="20"/>
          <w:szCs w:val="20"/>
        </w:rPr>
        <w:t>位，小数点后第三位“</w:t>
      </w:r>
      <w:r>
        <w:rPr>
          <w:rFonts w:ascii="宋体" w:hAnsi="宋体" w:eastAsia="宋体" w:cs="宋体"/>
          <w:spacing w:val="-70"/>
          <w:sz w:val="20"/>
          <w:szCs w:val="20"/>
        </w:rPr>
        <w:t xml:space="preserve"> </w:t>
      </w:r>
      <w:r>
        <w:rPr>
          <w:rFonts w:ascii="宋体" w:hAnsi="宋体" w:eastAsia="宋体" w:cs="宋体"/>
          <w:spacing w:val="7"/>
          <w:sz w:val="20"/>
          <w:szCs w:val="20"/>
        </w:rPr>
        <w:t>四舍五入</w:t>
      </w:r>
      <w:r>
        <w:rPr>
          <w:rFonts w:ascii="宋体" w:hAnsi="宋体" w:eastAsia="宋体" w:cs="宋体"/>
          <w:spacing w:val="-70"/>
          <w:sz w:val="20"/>
          <w:szCs w:val="20"/>
        </w:rPr>
        <w:t xml:space="preserve"> </w:t>
      </w:r>
      <w:r>
        <w:rPr>
          <w:rFonts w:ascii="宋体" w:hAnsi="宋体" w:eastAsia="宋体" w:cs="宋体"/>
          <w:spacing w:val="7"/>
          <w:sz w:val="20"/>
          <w:szCs w:val="20"/>
        </w:rPr>
        <w:t>”。</w:t>
      </w:r>
    </w:p>
    <w:p w14:paraId="6D42E2F5">
      <w:pPr>
        <w:keepNext w:val="0"/>
        <w:keepLines w:val="0"/>
        <w:pageBreakBefore w:val="0"/>
        <w:kinsoku/>
        <w:wordWrap/>
        <w:overflowPunct/>
        <w:topLinePunct w:val="0"/>
        <w:bidi w:val="0"/>
        <w:spacing w:before="228" w:line="228" w:lineRule="auto"/>
        <w:ind w:left="432"/>
        <w:rPr>
          <w:rFonts w:ascii="宋体" w:hAnsi="宋体" w:eastAsia="宋体" w:cs="宋体"/>
          <w:sz w:val="20"/>
          <w:szCs w:val="20"/>
        </w:rPr>
      </w:pPr>
      <w:r>
        <w:rPr>
          <w:rFonts w:ascii="宋体" w:hAnsi="宋体" w:eastAsia="宋体" w:cs="宋体"/>
          <w:spacing w:val="8"/>
          <w:sz w:val="20"/>
          <w:szCs w:val="20"/>
        </w:rPr>
        <w:t>3.2.3 投标人得分=A+B+C，投标人的最终得分为所有评委对其打分的算术平</w:t>
      </w:r>
      <w:r>
        <w:rPr>
          <w:rFonts w:ascii="宋体" w:hAnsi="宋体" w:eastAsia="宋体" w:cs="宋体"/>
          <w:spacing w:val="7"/>
          <w:sz w:val="20"/>
          <w:szCs w:val="20"/>
        </w:rPr>
        <w:t>均值。</w:t>
      </w:r>
    </w:p>
    <w:p w14:paraId="6B50C8EE">
      <w:pPr>
        <w:keepNext w:val="0"/>
        <w:keepLines w:val="0"/>
        <w:pageBreakBefore w:val="0"/>
        <w:kinsoku/>
        <w:wordWrap/>
        <w:overflowPunct/>
        <w:topLinePunct w:val="0"/>
        <w:bidi w:val="0"/>
        <w:spacing w:before="228" w:line="439" w:lineRule="auto"/>
        <w:ind w:left="3" w:right="50" w:firstLine="428"/>
        <w:rPr>
          <w:rFonts w:ascii="宋体" w:hAnsi="宋体" w:eastAsia="宋体" w:cs="宋体"/>
          <w:sz w:val="20"/>
          <w:szCs w:val="20"/>
        </w:rPr>
      </w:pPr>
      <w:r>
        <w:rPr>
          <w:rFonts w:ascii="宋体" w:hAnsi="宋体" w:eastAsia="宋体" w:cs="宋体"/>
          <w:spacing w:val="8"/>
          <w:sz w:val="20"/>
          <w:szCs w:val="20"/>
        </w:rPr>
        <w:t>3.2.4 评标委员会认为投标人的报价明显低于其</w:t>
      </w:r>
      <w:r>
        <w:rPr>
          <w:rFonts w:ascii="宋体" w:hAnsi="宋体" w:eastAsia="宋体" w:cs="宋体"/>
          <w:spacing w:val="7"/>
          <w:sz w:val="20"/>
          <w:szCs w:val="20"/>
        </w:rPr>
        <w:t>他通过符合性审查投标人的报价，有可能影响产</w:t>
      </w:r>
      <w:r>
        <w:rPr>
          <w:rFonts w:ascii="宋体" w:hAnsi="宋体" w:eastAsia="宋体" w:cs="宋体"/>
          <w:spacing w:val="9"/>
          <w:sz w:val="20"/>
          <w:szCs w:val="20"/>
        </w:rPr>
        <w:t>品质量或者不能诚信履约的，应当要求其在合理的时</w:t>
      </w:r>
      <w:r>
        <w:rPr>
          <w:rFonts w:ascii="宋体" w:hAnsi="宋体" w:eastAsia="宋体" w:cs="宋体"/>
          <w:spacing w:val="8"/>
          <w:sz w:val="20"/>
          <w:szCs w:val="20"/>
        </w:rPr>
        <w:t>间内提供书面说明，必要时提交相关证明材料；</w:t>
      </w:r>
      <w:r>
        <w:rPr>
          <w:rFonts w:ascii="宋体" w:hAnsi="宋体" w:eastAsia="宋体" w:cs="宋体"/>
          <w:spacing w:val="9"/>
          <w:sz w:val="20"/>
          <w:szCs w:val="20"/>
        </w:rPr>
        <w:t>投标人不能证明其报价合理性的，评标委员会应当将其作为</w:t>
      </w:r>
      <w:r>
        <w:rPr>
          <w:rFonts w:ascii="宋体" w:hAnsi="宋体" w:eastAsia="宋体" w:cs="宋体"/>
          <w:b/>
          <w:bCs/>
          <w:spacing w:val="9"/>
          <w:sz w:val="20"/>
          <w:szCs w:val="20"/>
        </w:rPr>
        <w:t>无效投标处理</w:t>
      </w:r>
      <w:r>
        <w:rPr>
          <w:rFonts w:ascii="宋体" w:hAnsi="宋体" w:eastAsia="宋体" w:cs="宋体"/>
          <w:spacing w:val="9"/>
          <w:sz w:val="20"/>
          <w:szCs w:val="20"/>
        </w:rPr>
        <w:t>。</w:t>
      </w:r>
    </w:p>
    <w:p w14:paraId="38580CA1">
      <w:pPr>
        <w:keepNext w:val="0"/>
        <w:keepLines w:val="0"/>
        <w:pageBreakBefore w:val="0"/>
        <w:kinsoku/>
        <w:wordWrap/>
        <w:overflowPunct/>
        <w:topLinePunct w:val="0"/>
        <w:bidi w:val="0"/>
        <w:spacing w:line="227" w:lineRule="auto"/>
        <w:ind w:left="5"/>
        <w:rPr>
          <w:rFonts w:ascii="宋体" w:hAnsi="宋体" w:eastAsia="宋体" w:cs="宋体"/>
          <w:sz w:val="20"/>
          <w:szCs w:val="20"/>
        </w:rPr>
      </w:pPr>
      <w:r>
        <w:rPr>
          <w:rFonts w:ascii="宋体" w:hAnsi="宋体" w:eastAsia="宋体" w:cs="宋体"/>
          <w:b/>
          <w:bCs/>
          <w:spacing w:val="6"/>
          <w:sz w:val="20"/>
          <w:szCs w:val="20"/>
        </w:rPr>
        <w:t>3.3</w:t>
      </w:r>
      <w:r>
        <w:rPr>
          <w:rFonts w:ascii="宋体" w:hAnsi="宋体" w:eastAsia="宋体" w:cs="宋体"/>
          <w:spacing w:val="6"/>
          <w:sz w:val="20"/>
          <w:szCs w:val="20"/>
        </w:rPr>
        <w:t xml:space="preserve"> </w:t>
      </w:r>
      <w:r>
        <w:rPr>
          <w:rFonts w:ascii="宋体" w:hAnsi="宋体" w:eastAsia="宋体" w:cs="宋体"/>
          <w:b/>
          <w:bCs/>
          <w:spacing w:val="6"/>
          <w:sz w:val="20"/>
          <w:szCs w:val="20"/>
        </w:rPr>
        <w:t>投标文件的澄清和补正</w:t>
      </w:r>
    </w:p>
    <w:p w14:paraId="209E7219">
      <w:pPr>
        <w:keepNext w:val="0"/>
        <w:keepLines w:val="0"/>
        <w:pageBreakBefore w:val="0"/>
        <w:kinsoku/>
        <w:wordWrap/>
        <w:overflowPunct/>
        <w:topLinePunct w:val="0"/>
        <w:bidi w:val="0"/>
        <w:spacing w:before="230" w:line="439" w:lineRule="auto"/>
        <w:ind w:left="4" w:right="35" w:firstLine="418"/>
        <w:rPr>
          <w:rFonts w:ascii="宋体" w:hAnsi="宋体" w:eastAsia="宋体" w:cs="宋体"/>
          <w:sz w:val="20"/>
          <w:szCs w:val="20"/>
        </w:rPr>
      </w:pPr>
      <w:r>
        <w:rPr>
          <w:rFonts w:ascii="宋体" w:hAnsi="宋体" w:eastAsia="宋体" w:cs="宋体"/>
          <w:spacing w:val="8"/>
          <w:sz w:val="20"/>
          <w:szCs w:val="20"/>
        </w:rPr>
        <w:t>3.3.1 在评标过程中，评标委员会可以书面形式要求投标人对所提交投标文件中不明确的内容进</w:t>
      </w:r>
      <w:r>
        <w:rPr>
          <w:rFonts w:ascii="宋体" w:hAnsi="宋体" w:eastAsia="宋体" w:cs="宋体"/>
          <w:spacing w:val="9"/>
          <w:sz w:val="20"/>
          <w:szCs w:val="20"/>
        </w:rPr>
        <w:t>行书面澄清或说明，或者对细微偏差进行补正。评标委员会不接受投标人主动提出的</w:t>
      </w:r>
      <w:r>
        <w:rPr>
          <w:rFonts w:ascii="宋体" w:hAnsi="宋体" w:eastAsia="宋体" w:cs="宋体"/>
          <w:spacing w:val="8"/>
          <w:sz w:val="20"/>
          <w:szCs w:val="20"/>
        </w:rPr>
        <w:t>澄清、说明或补</w:t>
      </w:r>
      <w:r>
        <w:rPr>
          <w:rFonts w:ascii="宋体" w:hAnsi="宋体" w:eastAsia="宋体" w:cs="宋体"/>
          <w:spacing w:val="-2"/>
          <w:sz w:val="20"/>
          <w:szCs w:val="20"/>
        </w:rPr>
        <w:t>正。</w:t>
      </w:r>
    </w:p>
    <w:p w14:paraId="65AE8AFE">
      <w:pPr>
        <w:keepNext w:val="0"/>
        <w:keepLines w:val="0"/>
        <w:pageBreakBefore w:val="0"/>
        <w:kinsoku/>
        <w:wordWrap/>
        <w:overflowPunct/>
        <w:topLinePunct w:val="0"/>
        <w:bidi w:val="0"/>
        <w:spacing w:before="1" w:line="438" w:lineRule="auto"/>
        <w:ind w:left="5" w:right="35" w:firstLine="417"/>
        <w:rPr>
          <w:rFonts w:ascii="宋体" w:hAnsi="宋体" w:eastAsia="宋体" w:cs="宋体"/>
          <w:sz w:val="20"/>
          <w:szCs w:val="20"/>
        </w:rPr>
      </w:pPr>
      <w:r>
        <w:rPr>
          <w:rFonts w:ascii="宋体" w:hAnsi="宋体" w:eastAsia="宋体" w:cs="宋体"/>
          <w:spacing w:val="8"/>
          <w:sz w:val="20"/>
          <w:szCs w:val="20"/>
        </w:rPr>
        <w:t>3.3.2 澄清、说明和补正不得改变投标文件的实质性内容（算术性错误修正的除外）。投标人的</w:t>
      </w:r>
      <w:r>
        <w:rPr>
          <w:rFonts w:ascii="宋体" w:hAnsi="宋体" w:eastAsia="宋体" w:cs="宋体"/>
          <w:spacing w:val="9"/>
          <w:sz w:val="20"/>
          <w:szCs w:val="20"/>
        </w:rPr>
        <w:t>书面澄清、说明和补正属于投标文件的组成</w:t>
      </w:r>
      <w:r>
        <w:rPr>
          <w:rFonts w:ascii="宋体" w:hAnsi="宋体" w:eastAsia="宋体" w:cs="宋体"/>
          <w:spacing w:val="8"/>
          <w:sz w:val="20"/>
          <w:szCs w:val="20"/>
        </w:rPr>
        <w:t>部分。</w:t>
      </w:r>
    </w:p>
    <w:p w14:paraId="48F69753">
      <w:pPr>
        <w:keepNext w:val="0"/>
        <w:keepLines w:val="0"/>
        <w:pageBreakBefore w:val="0"/>
        <w:kinsoku/>
        <w:wordWrap/>
        <w:overflowPunct/>
        <w:topLinePunct w:val="0"/>
        <w:bidi w:val="0"/>
        <w:spacing w:before="2" w:line="438" w:lineRule="auto"/>
        <w:ind w:left="20" w:right="54" w:firstLine="411"/>
        <w:rPr>
          <w:rFonts w:ascii="宋体" w:hAnsi="宋体" w:eastAsia="宋体" w:cs="宋体"/>
          <w:sz w:val="20"/>
          <w:szCs w:val="20"/>
        </w:rPr>
      </w:pPr>
      <w:r>
        <w:rPr>
          <w:rFonts w:ascii="宋体" w:hAnsi="宋体" w:eastAsia="宋体" w:cs="宋体"/>
          <w:spacing w:val="8"/>
          <w:sz w:val="20"/>
          <w:szCs w:val="20"/>
        </w:rPr>
        <w:t>3.3.3 评标委员会对投标人提交的澄清、说明或补正有</w:t>
      </w:r>
      <w:r>
        <w:rPr>
          <w:rFonts w:ascii="宋体" w:hAnsi="宋体" w:eastAsia="宋体" w:cs="宋体"/>
          <w:spacing w:val="7"/>
          <w:sz w:val="20"/>
          <w:szCs w:val="20"/>
        </w:rPr>
        <w:t>疑问的，可以要求投标人进一步澄清、说明或补正，直至满足评标委员会的要求。</w:t>
      </w:r>
    </w:p>
    <w:p w14:paraId="59A8ED26">
      <w:pPr>
        <w:keepNext w:val="0"/>
        <w:keepLines w:val="0"/>
        <w:pageBreakBefore w:val="0"/>
        <w:kinsoku/>
        <w:wordWrap/>
        <w:overflowPunct/>
        <w:topLinePunct w:val="0"/>
        <w:bidi w:val="0"/>
        <w:spacing w:line="228" w:lineRule="auto"/>
        <w:ind w:left="5"/>
        <w:rPr>
          <w:rFonts w:ascii="宋体" w:hAnsi="宋体" w:eastAsia="宋体" w:cs="宋体"/>
          <w:sz w:val="20"/>
          <w:szCs w:val="20"/>
        </w:rPr>
      </w:pPr>
      <w:r>
        <w:rPr>
          <w:rFonts w:ascii="宋体" w:hAnsi="宋体" w:eastAsia="宋体" w:cs="宋体"/>
          <w:b/>
          <w:bCs/>
          <w:spacing w:val="4"/>
          <w:sz w:val="20"/>
          <w:szCs w:val="20"/>
        </w:rPr>
        <w:t>3.4</w:t>
      </w:r>
      <w:r>
        <w:rPr>
          <w:rFonts w:ascii="宋体" w:hAnsi="宋体" w:eastAsia="宋体" w:cs="宋体"/>
          <w:spacing w:val="4"/>
          <w:sz w:val="20"/>
          <w:szCs w:val="20"/>
        </w:rPr>
        <w:t xml:space="preserve"> </w:t>
      </w:r>
      <w:r>
        <w:rPr>
          <w:rFonts w:ascii="宋体" w:hAnsi="宋体" w:eastAsia="宋体" w:cs="宋体"/>
          <w:b/>
          <w:bCs/>
          <w:spacing w:val="4"/>
          <w:sz w:val="20"/>
          <w:szCs w:val="20"/>
        </w:rPr>
        <w:t>评标结果</w:t>
      </w:r>
    </w:p>
    <w:p w14:paraId="14E11CC7">
      <w:pPr>
        <w:keepNext w:val="0"/>
        <w:keepLines w:val="0"/>
        <w:pageBreakBefore w:val="0"/>
        <w:kinsoku/>
        <w:wordWrap/>
        <w:overflowPunct/>
        <w:topLinePunct w:val="0"/>
        <w:bidi w:val="0"/>
        <w:spacing w:before="230" w:line="227" w:lineRule="auto"/>
        <w:ind w:left="425"/>
        <w:rPr>
          <w:rFonts w:ascii="宋体" w:hAnsi="宋体" w:eastAsia="宋体" w:cs="宋体"/>
          <w:sz w:val="20"/>
          <w:szCs w:val="20"/>
          <w:highlight w:val="green"/>
        </w:rPr>
      </w:pPr>
      <w:r>
        <w:rPr>
          <w:rFonts w:ascii="宋体" w:hAnsi="宋体" w:eastAsia="宋体" w:cs="宋体"/>
          <w:spacing w:val="7"/>
          <w:sz w:val="20"/>
          <w:szCs w:val="20"/>
        </w:rPr>
        <w:t>3.4</w:t>
      </w:r>
      <w:r>
        <w:rPr>
          <w:rFonts w:ascii="宋体" w:hAnsi="宋体" w:eastAsia="宋体" w:cs="宋体"/>
          <w:spacing w:val="7"/>
          <w:sz w:val="20"/>
          <w:szCs w:val="20"/>
          <w:highlight w:val="none"/>
        </w:rPr>
        <w:t>.1 除第二章“投标人须知</w:t>
      </w:r>
      <w:r>
        <w:rPr>
          <w:rFonts w:ascii="宋体" w:hAnsi="宋体" w:eastAsia="宋体" w:cs="宋体"/>
          <w:spacing w:val="-69"/>
          <w:sz w:val="20"/>
          <w:szCs w:val="20"/>
          <w:highlight w:val="none"/>
        </w:rPr>
        <w:t xml:space="preserve"> </w:t>
      </w:r>
      <w:r>
        <w:rPr>
          <w:rFonts w:ascii="宋体" w:hAnsi="宋体" w:eastAsia="宋体" w:cs="宋体"/>
          <w:spacing w:val="7"/>
          <w:sz w:val="20"/>
          <w:szCs w:val="20"/>
          <w:highlight w:val="none"/>
        </w:rPr>
        <w:t>”前附表授权直接确定中标人外，评标委员会按照得分由高到低的顺序推荐</w:t>
      </w:r>
      <w:r>
        <w:rPr>
          <w:rFonts w:hint="eastAsia" w:ascii="宋体" w:hAnsi="宋体" w:eastAsia="宋体" w:cs="宋体"/>
          <w:color w:val="000000" w:themeColor="text1"/>
          <w:spacing w:val="7"/>
          <w:sz w:val="20"/>
          <w:szCs w:val="20"/>
          <w:highlight w:val="none"/>
          <w:lang w:val="en-US" w:eastAsia="zh-CN"/>
          <w14:textFill>
            <w14:solidFill>
              <w14:schemeClr w14:val="tx1"/>
            </w14:solidFill>
          </w14:textFill>
        </w:rPr>
        <w:t>3名</w:t>
      </w:r>
      <w:r>
        <w:rPr>
          <w:rFonts w:ascii="宋体" w:hAnsi="宋体" w:eastAsia="宋体" w:cs="宋体"/>
          <w:spacing w:val="7"/>
          <w:sz w:val="20"/>
          <w:szCs w:val="20"/>
          <w:highlight w:val="none"/>
        </w:rPr>
        <w:t>中标候选人。</w:t>
      </w:r>
    </w:p>
    <w:p w14:paraId="57F20720">
      <w:pPr>
        <w:keepNext w:val="0"/>
        <w:keepLines w:val="0"/>
        <w:pageBreakBefore w:val="0"/>
        <w:kinsoku/>
        <w:wordWrap/>
        <w:overflowPunct/>
        <w:topLinePunct w:val="0"/>
        <w:bidi w:val="0"/>
        <w:spacing w:before="229" w:line="226" w:lineRule="auto"/>
        <w:ind w:left="430"/>
        <w:rPr>
          <w:rFonts w:ascii="宋体" w:hAnsi="宋体" w:eastAsia="宋体" w:cs="宋体"/>
          <w:sz w:val="20"/>
          <w:szCs w:val="20"/>
        </w:rPr>
      </w:pPr>
      <w:r>
        <w:rPr>
          <w:rFonts w:ascii="宋体" w:hAnsi="宋体" w:eastAsia="宋体" w:cs="宋体"/>
          <w:spacing w:val="8"/>
          <w:sz w:val="20"/>
          <w:szCs w:val="20"/>
        </w:rPr>
        <w:t>3.4.2 评标委员会完成评标后，应当向采购人提交书面评标报告。</w:t>
      </w:r>
    </w:p>
    <w:p w14:paraId="15695008">
      <w:pPr>
        <w:rPr>
          <w:rFonts w:ascii="宋体" w:hAnsi="宋体" w:eastAsia="宋体" w:cs="宋体"/>
          <w:b/>
          <w:bCs/>
          <w:spacing w:val="8"/>
          <w:sz w:val="31"/>
          <w:szCs w:val="31"/>
        </w:rPr>
      </w:pPr>
      <w:bookmarkStart w:id="31" w:name="bookmark28"/>
      <w:bookmarkEnd w:id="31"/>
      <w:bookmarkStart w:id="32" w:name="_Toc9190"/>
      <w:r>
        <w:rPr>
          <w:rFonts w:ascii="宋体" w:hAnsi="宋体" w:eastAsia="宋体" w:cs="宋体"/>
          <w:b/>
          <w:bCs/>
          <w:spacing w:val="8"/>
          <w:sz w:val="31"/>
          <w:szCs w:val="31"/>
        </w:rPr>
        <w:br w:type="page"/>
      </w:r>
    </w:p>
    <w:p w14:paraId="45D60735">
      <w:pPr>
        <w:keepNext w:val="0"/>
        <w:keepLines w:val="0"/>
        <w:pageBreakBefore w:val="0"/>
        <w:kinsoku/>
        <w:wordWrap/>
        <w:overflowPunct/>
        <w:topLinePunct w:val="0"/>
        <w:bidi w:val="0"/>
        <w:spacing w:before="90" w:line="224" w:lineRule="auto"/>
        <w:ind w:left="2477"/>
        <w:outlineLvl w:val="0"/>
        <w:rPr>
          <w:rFonts w:ascii="宋体" w:hAnsi="宋体" w:eastAsia="宋体" w:cs="宋体"/>
          <w:color w:val="FF0000"/>
          <w:sz w:val="31"/>
          <w:szCs w:val="31"/>
        </w:rPr>
      </w:pPr>
      <w:r>
        <w:rPr>
          <w:rFonts w:ascii="宋体" w:hAnsi="宋体" w:eastAsia="宋体" w:cs="宋体"/>
          <w:b/>
          <w:bCs/>
          <w:spacing w:val="8"/>
          <w:sz w:val="31"/>
          <w:szCs w:val="31"/>
        </w:rPr>
        <w:t>第</w:t>
      </w:r>
      <w:r>
        <w:rPr>
          <w:rFonts w:ascii="宋体" w:hAnsi="宋体" w:eastAsia="宋体" w:cs="宋体"/>
          <w:b/>
          <w:bCs/>
          <w:color w:val="000000" w:themeColor="text1"/>
          <w:spacing w:val="8"/>
          <w:sz w:val="31"/>
          <w:szCs w:val="31"/>
          <w14:textFill>
            <w14:solidFill>
              <w14:schemeClr w14:val="tx1"/>
            </w14:solidFill>
          </w14:textFill>
        </w:rPr>
        <w:t>四章</w:t>
      </w:r>
      <w:r>
        <w:rPr>
          <w:rFonts w:ascii="宋体" w:hAnsi="宋体" w:eastAsia="宋体" w:cs="宋体"/>
          <w:color w:val="000000" w:themeColor="text1"/>
          <w:spacing w:val="8"/>
          <w:sz w:val="31"/>
          <w:szCs w:val="31"/>
          <w14:textFill>
            <w14:solidFill>
              <w14:schemeClr w14:val="tx1"/>
            </w14:solidFill>
          </w14:textFill>
        </w:rPr>
        <w:t xml:space="preserve"> </w:t>
      </w:r>
      <w:r>
        <w:rPr>
          <w:rFonts w:ascii="宋体" w:hAnsi="宋体" w:eastAsia="宋体" w:cs="宋体"/>
          <w:b/>
          <w:bCs/>
          <w:color w:val="000000" w:themeColor="text1"/>
          <w:spacing w:val="8"/>
          <w:sz w:val="31"/>
          <w:szCs w:val="31"/>
          <w14:textFill>
            <w14:solidFill>
              <w14:schemeClr w14:val="tx1"/>
            </w14:solidFill>
          </w14:textFill>
        </w:rPr>
        <w:t>合同条款及格式</w:t>
      </w:r>
      <w:bookmarkEnd w:id="32"/>
    </w:p>
    <w:p w14:paraId="606FE3D4">
      <w:pPr>
        <w:keepNext w:val="0"/>
        <w:keepLines w:val="0"/>
        <w:pageBreakBefore w:val="0"/>
        <w:kinsoku/>
        <w:wordWrap/>
        <w:overflowPunct/>
        <w:topLinePunct w:val="0"/>
        <w:bidi w:val="0"/>
        <w:spacing w:before="229" w:line="227" w:lineRule="auto"/>
        <w:ind w:left="2468"/>
        <w:rPr>
          <w:rFonts w:ascii="宋体" w:hAnsi="宋体" w:eastAsia="宋体" w:cs="宋体"/>
          <w:sz w:val="20"/>
          <w:szCs w:val="20"/>
        </w:rPr>
      </w:pPr>
      <w:r>
        <w:rPr>
          <w:rFonts w:ascii="宋体" w:hAnsi="宋体" w:eastAsia="宋体" w:cs="宋体"/>
          <w:spacing w:val="8"/>
          <w:sz w:val="20"/>
          <w:szCs w:val="20"/>
        </w:rPr>
        <w:t>（仅供参考，</w:t>
      </w:r>
      <w:r>
        <w:rPr>
          <w:rFonts w:ascii="宋体" w:hAnsi="宋体" w:eastAsia="宋体" w:cs="宋体"/>
          <w:spacing w:val="-56"/>
          <w:sz w:val="20"/>
          <w:szCs w:val="20"/>
        </w:rPr>
        <w:t xml:space="preserve"> </w:t>
      </w:r>
      <w:r>
        <w:rPr>
          <w:rFonts w:ascii="宋体" w:hAnsi="宋体" w:eastAsia="宋体" w:cs="宋体"/>
          <w:spacing w:val="8"/>
          <w:sz w:val="20"/>
          <w:szCs w:val="20"/>
        </w:rPr>
        <w:t>以实际合同签订为准）</w:t>
      </w:r>
    </w:p>
    <w:p w14:paraId="120AE68E">
      <w:pPr>
        <w:pStyle w:val="4"/>
        <w:keepNext w:val="0"/>
        <w:keepLines w:val="0"/>
        <w:pageBreakBefore w:val="0"/>
        <w:kinsoku/>
        <w:wordWrap/>
        <w:overflowPunct/>
        <w:topLinePunct w:val="0"/>
        <w:bidi w:val="0"/>
        <w:spacing w:line="280" w:lineRule="auto"/>
      </w:pPr>
    </w:p>
    <w:p w14:paraId="742203E2">
      <w:pPr>
        <w:pStyle w:val="4"/>
        <w:keepNext w:val="0"/>
        <w:keepLines w:val="0"/>
        <w:pageBreakBefore w:val="0"/>
        <w:kinsoku/>
        <w:wordWrap/>
        <w:overflowPunct/>
        <w:topLinePunct w:val="0"/>
        <w:bidi w:val="0"/>
        <w:spacing w:line="280" w:lineRule="auto"/>
      </w:pPr>
    </w:p>
    <w:p w14:paraId="021A06D9">
      <w:pPr>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0" w:firstLineChars="0"/>
        <w:jc w:val="center"/>
        <w:textAlignment w:val="auto"/>
        <w:rPr>
          <w:rFonts w:hint="eastAsia" w:ascii="宋体" w:hAnsi="宋体"/>
          <w:b/>
          <w:sz w:val="52"/>
          <w:szCs w:val="52"/>
        </w:rPr>
      </w:pPr>
    </w:p>
    <w:p w14:paraId="1267A6A2">
      <w:pPr>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0" w:firstLineChars="0"/>
        <w:jc w:val="center"/>
        <w:textAlignment w:val="auto"/>
        <w:rPr>
          <w:rFonts w:hint="eastAsia" w:ascii="Times New Roman" w:hAnsi="Times New Roman" w:eastAsia="宋体" w:cs="Times New Roman"/>
          <w:b/>
          <w:sz w:val="52"/>
          <w:szCs w:val="52"/>
          <w:lang w:val="en-US" w:eastAsia="zh-CN"/>
        </w:rPr>
      </w:pPr>
      <w:r>
        <w:rPr>
          <w:rFonts w:hint="eastAsia" w:ascii="Times New Roman" w:hAnsi="Times New Roman" w:eastAsia="宋体" w:cs="Times New Roman"/>
          <w:b/>
          <w:sz w:val="52"/>
          <w:szCs w:val="52"/>
          <w:lang w:val="en-US" w:eastAsia="zh-CN"/>
        </w:rPr>
        <w:t>项目名称</w:t>
      </w:r>
    </w:p>
    <w:p w14:paraId="422F006B">
      <w:pPr>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0" w:firstLineChars="0"/>
        <w:jc w:val="center"/>
        <w:textAlignment w:val="auto"/>
        <w:rPr>
          <w:rFonts w:hint="eastAsia"/>
          <w:b/>
          <w:sz w:val="52"/>
          <w:szCs w:val="52"/>
          <w:lang w:val="en-US" w:eastAsia="zh-CN"/>
        </w:rPr>
      </w:pPr>
    </w:p>
    <w:p w14:paraId="2A511B32">
      <w:pPr>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0" w:firstLineChars="0"/>
        <w:jc w:val="center"/>
        <w:textAlignment w:val="auto"/>
        <w:rPr>
          <w:rFonts w:hint="eastAsia"/>
          <w:b/>
          <w:sz w:val="52"/>
          <w:szCs w:val="52"/>
          <w:lang w:val="en-US" w:eastAsia="zh-CN"/>
        </w:rPr>
      </w:pPr>
    </w:p>
    <w:p w14:paraId="35D5A7B9">
      <w:pPr>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0" w:firstLineChars="0"/>
        <w:jc w:val="center"/>
        <w:textAlignment w:val="auto"/>
        <w:rPr>
          <w:rFonts w:hint="eastAsia"/>
          <w:b/>
          <w:sz w:val="52"/>
          <w:szCs w:val="52"/>
          <w:lang w:val="en-US" w:eastAsia="zh-CN"/>
        </w:rPr>
      </w:pPr>
      <w:r>
        <w:rPr>
          <w:rFonts w:hint="eastAsia"/>
          <w:b/>
          <w:sz w:val="52"/>
          <w:szCs w:val="52"/>
          <w:lang w:val="en-US" w:eastAsia="zh-CN"/>
        </w:rPr>
        <w:t>合</w:t>
      </w:r>
    </w:p>
    <w:p w14:paraId="73EA83CC">
      <w:pPr>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0" w:firstLineChars="0"/>
        <w:jc w:val="center"/>
        <w:textAlignment w:val="auto"/>
        <w:rPr>
          <w:rFonts w:hint="eastAsia"/>
          <w:b/>
          <w:sz w:val="52"/>
          <w:szCs w:val="52"/>
          <w:lang w:val="en-US" w:eastAsia="zh-CN"/>
        </w:rPr>
      </w:pPr>
    </w:p>
    <w:p w14:paraId="5DD9E405">
      <w:pPr>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0" w:firstLineChars="0"/>
        <w:jc w:val="center"/>
        <w:textAlignment w:val="auto"/>
        <w:rPr>
          <w:rFonts w:hint="default" w:ascii="宋体" w:hAnsi="宋体"/>
          <w:b/>
          <w:sz w:val="52"/>
          <w:szCs w:val="52"/>
          <w:lang w:val="en-US" w:eastAsia="zh-CN"/>
        </w:rPr>
      </w:pPr>
      <w:r>
        <w:rPr>
          <w:rFonts w:hint="eastAsia"/>
          <w:b/>
          <w:sz w:val="52"/>
          <w:szCs w:val="52"/>
          <w:lang w:val="en-US" w:eastAsia="zh-CN"/>
        </w:rPr>
        <w:t>同</w:t>
      </w:r>
    </w:p>
    <w:p w14:paraId="65C90EB1">
      <w:pPr>
        <w:keepNext w:val="0"/>
        <w:keepLines w:val="0"/>
        <w:pageBreakBefore w:val="0"/>
        <w:kinsoku/>
        <w:wordWrap/>
        <w:overflowPunct/>
        <w:topLinePunct w:val="0"/>
        <w:autoSpaceDE/>
        <w:autoSpaceDN/>
        <w:bidi w:val="0"/>
        <w:spacing w:before="0" w:after="0" w:line="336" w:lineRule="auto"/>
        <w:ind w:left="0" w:leftChars="0" w:firstLine="400" w:firstLineChars="200"/>
        <w:jc w:val="left"/>
        <w:rPr>
          <w:rFonts w:hint="eastAsia" w:ascii="宋体" w:hAnsi="宋体" w:cs="宋体"/>
          <w:spacing w:val="-5"/>
          <w:position w:val="19"/>
          <w:szCs w:val="28"/>
        </w:rPr>
      </w:pPr>
    </w:p>
    <w:p w14:paraId="085C7BC8">
      <w:pPr>
        <w:keepNext w:val="0"/>
        <w:keepLines w:val="0"/>
        <w:pageBreakBefore w:val="0"/>
        <w:kinsoku/>
        <w:wordWrap/>
        <w:overflowPunct/>
        <w:topLinePunct w:val="0"/>
        <w:autoSpaceDE/>
        <w:autoSpaceDN/>
        <w:bidi w:val="0"/>
        <w:spacing w:before="0" w:after="0" w:line="336" w:lineRule="auto"/>
        <w:ind w:left="0" w:leftChars="0" w:firstLine="460" w:firstLineChars="200"/>
        <w:jc w:val="left"/>
        <w:rPr>
          <w:rFonts w:hint="eastAsia" w:ascii="宋体" w:hAnsi="宋体" w:cs="宋体"/>
          <w:spacing w:val="-5"/>
          <w:position w:val="19"/>
          <w:sz w:val="24"/>
          <w:szCs w:val="24"/>
        </w:rPr>
      </w:pPr>
    </w:p>
    <w:p w14:paraId="633004DB">
      <w:pPr>
        <w:pStyle w:val="7"/>
        <w:keepNext w:val="0"/>
        <w:keepLines w:val="0"/>
        <w:pageBreakBefore w:val="0"/>
        <w:kinsoku/>
        <w:wordWrap/>
        <w:overflowPunct/>
        <w:topLinePunct w:val="0"/>
        <w:autoSpaceDE/>
        <w:autoSpaceDN/>
        <w:bidi w:val="0"/>
        <w:spacing w:line="336" w:lineRule="auto"/>
        <w:ind w:left="0" w:leftChars="0" w:firstLine="0" w:firstLineChars="0"/>
        <w:rPr>
          <w:rFonts w:hint="eastAsia"/>
        </w:rPr>
      </w:pPr>
    </w:p>
    <w:p w14:paraId="3640FF14">
      <w:pPr>
        <w:pStyle w:val="4"/>
        <w:keepNext w:val="0"/>
        <w:keepLines w:val="0"/>
        <w:pageBreakBefore w:val="0"/>
        <w:kinsoku/>
        <w:wordWrap/>
        <w:overflowPunct/>
        <w:topLinePunct w:val="0"/>
        <w:bidi w:val="0"/>
        <w:spacing w:line="250" w:lineRule="auto"/>
      </w:pPr>
    </w:p>
    <w:p w14:paraId="12C43B57">
      <w:pPr>
        <w:keepNext w:val="0"/>
        <w:keepLines w:val="0"/>
        <w:pageBreakBefore w:val="0"/>
        <w:kinsoku/>
        <w:wordWrap/>
        <w:overflowPunct/>
        <w:topLinePunct w:val="0"/>
        <w:bidi w:val="0"/>
        <w:spacing w:before="78" w:line="219" w:lineRule="auto"/>
        <w:ind w:left="554"/>
        <w:rPr>
          <w:rFonts w:ascii="宋体" w:hAnsi="宋体" w:eastAsia="宋体" w:cs="宋体"/>
          <w:sz w:val="24"/>
          <w:szCs w:val="24"/>
        </w:rPr>
      </w:pPr>
      <w:r>
        <w:rPr>
          <w:rFonts w:ascii="宋体" w:hAnsi="宋体" w:eastAsia="宋体" w:cs="宋体"/>
          <w:spacing w:val="-9"/>
          <w:sz w:val="24"/>
          <w:szCs w:val="24"/>
        </w:rPr>
        <w:t>法人代表：</w:t>
      </w:r>
    </w:p>
    <w:p w14:paraId="4BCD77CC">
      <w:pPr>
        <w:pStyle w:val="4"/>
        <w:keepNext w:val="0"/>
        <w:keepLines w:val="0"/>
        <w:pageBreakBefore w:val="0"/>
        <w:kinsoku/>
        <w:wordWrap/>
        <w:overflowPunct/>
        <w:topLinePunct w:val="0"/>
        <w:bidi w:val="0"/>
        <w:spacing w:line="311" w:lineRule="auto"/>
      </w:pPr>
    </w:p>
    <w:p w14:paraId="6241042F">
      <w:pPr>
        <w:keepNext w:val="0"/>
        <w:keepLines w:val="0"/>
        <w:pageBreakBefore w:val="0"/>
        <w:kinsoku/>
        <w:wordWrap/>
        <w:overflowPunct/>
        <w:topLinePunct w:val="0"/>
        <w:bidi w:val="0"/>
        <w:spacing w:before="79" w:line="220" w:lineRule="auto"/>
        <w:ind w:left="558"/>
        <w:rPr>
          <w:rFonts w:ascii="宋体" w:hAnsi="宋体" w:eastAsia="宋体" w:cs="宋体"/>
          <w:sz w:val="24"/>
          <w:szCs w:val="24"/>
        </w:rPr>
      </w:pPr>
      <w:r>
        <w:rPr>
          <w:rFonts w:ascii="宋体" w:hAnsi="宋体" w:eastAsia="宋体" w:cs="宋体"/>
          <w:spacing w:val="-3"/>
          <w:sz w:val="24"/>
          <w:szCs w:val="24"/>
        </w:rPr>
        <w:t>学校地址：</w:t>
      </w:r>
    </w:p>
    <w:p w14:paraId="4867A8B6">
      <w:pPr>
        <w:keepNext w:val="0"/>
        <w:keepLines w:val="0"/>
        <w:pageBreakBefore w:val="0"/>
        <w:kinsoku/>
        <w:wordWrap/>
        <w:overflowPunct/>
        <w:topLinePunct w:val="0"/>
        <w:bidi w:val="0"/>
        <w:spacing w:before="287" w:line="221" w:lineRule="auto"/>
        <w:ind w:left="577"/>
        <w:rPr>
          <w:rFonts w:ascii="宋体" w:hAnsi="宋体" w:eastAsia="宋体" w:cs="宋体"/>
          <w:sz w:val="24"/>
          <w:szCs w:val="24"/>
        </w:rPr>
      </w:pPr>
      <w:r>
        <w:rPr>
          <w:rFonts w:ascii="宋体" w:hAnsi="宋体" w:eastAsia="宋体" w:cs="宋体"/>
          <w:spacing w:val="-15"/>
          <w:sz w:val="24"/>
          <w:szCs w:val="24"/>
        </w:rPr>
        <w:t>乙</w:t>
      </w:r>
      <w:r>
        <w:rPr>
          <w:rFonts w:ascii="宋体" w:hAnsi="宋体" w:eastAsia="宋体" w:cs="宋体"/>
          <w:spacing w:val="8"/>
          <w:sz w:val="24"/>
          <w:szCs w:val="24"/>
        </w:rPr>
        <w:t xml:space="preserve">   </w:t>
      </w:r>
      <w:r>
        <w:rPr>
          <w:rFonts w:ascii="宋体" w:hAnsi="宋体" w:eastAsia="宋体" w:cs="宋体"/>
          <w:spacing w:val="-15"/>
          <w:sz w:val="24"/>
          <w:szCs w:val="24"/>
        </w:rPr>
        <w:t>方：</w:t>
      </w:r>
    </w:p>
    <w:p w14:paraId="32E0F45E">
      <w:pPr>
        <w:pStyle w:val="4"/>
        <w:keepNext w:val="0"/>
        <w:keepLines w:val="0"/>
        <w:pageBreakBefore w:val="0"/>
        <w:kinsoku/>
        <w:wordWrap/>
        <w:overflowPunct/>
        <w:topLinePunct w:val="0"/>
        <w:bidi w:val="0"/>
        <w:spacing w:line="260" w:lineRule="auto"/>
      </w:pPr>
    </w:p>
    <w:p w14:paraId="7E10E04F">
      <w:pPr>
        <w:keepNext w:val="0"/>
        <w:keepLines w:val="0"/>
        <w:pageBreakBefore w:val="0"/>
        <w:kinsoku/>
        <w:wordWrap/>
        <w:overflowPunct/>
        <w:topLinePunct w:val="0"/>
        <w:bidi w:val="0"/>
        <w:spacing w:before="79" w:line="219" w:lineRule="auto"/>
        <w:ind w:left="554"/>
        <w:rPr>
          <w:rFonts w:ascii="宋体" w:hAnsi="宋体" w:eastAsia="宋体" w:cs="宋体"/>
          <w:sz w:val="24"/>
          <w:szCs w:val="24"/>
        </w:rPr>
      </w:pPr>
      <w:r>
        <w:rPr>
          <w:rFonts w:ascii="宋体" w:hAnsi="宋体" w:eastAsia="宋体" w:cs="宋体"/>
          <w:spacing w:val="-9"/>
          <w:sz w:val="24"/>
          <w:szCs w:val="24"/>
        </w:rPr>
        <w:t>法人代表：</w:t>
      </w:r>
    </w:p>
    <w:p w14:paraId="2825F0AE">
      <w:pPr>
        <w:pStyle w:val="4"/>
        <w:keepNext w:val="0"/>
        <w:keepLines w:val="0"/>
        <w:pageBreakBefore w:val="0"/>
        <w:kinsoku/>
        <w:wordWrap/>
        <w:overflowPunct/>
        <w:topLinePunct w:val="0"/>
        <w:bidi w:val="0"/>
        <w:spacing w:line="331" w:lineRule="auto"/>
      </w:pPr>
    </w:p>
    <w:p w14:paraId="1EEE6CD2">
      <w:pPr>
        <w:keepNext w:val="0"/>
        <w:keepLines w:val="0"/>
        <w:pageBreakBefore w:val="0"/>
        <w:kinsoku/>
        <w:wordWrap/>
        <w:overflowPunct/>
        <w:topLinePunct w:val="0"/>
        <w:bidi w:val="0"/>
        <w:ind w:firstLine="452" w:firstLineChars="200"/>
        <w:rPr>
          <w:rFonts w:ascii="宋体" w:hAnsi="宋体" w:eastAsia="宋体" w:cs="宋体"/>
          <w:spacing w:val="-7"/>
          <w:sz w:val="24"/>
          <w:szCs w:val="24"/>
        </w:rPr>
      </w:pPr>
      <w:r>
        <w:rPr>
          <w:rFonts w:ascii="宋体" w:hAnsi="宋体" w:eastAsia="宋体" w:cs="宋体"/>
          <w:spacing w:val="-7"/>
          <w:sz w:val="24"/>
          <w:szCs w:val="24"/>
        </w:rPr>
        <w:t>公司地址：</w:t>
      </w:r>
    </w:p>
    <w:p w14:paraId="53D3C26E">
      <w:pPr>
        <w:keepNext w:val="0"/>
        <w:keepLines w:val="0"/>
        <w:pageBreakBefore w:val="0"/>
        <w:kinsoku/>
        <w:wordWrap/>
        <w:overflowPunct/>
        <w:topLinePunct w:val="0"/>
        <w:bidi w:val="0"/>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br w:type="page"/>
      </w:r>
    </w:p>
    <w:p w14:paraId="747FB821">
      <w:pPr>
        <w:keepNext w:val="0"/>
        <w:keepLines w:val="0"/>
        <w:pageBreakBefore w:val="0"/>
        <w:widowControl w:val="0"/>
        <w:kinsoku/>
        <w:wordWrap/>
        <w:overflowPunct/>
        <w:topLinePunct w:val="0"/>
        <w:autoSpaceDE/>
        <w:autoSpaceDN/>
        <w:bidi w:val="0"/>
        <w:adjustRightInd/>
        <w:snapToGrid/>
        <w:spacing w:line="360" w:lineRule="auto"/>
        <w:ind w:left="0" w:leftChars="0" w:firstLine="400" w:firstLineChars="20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为落实</w:t>
      </w:r>
      <w:r>
        <w:rPr>
          <w:rFonts w:hint="eastAsia" w:asciiTheme="minorEastAsia" w:hAnsiTheme="minorEastAsia" w:eastAsiaTheme="minorEastAsia" w:cstheme="minorEastAsia"/>
          <w:sz w:val="20"/>
          <w:szCs w:val="20"/>
        </w:rPr>
        <w:t>教育部办公厅教职成厅函</w:t>
      </w:r>
      <w:r>
        <w:rPr>
          <w:rFonts w:hint="eastAsia" w:asciiTheme="minorEastAsia" w:hAnsiTheme="minorEastAsia" w:eastAsiaTheme="minorEastAsia" w:cstheme="minorEastAsia"/>
          <w:sz w:val="20"/>
          <w:szCs w:val="20"/>
          <w:lang w:eastAsia="zh-CN"/>
        </w:rPr>
        <w:t>〔2022〕23号</w:t>
      </w:r>
      <w:r>
        <w:rPr>
          <w:rFonts w:hint="eastAsia" w:asciiTheme="minorEastAsia" w:hAnsiTheme="minorEastAsia" w:eastAsiaTheme="minorEastAsia" w:cstheme="minorEastAsia"/>
          <w:sz w:val="20"/>
          <w:szCs w:val="20"/>
        </w:rPr>
        <w:t>《教育部办公厅关于开展加强中等职业学校校风学风建设专项行动的通知》</w:t>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rPr>
        <w:t>教办职成</w:t>
      </w:r>
      <w:r>
        <w:rPr>
          <w:rFonts w:hint="eastAsia" w:asciiTheme="minorEastAsia" w:hAnsiTheme="minorEastAsia" w:eastAsiaTheme="minorEastAsia" w:cstheme="minorEastAsia"/>
          <w:sz w:val="20"/>
          <w:szCs w:val="20"/>
          <w:lang w:eastAsia="zh-CN"/>
        </w:rPr>
        <w:t>〔2022〕391号《河南省教育厅办公室关于开展加强中等职业学校校风学风建设专项行动的通知》、豫教工委〔2024〕122号《中共河南省委教育工作委员会 河南省教育厅 关于加强和改进中等</w:t>
      </w:r>
      <w:r>
        <w:rPr>
          <w:rFonts w:hint="eastAsia" w:asciiTheme="minorEastAsia" w:hAnsiTheme="minorEastAsia" w:eastAsiaTheme="minorEastAsia" w:cstheme="minorEastAsia"/>
          <w:sz w:val="20"/>
          <w:szCs w:val="20"/>
          <w:lang w:val="en-US" w:eastAsia="zh-CN"/>
        </w:rPr>
        <w:t>职业学校思</w:t>
      </w:r>
      <w:r>
        <w:rPr>
          <w:rFonts w:hint="eastAsia" w:asciiTheme="minorEastAsia" w:hAnsiTheme="minorEastAsia" w:eastAsiaTheme="minorEastAsia" w:cstheme="minorEastAsia"/>
          <w:sz w:val="20"/>
          <w:szCs w:val="20"/>
          <w:lang w:eastAsia="zh-CN"/>
        </w:rPr>
        <w:t>想政治教育和德育工作的意见》</w:t>
      </w:r>
      <w:r>
        <w:rPr>
          <w:rFonts w:hint="eastAsia" w:asciiTheme="minorEastAsia" w:hAnsiTheme="minorEastAsia" w:eastAsiaTheme="minorEastAsia" w:cstheme="minorEastAsia"/>
          <w:sz w:val="20"/>
          <w:szCs w:val="20"/>
          <w:lang w:val="en-US" w:eastAsia="zh-CN"/>
        </w:rPr>
        <w:t>等文件</w:t>
      </w:r>
      <w:r>
        <w:rPr>
          <w:rFonts w:hint="eastAsia" w:asciiTheme="minorEastAsia" w:hAnsiTheme="minorEastAsia" w:eastAsiaTheme="minorEastAsia" w:cstheme="minorEastAsia"/>
          <w:sz w:val="20"/>
          <w:szCs w:val="20"/>
          <w:lang w:eastAsia="zh-CN"/>
        </w:rPr>
        <w:t>，根据有关</w:t>
      </w:r>
      <w:r>
        <w:rPr>
          <w:rFonts w:hint="eastAsia" w:asciiTheme="minorEastAsia" w:hAnsiTheme="minorEastAsia" w:eastAsiaTheme="minorEastAsia" w:cstheme="minorEastAsia"/>
          <w:sz w:val="20"/>
          <w:szCs w:val="20"/>
        </w:rPr>
        <w:t>深化“三全育人”改革</w:t>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rPr>
        <w:t>完善班主任+全员导师班级管理方式、班主任+驻校教官宿舍管理模式</w:t>
      </w:r>
      <w:r>
        <w:rPr>
          <w:rFonts w:hint="eastAsia" w:asciiTheme="minorEastAsia" w:hAnsiTheme="minorEastAsia" w:eastAsiaTheme="minorEastAsia" w:cstheme="minorEastAsia"/>
          <w:sz w:val="20"/>
          <w:szCs w:val="20"/>
          <w:lang w:val="en-US" w:eastAsia="zh-CN"/>
        </w:rPr>
        <w:t>的内容要求，</w:t>
      </w:r>
      <w:r>
        <w:rPr>
          <w:rFonts w:hint="eastAsia" w:ascii="宋体" w:hAnsi="宋体" w:cs="宋体"/>
          <w:color w:val="auto"/>
          <w:sz w:val="20"/>
          <w:szCs w:val="20"/>
          <w:lang w:val="en-US" w:eastAsia="zh-CN"/>
        </w:rPr>
        <w:t>根据项目名称</w:t>
      </w:r>
      <w:r>
        <w:rPr>
          <w:rFonts w:hint="eastAsia" w:ascii="宋体" w:hAnsi="宋体" w:cs="宋体"/>
          <w:color w:val="auto"/>
          <w:sz w:val="20"/>
          <w:szCs w:val="20"/>
          <w:u w:val="single"/>
          <w:lang w:val="en-US" w:eastAsia="zh-CN"/>
        </w:rPr>
        <w:t xml:space="preserve">     </w:t>
      </w:r>
      <w:r>
        <w:rPr>
          <w:rFonts w:hint="eastAsia" w:ascii="宋体" w:hAnsi="宋体" w:cs="宋体"/>
          <w:color w:val="auto"/>
          <w:sz w:val="20"/>
          <w:szCs w:val="20"/>
          <w:lang w:val="en-US" w:eastAsia="zh-CN"/>
        </w:rPr>
        <w:t>(项目编号：</w:t>
      </w:r>
      <w:r>
        <w:rPr>
          <w:rFonts w:hint="eastAsia" w:ascii="宋体" w:hAnsi="宋体" w:cs="宋体"/>
          <w:color w:val="auto"/>
          <w:sz w:val="20"/>
          <w:szCs w:val="20"/>
          <w:u w:val="single"/>
          <w:lang w:val="en-US" w:eastAsia="zh-CN"/>
        </w:rPr>
        <w:t xml:space="preserve">              </w:t>
      </w:r>
      <w:r>
        <w:rPr>
          <w:rFonts w:hint="eastAsia" w:ascii="宋体" w:hAnsi="宋体" w:cs="宋体"/>
          <w:color w:val="auto"/>
          <w:sz w:val="20"/>
          <w:szCs w:val="20"/>
          <w:lang w:val="en-US" w:eastAsia="zh-CN"/>
        </w:rPr>
        <w:t>)的</w:t>
      </w:r>
      <w:r>
        <w:rPr>
          <w:rFonts w:hint="eastAsia" w:ascii="宋体" w:hAnsi="宋体" w:cs="宋体"/>
          <w:sz w:val="20"/>
          <w:szCs w:val="20"/>
          <w:lang w:val="en-US" w:eastAsia="zh-CN"/>
        </w:rPr>
        <w:t>招标结果，甲乙双方依据相关法律法规，在平等、自愿的基础上，经</w:t>
      </w:r>
      <w:r>
        <w:rPr>
          <w:rFonts w:hint="eastAsia" w:ascii="宋体" w:hAnsi="宋体" w:eastAsia="宋体" w:cs="宋体"/>
          <w:sz w:val="20"/>
          <w:szCs w:val="20"/>
        </w:rPr>
        <w:t>协商</w:t>
      </w:r>
      <w:r>
        <w:rPr>
          <w:rFonts w:hint="eastAsia" w:ascii="宋体" w:hAnsi="宋体" w:cs="宋体"/>
          <w:sz w:val="20"/>
          <w:szCs w:val="20"/>
          <w:lang w:val="en-US" w:eastAsia="zh-CN"/>
        </w:rPr>
        <w:t>一致，就本项目服务事宜，订立本合同。</w:t>
      </w:r>
    </w:p>
    <w:p w14:paraId="500B954C">
      <w:pPr>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02" w:firstLineChars="200"/>
        <w:jc w:val="left"/>
        <w:textAlignment w:val="auto"/>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第一条  合作</w:t>
      </w:r>
      <w:r>
        <w:rPr>
          <w:rFonts w:hint="eastAsia" w:asciiTheme="minorEastAsia" w:hAnsiTheme="minorEastAsia" w:eastAsiaTheme="minorEastAsia" w:cstheme="minorEastAsia"/>
          <w:b/>
          <w:bCs/>
          <w:sz w:val="20"/>
          <w:szCs w:val="20"/>
          <w:lang w:val="en-US" w:eastAsia="zh-CN"/>
        </w:rPr>
        <w:t>内容及</w:t>
      </w:r>
      <w:r>
        <w:rPr>
          <w:rFonts w:hint="eastAsia" w:asciiTheme="minorEastAsia" w:hAnsiTheme="minorEastAsia" w:eastAsiaTheme="minorEastAsia" w:cstheme="minorEastAsia"/>
          <w:b/>
          <w:bCs/>
          <w:sz w:val="20"/>
          <w:szCs w:val="20"/>
        </w:rPr>
        <w:t>期限</w:t>
      </w:r>
    </w:p>
    <w:p w14:paraId="75F898D2">
      <w:pPr>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00" w:firstLineChars="200"/>
        <w:jc w:val="left"/>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双方同意乙</w:t>
      </w:r>
      <w:r>
        <w:rPr>
          <w:rFonts w:hint="eastAsia" w:asciiTheme="minorEastAsia" w:hAnsiTheme="minorEastAsia" w:eastAsiaTheme="minorEastAsia" w:cstheme="minorEastAsia"/>
          <w:color w:val="auto"/>
          <w:sz w:val="20"/>
          <w:szCs w:val="20"/>
          <w:highlight w:val="none"/>
        </w:rPr>
        <w:t>方</w:t>
      </w:r>
      <w:r>
        <w:rPr>
          <w:rFonts w:hint="eastAsia" w:asciiTheme="minorEastAsia" w:hAnsiTheme="minorEastAsia" w:eastAsiaTheme="minorEastAsia" w:cstheme="minorEastAsia"/>
          <w:color w:val="auto"/>
          <w:sz w:val="20"/>
          <w:szCs w:val="20"/>
          <w:highlight w:val="none"/>
          <w:lang w:eastAsia="zh-CN"/>
        </w:rPr>
        <w:t>派驻</w:t>
      </w:r>
      <w:r>
        <w:rPr>
          <w:rFonts w:hint="eastAsia" w:asciiTheme="minorEastAsia" w:hAnsiTheme="minorEastAsia" w:eastAsiaTheme="minorEastAsia" w:cstheme="minorEastAsia"/>
          <w:color w:val="auto"/>
          <w:sz w:val="20"/>
          <w:szCs w:val="20"/>
          <w:highlight w:val="none"/>
          <w:u w:val="single"/>
          <w:lang w:val="en-US" w:eastAsia="zh-CN"/>
        </w:rPr>
        <w:t xml:space="preserve">      </w:t>
      </w:r>
      <w:r>
        <w:rPr>
          <w:rFonts w:hint="eastAsia" w:asciiTheme="minorEastAsia" w:hAnsiTheme="minorEastAsia" w:eastAsiaTheme="minorEastAsia" w:cstheme="minorEastAsia"/>
          <w:color w:val="auto"/>
          <w:sz w:val="20"/>
          <w:szCs w:val="20"/>
          <w:highlight w:val="none"/>
          <w:u w:val="none"/>
          <w:lang w:val="en-US" w:eastAsia="zh-CN"/>
        </w:rPr>
        <w:t>名</w:t>
      </w:r>
      <w:r>
        <w:rPr>
          <w:rFonts w:hint="eastAsia" w:asciiTheme="minorEastAsia" w:hAnsiTheme="minorEastAsia" w:eastAsiaTheme="minorEastAsia" w:cstheme="minorEastAsia"/>
          <w:color w:val="auto"/>
          <w:sz w:val="20"/>
          <w:szCs w:val="20"/>
          <w:highlight w:val="none"/>
          <w:lang w:eastAsia="zh-CN"/>
        </w:rPr>
        <w:t>驻校教官，</w:t>
      </w:r>
      <w:r>
        <w:rPr>
          <w:rFonts w:hint="eastAsia" w:asciiTheme="minorEastAsia" w:hAnsiTheme="minorEastAsia" w:eastAsiaTheme="minorEastAsia" w:cstheme="minorEastAsia"/>
          <w:color w:val="auto"/>
          <w:sz w:val="20"/>
          <w:szCs w:val="20"/>
          <w:lang w:eastAsia="zh-CN"/>
        </w:rPr>
        <w:t>其中男教官</w:t>
      </w:r>
      <w:r>
        <w:rPr>
          <w:rFonts w:hint="eastAsia" w:asciiTheme="minorEastAsia" w:hAnsiTheme="minorEastAsia" w:eastAsia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color w:val="auto"/>
          <w:sz w:val="20"/>
          <w:szCs w:val="20"/>
          <w:lang w:eastAsia="zh-CN"/>
        </w:rPr>
        <w:t>名、女教官</w:t>
      </w:r>
      <w:r>
        <w:rPr>
          <w:rFonts w:hint="eastAsia" w:asciiTheme="minorEastAsia" w:hAnsiTheme="minorEastAsia" w:eastAsia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color w:val="auto"/>
          <w:sz w:val="20"/>
          <w:szCs w:val="20"/>
          <w:lang w:eastAsia="zh-CN"/>
        </w:rPr>
        <w:t>名，</w:t>
      </w:r>
      <w:r>
        <w:rPr>
          <w:rFonts w:hint="eastAsia" w:asciiTheme="minorEastAsia" w:hAnsiTheme="minorEastAsia" w:eastAsiaTheme="minorEastAsia" w:cstheme="minorEastAsia"/>
          <w:color w:val="auto"/>
          <w:sz w:val="20"/>
          <w:szCs w:val="20"/>
          <w:lang w:val="en-US" w:eastAsia="zh-CN"/>
        </w:rPr>
        <w:t>副总教官</w:t>
      </w:r>
      <w:r>
        <w:rPr>
          <w:rFonts w:hint="eastAsia" w:asciiTheme="minorEastAsia" w:hAnsiTheme="minorEastAsia" w:eastAsia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color w:val="auto"/>
          <w:sz w:val="20"/>
          <w:szCs w:val="20"/>
          <w:lang w:val="en-US" w:eastAsia="zh-CN"/>
        </w:rPr>
        <w:t>名，总教官</w:t>
      </w:r>
      <w:r>
        <w:rPr>
          <w:rFonts w:hint="eastAsia" w:asciiTheme="minorEastAsia" w:hAnsiTheme="minorEastAsia" w:eastAsiaTheme="minorEastAsia" w:cstheme="minorEastAsia"/>
          <w:color w:val="auto"/>
          <w:sz w:val="20"/>
          <w:szCs w:val="20"/>
          <w:u w:val="single"/>
          <w:lang w:val="en-US" w:eastAsia="zh-CN"/>
        </w:rPr>
        <w:t xml:space="preserve">      </w:t>
      </w:r>
      <w:r>
        <w:rPr>
          <w:rFonts w:hint="eastAsia" w:asciiTheme="minorEastAsia" w:hAnsiTheme="minorEastAsia" w:eastAsiaTheme="minorEastAsia" w:cstheme="minorEastAsia"/>
          <w:color w:val="auto"/>
          <w:sz w:val="20"/>
          <w:szCs w:val="20"/>
          <w:lang w:val="en-US" w:eastAsia="zh-CN"/>
        </w:rPr>
        <w:t>名</w:t>
      </w:r>
      <w:r>
        <w:rPr>
          <w:rFonts w:hint="eastAsia" w:asciiTheme="minorEastAsia" w:hAnsiTheme="minorEastAsia" w:eastAsiaTheme="minorEastAsia" w:cstheme="minorEastAsia"/>
          <w:color w:val="auto"/>
          <w:sz w:val="20"/>
          <w:szCs w:val="20"/>
          <w:lang w:eastAsia="zh-CN"/>
        </w:rPr>
        <w:t>，</w:t>
      </w:r>
      <w:r>
        <w:rPr>
          <w:rFonts w:hint="eastAsia" w:asciiTheme="minorEastAsia" w:hAnsiTheme="minorEastAsia" w:eastAsiaTheme="minorEastAsia" w:cstheme="minorEastAsia"/>
          <w:color w:val="auto"/>
          <w:sz w:val="20"/>
          <w:szCs w:val="20"/>
        </w:rPr>
        <w:t>协助甲方对</w:t>
      </w:r>
      <w:r>
        <w:rPr>
          <w:rFonts w:hint="eastAsia" w:asciiTheme="minorEastAsia" w:hAnsiTheme="minorEastAsia" w:eastAsiaTheme="minorEastAsia" w:cstheme="minorEastAsia"/>
          <w:color w:val="auto"/>
          <w:sz w:val="20"/>
          <w:szCs w:val="20"/>
          <w:highlight w:val="none"/>
          <w:lang w:val="en-US" w:eastAsia="zh-CN"/>
        </w:rPr>
        <w:t>全体住校</w:t>
      </w:r>
      <w:r>
        <w:rPr>
          <w:rFonts w:hint="eastAsia" w:asciiTheme="minorEastAsia" w:hAnsiTheme="minorEastAsia" w:eastAsiaTheme="minorEastAsia" w:cstheme="minorEastAsia"/>
          <w:color w:val="auto"/>
          <w:sz w:val="20"/>
          <w:szCs w:val="20"/>
          <w:lang w:val="en-US" w:eastAsia="zh-CN"/>
        </w:rPr>
        <w:t>学生</w:t>
      </w:r>
      <w:r>
        <w:rPr>
          <w:rFonts w:hint="eastAsia" w:asciiTheme="minorEastAsia" w:hAnsiTheme="minorEastAsia" w:eastAsiaTheme="minorEastAsia" w:cstheme="minorEastAsia"/>
          <w:color w:val="auto"/>
          <w:sz w:val="20"/>
          <w:szCs w:val="20"/>
        </w:rPr>
        <w:t>进行学生管理，培养学生自主管理能力，提升学生综合素养，合作期限</w:t>
      </w:r>
      <w:r>
        <w:rPr>
          <w:rFonts w:hint="eastAsia" w:asciiTheme="minorEastAsia" w:hAnsiTheme="minorEastAsia" w:eastAsiaTheme="minorEastAsia" w:cstheme="minorEastAsia"/>
          <w:color w:val="auto"/>
          <w:sz w:val="20"/>
          <w:szCs w:val="20"/>
          <w:highlight w:val="none"/>
        </w:rPr>
        <w:t>自</w:t>
      </w:r>
      <w:r>
        <w:rPr>
          <w:rFonts w:hint="eastAsia" w:asciiTheme="minorEastAsia" w:hAnsiTheme="minorEastAsia" w:eastAsiaTheme="minorEastAsia" w:cstheme="minorEastAsia"/>
          <w:color w:val="auto"/>
          <w:sz w:val="20"/>
          <w:szCs w:val="20"/>
          <w:highlight w:val="none"/>
          <w:u w:val="single"/>
          <w:lang w:val="en-US" w:eastAsia="zh-CN"/>
        </w:rPr>
        <w:t xml:space="preserve">               </w:t>
      </w:r>
      <w:r>
        <w:rPr>
          <w:rFonts w:hint="eastAsia" w:asciiTheme="minorEastAsia" w:hAnsiTheme="minorEastAsia" w:eastAsiaTheme="minorEastAsia" w:cstheme="minorEastAsia"/>
          <w:color w:val="auto"/>
          <w:spacing w:val="20"/>
          <w:sz w:val="20"/>
          <w:szCs w:val="20"/>
          <w:highlight w:val="none"/>
        </w:rPr>
        <w:t>。</w:t>
      </w:r>
    </w:p>
    <w:p w14:paraId="046974CD">
      <w:pPr>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02" w:firstLineChars="200"/>
        <w:jc w:val="left"/>
        <w:textAlignment w:val="auto"/>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第</w:t>
      </w:r>
      <w:r>
        <w:rPr>
          <w:rFonts w:hint="eastAsia" w:asciiTheme="minorEastAsia" w:hAnsiTheme="minorEastAsia" w:eastAsiaTheme="minorEastAsia" w:cstheme="minorEastAsia"/>
          <w:b/>
          <w:bCs/>
          <w:sz w:val="20"/>
          <w:szCs w:val="20"/>
          <w:lang w:val="en-US" w:eastAsia="zh-CN"/>
        </w:rPr>
        <w:t>二</w:t>
      </w:r>
      <w:r>
        <w:rPr>
          <w:rFonts w:hint="eastAsia" w:asciiTheme="minorEastAsia" w:hAnsiTheme="minorEastAsia" w:eastAsiaTheme="minorEastAsia" w:cstheme="minorEastAsia"/>
          <w:b/>
          <w:bCs/>
          <w:sz w:val="20"/>
          <w:szCs w:val="20"/>
        </w:rPr>
        <w:t xml:space="preserve">条  </w:t>
      </w:r>
      <w:r>
        <w:rPr>
          <w:rFonts w:hint="eastAsia" w:asciiTheme="minorEastAsia" w:hAnsiTheme="minorEastAsia" w:eastAsiaTheme="minorEastAsia" w:cstheme="minorEastAsia"/>
          <w:b/>
          <w:bCs/>
          <w:sz w:val="20"/>
          <w:szCs w:val="20"/>
          <w:lang w:val="en-US" w:eastAsia="zh-CN"/>
        </w:rPr>
        <w:t>服务</w:t>
      </w:r>
      <w:r>
        <w:rPr>
          <w:rFonts w:hint="eastAsia" w:asciiTheme="minorEastAsia" w:hAnsiTheme="minorEastAsia" w:eastAsiaTheme="minorEastAsia" w:cstheme="minorEastAsia"/>
          <w:b/>
          <w:bCs/>
          <w:sz w:val="20"/>
          <w:szCs w:val="20"/>
        </w:rPr>
        <w:t>要求</w:t>
      </w:r>
    </w:p>
    <w:p w14:paraId="356B2853">
      <w:pPr>
        <w:keepNext w:val="0"/>
        <w:keepLines w:val="0"/>
        <w:pageBreakBefore w:val="0"/>
        <w:widowControl/>
        <w:kinsoku/>
        <w:wordWrap/>
        <w:overflowPunct/>
        <w:topLinePunct w:val="0"/>
        <w:autoSpaceDE/>
        <w:autoSpaceDN/>
        <w:bidi w:val="0"/>
        <w:adjustRightInd w:val="0"/>
        <w:snapToGrid w:val="0"/>
        <w:spacing w:before="0" w:after="0" w:line="360" w:lineRule="auto"/>
        <w:ind w:left="0" w:leftChars="0" w:firstLine="400" w:firstLineChars="200"/>
        <w:jc w:val="left"/>
        <w:textAlignment w:val="baseline"/>
        <w:outlineLvl w:val="9"/>
        <w:rPr>
          <w:rFonts w:hint="default" w:asciiTheme="minorEastAsia" w:hAnsiTheme="minorEastAsia" w:eastAsiaTheme="minorEastAsia" w:cstheme="minorEastAsia"/>
          <w:b w:val="0"/>
          <w:bCs w:val="0"/>
          <w:color w:val="auto"/>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依据招标文件的采购需求来写。</w:t>
      </w:r>
    </w:p>
    <w:p w14:paraId="05603F13">
      <w:pPr>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02" w:firstLineChars="200"/>
        <w:jc w:val="left"/>
        <w:textAlignment w:val="auto"/>
        <w:rPr>
          <w:rFonts w:hint="default" w:asciiTheme="minorEastAsia" w:hAnsiTheme="minorEastAsia" w:eastAsiaTheme="minorEastAsia" w:cstheme="minorEastAsia"/>
          <w:b/>
          <w:bCs/>
          <w:color w:val="FF0000"/>
          <w:sz w:val="20"/>
          <w:szCs w:val="20"/>
          <w:lang w:val="en-US"/>
        </w:rPr>
      </w:pPr>
      <w:r>
        <w:rPr>
          <w:rFonts w:hint="eastAsia" w:asciiTheme="minorEastAsia" w:hAnsiTheme="minorEastAsia" w:eastAsiaTheme="minorEastAsia" w:cstheme="minorEastAsia"/>
          <w:b/>
          <w:bCs/>
          <w:sz w:val="20"/>
          <w:szCs w:val="20"/>
        </w:rPr>
        <w:t>第</w:t>
      </w:r>
      <w:r>
        <w:rPr>
          <w:rFonts w:hint="eastAsia" w:asciiTheme="minorEastAsia" w:hAnsiTheme="minorEastAsia" w:eastAsiaTheme="minorEastAsia" w:cstheme="minorEastAsia"/>
          <w:b/>
          <w:bCs/>
          <w:color w:val="000000" w:themeColor="text1"/>
          <w:sz w:val="20"/>
          <w:szCs w:val="20"/>
          <w:lang w:val="en-US" w:eastAsia="zh-CN"/>
          <w14:textFill>
            <w14:solidFill>
              <w14:schemeClr w14:val="tx1"/>
            </w14:solidFill>
          </w14:textFill>
        </w:rPr>
        <w:t>三</w:t>
      </w:r>
      <w:r>
        <w:rPr>
          <w:rFonts w:hint="eastAsia" w:asciiTheme="minorEastAsia" w:hAnsiTheme="minorEastAsia" w:eastAsiaTheme="minorEastAsia" w:cstheme="minorEastAsia"/>
          <w:b/>
          <w:bCs/>
          <w:color w:val="000000" w:themeColor="text1"/>
          <w:sz w:val="20"/>
          <w:szCs w:val="20"/>
          <w14:textFill>
            <w14:solidFill>
              <w14:schemeClr w14:val="tx1"/>
            </w14:solidFill>
          </w14:textFill>
        </w:rPr>
        <w:t xml:space="preserve">条  </w:t>
      </w:r>
      <w:r>
        <w:rPr>
          <w:rFonts w:hint="eastAsia" w:asciiTheme="minorEastAsia" w:hAnsiTheme="minorEastAsia" w:eastAsiaTheme="minorEastAsia" w:cstheme="minorEastAsia"/>
          <w:b/>
          <w:bCs/>
          <w:color w:val="000000" w:themeColor="text1"/>
          <w:sz w:val="20"/>
          <w:szCs w:val="20"/>
          <w:lang w:val="en-US" w:eastAsia="zh-CN"/>
          <w14:textFill>
            <w14:solidFill>
              <w14:schemeClr w14:val="tx1"/>
            </w14:solidFill>
          </w14:textFill>
        </w:rPr>
        <w:t>付款方式</w:t>
      </w:r>
    </w:p>
    <w:p w14:paraId="6B712B44">
      <w:pPr>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00" w:firstLineChars="200"/>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cs="宋体"/>
          <w:color w:val="000000" w:themeColor="text1"/>
          <w:sz w:val="20"/>
          <w:szCs w:val="20"/>
          <w:highlight w:val="none"/>
          <w:lang w:val="en-US" w:eastAsia="zh-CN"/>
          <w14:textFill>
            <w14:solidFill>
              <w14:schemeClr w14:val="tx1"/>
            </w14:solidFill>
          </w14:textFill>
        </w:rPr>
        <w:t>合同期限内</w:t>
      </w:r>
      <w:r>
        <w:rPr>
          <w:rFonts w:hint="eastAsia" w:ascii="宋体" w:hAnsi="宋体" w:eastAsia="宋体" w:cs="宋体"/>
          <w:color w:val="000000" w:themeColor="text1"/>
          <w:sz w:val="20"/>
          <w:szCs w:val="20"/>
          <w:highlight w:val="none"/>
          <w:lang w:eastAsia="zh-CN"/>
          <w14:textFill>
            <w14:solidFill>
              <w14:schemeClr w14:val="tx1"/>
            </w14:solidFill>
          </w14:textFill>
        </w:rPr>
        <w:t>甲方向乙方支付管理服务费</w:t>
      </w:r>
      <w:r>
        <w:rPr>
          <w:rFonts w:hint="eastAsia" w:ascii="宋体" w:hAnsi="宋体" w:eastAsia="宋体" w:cs="宋体"/>
          <w:color w:val="000000" w:themeColor="text1"/>
          <w:sz w:val="20"/>
          <w:szCs w:val="20"/>
          <w:highlight w:val="none"/>
          <w:u w:val="single"/>
          <w:lang w:val="en-US" w:eastAsia="zh-CN"/>
          <w14:textFill>
            <w14:solidFill>
              <w14:schemeClr w14:val="tx1"/>
            </w14:solidFill>
          </w14:textFill>
        </w:rPr>
        <w:t xml:space="preserve">人民币        </w:t>
      </w:r>
      <w:r>
        <w:rPr>
          <w:rFonts w:hint="eastAsia" w:ascii="宋体" w:hAnsi="宋体" w:eastAsia="宋体" w:cs="宋体"/>
          <w:color w:val="000000" w:themeColor="text1"/>
          <w:sz w:val="20"/>
          <w:szCs w:val="20"/>
          <w:highlight w:val="none"/>
          <w:u w:val="single"/>
          <w:lang w:eastAsia="zh-CN"/>
          <w14:textFill>
            <w14:solidFill>
              <w14:schemeClr w14:val="tx1"/>
            </w14:solidFill>
          </w14:textFill>
        </w:rPr>
        <w:t>元整</w:t>
      </w:r>
      <w:r>
        <w:rPr>
          <w:rFonts w:hint="eastAsia" w:ascii="宋体" w:hAnsi="宋体" w:eastAsia="宋体" w:cs="宋体"/>
          <w:color w:val="000000" w:themeColor="text1"/>
          <w:sz w:val="20"/>
          <w:szCs w:val="20"/>
          <w:highlight w:val="none"/>
          <w:lang w:eastAsia="zh-CN"/>
          <w14:textFill>
            <w14:solidFill>
              <w14:schemeClr w14:val="tx1"/>
            </w14:solidFill>
          </w14:textFill>
        </w:rPr>
        <w:t>（</w:t>
      </w:r>
      <w:r>
        <w:rPr>
          <w:rFonts w:hint="eastAsia" w:ascii="宋体" w:hAnsi="宋体" w:eastAsia="宋体" w:cs="宋体"/>
          <w:color w:val="000000" w:themeColor="text1"/>
          <w:sz w:val="20"/>
          <w:szCs w:val="20"/>
          <w:u w:val="single"/>
          <w:lang w:val="en-US" w:eastAsia="zh-CN"/>
          <w14:textFill>
            <w14:solidFill>
              <w14:schemeClr w14:val="tx1"/>
            </w14:solidFill>
          </w14:textFill>
        </w:rPr>
        <w:t>¥</w:t>
      </w:r>
      <w:r>
        <w:rPr>
          <w:rFonts w:hint="eastAsia" w:ascii="宋体" w:hAnsi="宋体" w:eastAsia="宋体" w:cs="宋体"/>
          <w:color w:val="000000" w:themeColor="text1"/>
          <w:sz w:val="20"/>
          <w:szCs w:val="20"/>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lang w:eastAsia="zh-CN"/>
          <w14:textFill>
            <w14:solidFill>
              <w14:schemeClr w14:val="tx1"/>
            </w14:solidFill>
          </w14:textFill>
        </w:rPr>
        <w:t>），</w:t>
      </w:r>
      <w:r>
        <w:rPr>
          <w:rFonts w:hint="eastAsia" w:ascii="宋体" w:hAnsi="宋体" w:eastAsia="宋体" w:cs="宋体"/>
          <w:color w:val="000000" w:themeColor="text1"/>
          <w:sz w:val="20"/>
          <w:szCs w:val="20"/>
          <w:highlight w:val="none"/>
          <w:lang w:val="en-US" w:eastAsia="zh-CN"/>
          <w14:textFill>
            <w14:solidFill>
              <w14:schemeClr w14:val="tx1"/>
            </w14:solidFill>
          </w14:textFill>
        </w:rPr>
        <w:t>付款方</w:t>
      </w:r>
      <w:r>
        <w:rPr>
          <w:rFonts w:hint="eastAsia" w:ascii="宋体" w:hAnsi="宋体" w:eastAsia="宋体" w:cs="宋体"/>
          <w:color w:val="000000" w:themeColor="text1"/>
          <w:sz w:val="20"/>
          <w:szCs w:val="20"/>
          <w:lang w:val="en-US" w:eastAsia="zh-CN"/>
          <w14:textFill>
            <w14:solidFill>
              <w14:schemeClr w14:val="tx1"/>
            </w14:solidFill>
          </w14:textFill>
        </w:rPr>
        <w:t>式</w:t>
      </w:r>
      <w:r>
        <w:rPr>
          <w:rFonts w:hint="eastAsia" w:ascii="宋体" w:hAnsi="宋体" w:eastAsia="宋体" w:cs="宋体"/>
          <w:color w:val="000000" w:themeColor="text1"/>
          <w:sz w:val="20"/>
          <w:szCs w:val="20"/>
          <w:highlight w:val="none"/>
          <w:lang w:val="en-US" w:eastAsia="zh-CN"/>
          <w14:textFill>
            <w14:solidFill>
              <w14:schemeClr w14:val="tx1"/>
            </w14:solidFill>
          </w14:textFill>
        </w:rPr>
        <w:t>：每年分两次平均支付。</w:t>
      </w:r>
    </w:p>
    <w:p w14:paraId="301EC9A0">
      <w:pPr>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00" w:firstLineChars="200"/>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合同期限（2026年  月  日至2027年   月   日）：合同签订之日2个月之内且考核合格后支付合同总金额的50%，服务费用</w:t>
      </w:r>
      <w:r>
        <w:rPr>
          <w:rFonts w:hint="eastAsia" w:ascii="宋体" w:hAnsi="宋体" w:eastAsia="宋体" w:cs="宋体"/>
          <w:color w:val="000000" w:themeColor="text1"/>
          <w:sz w:val="20"/>
          <w:szCs w:val="20"/>
          <w:highlight w:val="none"/>
          <w:u w:val="single"/>
          <w:lang w:val="en-US" w:eastAsia="zh-CN"/>
          <w14:textFill>
            <w14:solidFill>
              <w14:schemeClr w14:val="tx1"/>
            </w14:solidFill>
          </w14:textFill>
        </w:rPr>
        <w:t xml:space="preserve">人民币            </w:t>
      </w:r>
      <w:r>
        <w:rPr>
          <w:rFonts w:hint="eastAsia" w:ascii="宋体" w:hAnsi="宋体" w:eastAsia="宋体" w:cs="宋体"/>
          <w:color w:val="000000" w:themeColor="text1"/>
          <w:sz w:val="20"/>
          <w:szCs w:val="20"/>
          <w:highlight w:val="none"/>
          <w:u w:val="single"/>
          <w:lang w:eastAsia="zh-CN"/>
          <w14:textFill>
            <w14:solidFill>
              <w14:schemeClr w14:val="tx1"/>
            </w14:solidFill>
          </w14:textFill>
        </w:rPr>
        <w:t>元整</w:t>
      </w:r>
      <w:r>
        <w:rPr>
          <w:rFonts w:hint="eastAsia" w:ascii="宋体" w:hAnsi="宋体" w:eastAsia="宋体" w:cs="宋体"/>
          <w:color w:val="000000" w:themeColor="text1"/>
          <w:sz w:val="20"/>
          <w:szCs w:val="20"/>
          <w:highlight w:val="none"/>
          <w:lang w:eastAsia="zh-CN"/>
          <w14:textFill>
            <w14:solidFill>
              <w14:schemeClr w14:val="tx1"/>
            </w14:solidFill>
          </w14:textFill>
        </w:rPr>
        <w:t>（</w:t>
      </w:r>
      <w:r>
        <w:rPr>
          <w:rFonts w:hint="eastAsia" w:ascii="宋体" w:hAnsi="宋体" w:eastAsia="宋体" w:cs="宋体"/>
          <w:color w:val="000000" w:themeColor="text1"/>
          <w:sz w:val="20"/>
          <w:szCs w:val="20"/>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lang w:eastAsia="zh-CN"/>
          <w14:textFill>
            <w14:solidFill>
              <w14:schemeClr w14:val="tx1"/>
            </w14:solidFill>
          </w14:textFill>
        </w:rPr>
        <w:t>）</w:t>
      </w:r>
      <w:r>
        <w:rPr>
          <w:rFonts w:hint="eastAsia" w:ascii="宋体" w:hAnsi="宋体" w:eastAsia="宋体" w:cs="宋体"/>
          <w:color w:val="000000" w:themeColor="text1"/>
          <w:sz w:val="20"/>
          <w:szCs w:val="20"/>
          <w:highlight w:val="none"/>
          <w:lang w:val="en-US" w:eastAsia="zh-CN"/>
          <w14:textFill>
            <w14:solidFill>
              <w14:schemeClr w14:val="tx1"/>
            </w14:solidFill>
          </w14:textFill>
        </w:rPr>
        <w:t>；合同签订之日5个月以后且考核合格后支付合同剩余总金额的50%，服务费用</w:t>
      </w:r>
      <w:r>
        <w:rPr>
          <w:rFonts w:hint="eastAsia" w:ascii="宋体" w:hAnsi="宋体" w:eastAsia="宋体" w:cs="宋体"/>
          <w:color w:val="000000" w:themeColor="text1"/>
          <w:sz w:val="20"/>
          <w:szCs w:val="20"/>
          <w:highlight w:val="none"/>
          <w:u w:val="single"/>
          <w:lang w:val="en-US" w:eastAsia="zh-CN"/>
          <w14:textFill>
            <w14:solidFill>
              <w14:schemeClr w14:val="tx1"/>
            </w14:solidFill>
          </w14:textFill>
        </w:rPr>
        <w:t xml:space="preserve">人民币            </w:t>
      </w:r>
      <w:r>
        <w:rPr>
          <w:rFonts w:hint="eastAsia" w:ascii="宋体" w:hAnsi="宋体" w:eastAsia="宋体" w:cs="宋体"/>
          <w:color w:val="000000" w:themeColor="text1"/>
          <w:sz w:val="20"/>
          <w:szCs w:val="20"/>
          <w:highlight w:val="none"/>
          <w:u w:val="single"/>
          <w:lang w:eastAsia="zh-CN"/>
          <w14:textFill>
            <w14:solidFill>
              <w14:schemeClr w14:val="tx1"/>
            </w14:solidFill>
          </w14:textFill>
        </w:rPr>
        <w:t>元整</w:t>
      </w:r>
      <w:r>
        <w:rPr>
          <w:rFonts w:hint="eastAsia" w:ascii="宋体" w:hAnsi="宋体" w:eastAsia="宋体" w:cs="宋体"/>
          <w:color w:val="000000" w:themeColor="text1"/>
          <w:sz w:val="20"/>
          <w:szCs w:val="20"/>
          <w:highlight w:val="none"/>
          <w:lang w:eastAsia="zh-CN"/>
          <w14:textFill>
            <w14:solidFill>
              <w14:schemeClr w14:val="tx1"/>
            </w14:solidFill>
          </w14:textFill>
        </w:rPr>
        <w:t>（</w:t>
      </w:r>
      <w:r>
        <w:rPr>
          <w:rFonts w:hint="eastAsia" w:ascii="宋体" w:hAnsi="宋体" w:eastAsia="宋体" w:cs="宋体"/>
          <w:color w:val="000000" w:themeColor="text1"/>
          <w:sz w:val="20"/>
          <w:szCs w:val="20"/>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lang w:eastAsia="zh-CN"/>
          <w14:textFill>
            <w14:solidFill>
              <w14:schemeClr w14:val="tx1"/>
            </w14:solidFill>
          </w14:textFill>
        </w:rPr>
        <w:t>）</w:t>
      </w:r>
      <w:r>
        <w:rPr>
          <w:rFonts w:hint="eastAsia" w:ascii="宋体" w:hAnsi="宋体" w:eastAsia="宋体" w:cs="宋体"/>
          <w:color w:val="000000" w:themeColor="text1"/>
          <w:sz w:val="20"/>
          <w:szCs w:val="20"/>
          <w:highlight w:val="none"/>
          <w:lang w:val="en-US" w:eastAsia="zh-CN"/>
          <w14:textFill>
            <w14:solidFill>
              <w14:schemeClr w14:val="tx1"/>
            </w14:solidFill>
          </w14:textFill>
        </w:rPr>
        <w:t>；如本合同金额支付完毕，因考核产生的扣款由乙方返还至甲方。</w:t>
      </w:r>
    </w:p>
    <w:p w14:paraId="5EB96F42">
      <w:pPr>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00" w:firstLineChars="200"/>
        <w:jc w:val="left"/>
        <w:textAlignment w:val="auto"/>
        <w:rPr>
          <w:rFonts w:hint="default" w:ascii="宋体" w:hAnsi="宋体" w:eastAsia="宋体" w:cs="宋体"/>
          <w:color w:val="auto"/>
          <w:sz w:val="20"/>
          <w:szCs w:val="20"/>
          <w:highlight w:val="none"/>
          <w:lang w:val="en-US" w:eastAsia="zh-CN"/>
        </w:rPr>
      </w:pPr>
      <w:r>
        <w:rPr>
          <w:rFonts w:hint="eastAsia" w:ascii="宋体" w:hAnsi="宋体" w:cs="宋体"/>
          <w:color w:val="000000" w:themeColor="text1"/>
          <w:sz w:val="20"/>
          <w:szCs w:val="20"/>
          <w:highlight w:val="none"/>
          <w:lang w:val="en-US" w:eastAsia="zh-CN"/>
          <w14:textFill>
            <w14:solidFill>
              <w14:schemeClr w14:val="tx1"/>
            </w14:solidFill>
          </w14:textFill>
        </w:rPr>
        <w:t>具体考核办法见采购需求第三部分绩效考核办法相关内容。</w:t>
      </w:r>
    </w:p>
    <w:p w14:paraId="199ABF4D">
      <w:pPr>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00" w:firstLineChars="200"/>
        <w:jc w:val="left"/>
        <w:textAlignment w:val="auto"/>
        <w:rPr>
          <w:rFonts w:hint="default"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eastAsia="zh-CN"/>
        </w:rPr>
        <w:t>公司名称：</w:t>
      </w:r>
      <w:r>
        <w:rPr>
          <w:rFonts w:hint="eastAsia" w:asciiTheme="minorEastAsia" w:hAnsiTheme="minorEastAsia" w:eastAsiaTheme="minorEastAsia" w:cstheme="minorEastAsia"/>
          <w:sz w:val="20"/>
          <w:szCs w:val="20"/>
          <w:lang w:val="en-US" w:eastAsia="zh-CN"/>
        </w:rPr>
        <w:t xml:space="preserve">   </w:t>
      </w:r>
    </w:p>
    <w:p w14:paraId="1C3FDF76">
      <w:pPr>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00" w:firstLineChars="200"/>
        <w:jc w:val="left"/>
        <w:textAlignment w:val="auto"/>
        <w:rPr>
          <w:rFonts w:hint="default"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eastAsia="zh-CN"/>
        </w:rPr>
        <w:t>开 户 行：</w:t>
      </w:r>
      <w:r>
        <w:rPr>
          <w:rFonts w:hint="eastAsia" w:asciiTheme="minorEastAsia" w:hAnsiTheme="minorEastAsia" w:eastAsiaTheme="minorEastAsia" w:cstheme="minorEastAsia"/>
          <w:sz w:val="20"/>
          <w:szCs w:val="20"/>
          <w:lang w:val="en-US" w:eastAsia="zh-CN"/>
        </w:rPr>
        <w:t xml:space="preserve">    </w:t>
      </w:r>
    </w:p>
    <w:p w14:paraId="2E9BD716">
      <w:pPr>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00" w:firstLineChars="200"/>
        <w:jc w:val="left"/>
        <w:textAlignment w:val="auto"/>
        <w:rPr>
          <w:rFonts w:hint="default"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eastAsia="zh-CN"/>
        </w:rPr>
        <w:t>乙方账号：</w:t>
      </w:r>
      <w:r>
        <w:rPr>
          <w:rFonts w:hint="eastAsia" w:asciiTheme="minorEastAsia" w:hAnsiTheme="minorEastAsia" w:eastAsiaTheme="minorEastAsia" w:cstheme="minorEastAsia"/>
          <w:color w:val="auto"/>
          <w:sz w:val="20"/>
          <w:szCs w:val="20"/>
          <w:lang w:val="en-US" w:eastAsia="zh-CN"/>
        </w:rPr>
        <w:t xml:space="preserve">    </w:t>
      </w:r>
    </w:p>
    <w:p w14:paraId="53B848AE">
      <w:pPr>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00" w:firstLineChars="200"/>
        <w:jc w:val="left"/>
        <w:textAlignment w:val="auto"/>
        <w:rPr>
          <w:rFonts w:hint="default"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eastAsia="zh-CN"/>
        </w:rPr>
        <w:t>信用代码：</w:t>
      </w:r>
      <w:r>
        <w:rPr>
          <w:rFonts w:hint="eastAsia" w:asciiTheme="minorEastAsia" w:hAnsiTheme="minorEastAsia" w:eastAsiaTheme="minorEastAsia" w:cstheme="minorEastAsia"/>
          <w:sz w:val="20"/>
          <w:szCs w:val="20"/>
          <w:lang w:val="en-US" w:eastAsia="zh-CN"/>
        </w:rPr>
        <w:t xml:space="preserve">      </w:t>
      </w:r>
    </w:p>
    <w:p w14:paraId="47ADB0A5">
      <w:pPr>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02" w:firstLineChars="200"/>
        <w:jc w:val="left"/>
        <w:textAlignment w:val="auto"/>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第五条  甲方的权利和义务</w:t>
      </w:r>
    </w:p>
    <w:p w14:paraId="74FB0A66">
      <w:pPr>
        <w:keepNext w:val="0"/>
        <w:keepLines w:val="0"/>
        <w:pageBreakBefore w:val="0"/>
        <w:widowControl w:val="0"/>
        <w:kinsoku/>
        <w:wordWrap/>
        <w:overflowPunct/>
        <w:topLinePunct w:val="0"/>
        <w:autoSpaceDE w:val="0"/>
        <w:autoSpaceDN w:val="0"/>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1、甲方有权对</w:t>
      </w:r>
      <w:r>
        <w:rPr>
          <w:rFonts w:hint="eastAsia" w:ascii="宋体" w:hAnsi="宋体" w:eastAsia="宋体" w:cs="宋体"/>
          <w:sz w:val="20"/>
          <w:szCs w:val="20"/>
          <w:lang w:val="en-US" w:eastAsia="zh-CN"/>
        </w:rPr>
        <w:t>派驻教官</w:t>
      </w:r>
      <w:r>
        <w:rPr>
          <w:rFonts w:hint="eastAsia" w:ascii="宋体" w:hAnsi="宋体" w:eastAsia="宋体" w:cs="宋体"/>
          <w:sz w:val="20"/>
          <w:szCs w:val="20"/>
        </w:rPr>
        <w:t>职责范围内的工作情况进行监督和考核，有权通过</w:t>
      </w:r>
      <w:r>
        <w:rPr>
          <w:rFonts w:hint="eastAsia" w:ascii="宋体" w:hAnsi="宋体" w:eastAsia="宋体" w:cs="宋体"/>
          <w:sz w:val="20"/>
          <w:szCs w:val="20"/>
          <w:lang w:val="en-US" w:eastAsia="zh-CN"/>
        </w:rPr>
        <w:t>项目</w:t>
      </w:r>
      <w:r>
        <w:rPr>
          <w:rFonts w:hint="eastAsia" w:ascii="宋体" w:hAnsi="宋体" w:eastAsia="宋体" w:cs="宋体"/>
          <w:sz w:val="20"/>
          <w:szCs w:val="20"/>
        </w:rPr>
        <w:t>负责人提出工作意见或建议，有权就学校阶段性中心工作的配合事宜通过</w:t>
      </w:r>
      <w:r>
        <w:rPr>
          <w:rFonts w:hint="eastAsia" w:ascii="宋体" w:hAnsi="宋体" w:eastAsia="宋体" w:cs="宋体"/>
          <w:sz w:val="20"/>
          <w:szCs w:val="20"/>
          <w:lang w:val="en-US" w:eastAsia="zh-CN"/>
        </w:rPr>
        <w:t>项目</w:t>
      </w:r>
      <w:r>
        <w:rPr>
          <w:rFonts w:hint="eastAsia" w:ascii="宋体" w:hAnsi="宋体" w:eastAsia="宋体" w:cs="宋体"/>
          <w:sz w:val="20"/>
          <w:szCs w:val="20"/>
        </w:rPr>
        <w:t>负责人对</w:t>
      </w:r>
      <w:r>
        <w:rPr>
          <w:rFonts w:hint="eastAsia" w:ascii="宋体" w:hAnsi="宋体" w:cs="宋体"/>
          <w:sz w:val="20"/>
          <w:szCs w:val="20"/>
          <w:lang w:val="en-US" w:eastAsia="zh-CN"/>
        </w:rPr>
        <w:t>驻校</w:t>
      </w:r>
      <w:r>
        <w:rPr>
          <w:rFonts w:hint="eastAsia" w:ascii="宋体" w:hAnsi="宋体" w:eastAsia="宋体" w:cs="宋体"/>
          <w:sz w:val="20"/>
          <w:szCs w:val="20"/>
          <w:lang w:val="en-US" w:eastAsia="zh-CN"/>
        </w:rPr>
        <w:t>教官</w:t>
      </w:r>
      <w:r>
        <w:rPr>
          <w:rFonts w:hint="eastAsia" w:ascii="宋体" w:hAnsi="宋体" w:eastAsia="宋体" w:cs="宋体"/>
          <w:sz w:val="20"/>
          <w:szCs w:val="20"/>
        </w:rPr>
        <w:t>进行统一调配使用，有权针对</w:t>
      </w:r>
      <w:r>
        <w:rPr>
          <w:rFonts w:hint="eastAsia" w:ascii="宋体" w:hAnsi="宋体" w:eastAsia="宋体" w:cs="宋体"/>
          <w:sz w:val="20"/>
          <w:szCs w:val="20"/>
          <w:lang w:val="en-US" w:eastAsia="zh-CN"/>
        </w:rPr>
        <w:t>派驻教官</w:t>
      </w:r>
      <w:r>
        <w:rPr>
          <w:rFonts w:hint="eastAsia" w:ascii="宋体" w:hAnsi="宋体" w:eastAsia="宋体" w:cs="宋体"/>
          <w:sz w:val="20"/>
          <w:szCs w:val="20"/>
        </w:rPr>
        <w:t>违规违纪以及渎职或不作为情况建议乙方进行处理整改或调换新</w:t>
      </w:r>
      <w:r>
        <w:rPr>
          <w:rFonts w:hint="eastAsia" w:ascii="宋体" w:hAnsi="宋体" w:cs="宋体"/>
          <w:sz w:val="20"/>
          <w:szCs w:val="20"/>
          <w:lang w:val="en-US" w:eastAsia="zh-CN"/>
        </w:rPr>
        <w:t>的</w:t>
      </w:r>
      <w:r>
        <w:rPr>
          <w:rFonts w:hint="eastAsia" w:ascii="宋体" w:hAnsi="宋体" w:eastAsia="宋体" w:cs="宋体"/>
          <w:sz w:val="20"/>
          <w:szCs w:val="20"/>
          <w:lang w:val="en-US" w:eastAsia="zh-CN"/>
        </w:rPr>
        <w:t>教官</w:t>
      </w:r>
      <w:r>
        <w:rPr>
          <w:rFonts w:hint="eastAsia" w:ascii="宋体" w:hAnsi="宋体" w:eastAsia="宋体" w:cs="宋体"/>
          <w:sz w:val="20"/>
          <w:szCs w:val="20"/>
        </w:rPr>
        <w:t>。</w:t>
      </w:r>
    </w:p>
    <w:p w14:paraId="3B739AD8">
      <w:pPr>
        <w:keepNext w:val="0"/>
        <w:keepLines w:val="0"/>
        <w:pageBreakBefore w:val="0"/>
        <w:widowControl w:val="0"/>
        <w:kinsoku/>
        <w:wordWrap/>
        <w:overflowPunct/>
        <w:topLinePunct w:val="0"/>
        <w:autoSpaceDE w:val="0"/>
        <w:autoSpaceDN w:val="0"/>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w:t>
      </w:r>
      <w:r>
        <w:rPr>
          <w:rFonts w:hint="eastAsia" w:ascii="宋体" w:hAnsi="宋体" w:cs="宋体"/>
          <w:sz w:val="20"/>
          <w:szCs w:val="20"/>
          <w:lang w:val="en-US" w:eastAsia="zh-CN"/>
        </w:rPr>
        <w:t>乙方</w:t>
      </w:r>
      <w:r>
        <w:rPr>
          <w:rFonts w:hint="eastAsia" w:ascii="宋体" w:hAnsi="宋体" w:eastAsia="宋体" w:cs="宋体"/>
          <w:sz w:val="20"/>
          <w:szCs w:val="20"/>
          <w:lang w:val="en-US" w:eastAsia="zh-CN"/>
        </w:rPr>
        <w:t>教官</w:t>
      </w:r>
      <w:r>
        <w:rPr>
          <w:rFonts w:hint="eastAsia" w:ascii="宋体" w:hAnsi="宋体" w:eastAsia="宋体" w:cs="宋体"/>
          <w:sz w:val="20"/>
          <w:szCs w:val="20"/>
        </w:rPr>
        <w:t>不得打骂、体罚学生，每发生一次扣除管理费1000元，情节严重的交有关部门处理。</w:t>
      </w:r>
      <w:r>
        <w:rPr>
          <w:rFonts w:hint="eastAsia" w:ascii="宋体" w:hAnsi="宋体" w:cs="宋体"/>
          <w:sz w:val="20"/>
          <w:szCs w:val="20"/>
          <w:lang w:val="en-US" w:eastAsia="zh-CN"/>
        </w:rPr>
        <w:t>乙方</w:t>
      </w:r>
      <w:r>
        <w:rPr>
          <w:rFonts w:hint="eastAsia" w:ascii="宋体" w:hAnsi="宋体" w:eastAsia="宋体" w:cs="宋体"/>
          <w:sz w:val="20"/>
          <w:szCs w:val="20"/>
          <w:lang w:val="en-US" w:eastAsia="zh-CN"/>
        </w:rPr>
        <w:t>教官</w:t>
      </w:r>
      <w:r>
        <w:rPr>
          <w:rFonts w:hint="eastAsia" w:ascii="宋体" w:hAnsi="宋体" w:eastAsia="宋体" w:cs="宋体"/>
          <w:sz w:val="20"/>
          <w:szCs w:val="20"/>
        </w:rPr>
        <w:t>在校园里严禁抽烟，教职员工发现或学生举报，每发现一次扣除管理费200元。</w:t>
      </w:r>
    </w:p>
    <w:p w14:paraId="42846028">
      <w:pPr>
        <w:keepNext w:val="0"/>
        <w:keepLines w:val="0"/>
        <w:pageBreakBefore w:val="0"/>
        <w:widowControl w:val="0"/>
        <w:kinsoku/>
        <w:wordWrap/>
        <w:overflowPunct/>
        <w:topLinePunct w:val="0"/>
        <w:autoSpaceDE w:val="0"/>
        <w:autoSpaceDN w:val="0"/>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w:t>
      </w:r>
      <w:r>
        <w:rPr>
          <w:rFonts w:hint="eastAsia" w:ascii="宋体" w:hAnsi="宋体" w:cs="宋体"/>
          <w:sz w:val="20"/>
          <w:szCs w:val="20"/>
          <w:lang w:val="en-US" w:eastAsia="zh-CN"/>
        </w:rPr>
        <w:t>乙方</w:t>
      </w:r>
      <w:r>
        <w:rPr>
          <w:rFonts w:hint="eastAsia" w:ascii="宋体" w:hAnsi="宋体" w:eastAsia="宋体" w:cs="宋体"/>
          <w:sz w:val="20"/>
          <w:szCs w:val="20"/>
          <w:lang w:val="en-US" w:eastAsia="zh-CN"/>
        </w:rPr>
        <w:t>教官</w:t>
      </w:r>
      <w:r>
        <w:rPr>
          <w:rFonts w:hint="eastAsia" w:ascii="宋体" w:hAnsi="宋体" w:eastAsia="宋体" w:cs="宋体"/>
          <w:sz w:val="20"/>
          <w:szCs w:val="20"/>
        </w:rPr>
        <w:t>工作日和周六周日、节假日值班</w:t>
      </w:r>
      <w:r>
        <w:rPr>
          <w:rFonts w:hint="eastAsia" w:ascii="宋体" w:hAnsi="宋体" w:eastAsia="宋体" w:cs="宋体"/>
          <w:sz w:val="20"/>
          <w:szCs w:val="20"/>
          <w:lang w:val="en-US" w:eastAsia="zh-CN"/>
        </w:rPr>
        <w:t>教官</w:t>
      </w:r>
      <w:r>
        <w:rPr>
          <w:rFonts w:hint="eastAsia" w:ascii="宋体" w:hAnsi="宋体" w:eastAsia="宋体" w:cs="宋体"/>
          <w:sz w:val="20"/>
          <w:szCs w:val="20"/>
        </w:rPr>
        <w:t>不得饮酒，凡违反者每人次扣管理费500元，饮酒后出现打骂体罚学生或与师生发生冲突者，每人次扣管理费3000元，情节严重的交有关部门处理。</w:t>
      </w:r>
    </w:p>
    <w:p w14:paraId="59BFA868">
      <w:pPr>
        <w:keepNext w:val="0"/>
        <w:keepLines w:val="0"/>
        <w:pageBreakBefore w:val="0"/>
        <w:widowControl w:val="0"/>
        <w:kinsoku/>
        <w:wordWrap/>
        <w:overflowPunct/>
        <w:topLinePunct w:val="0"/>
        <w:autoSpaceDE w:val="0"/>
        <w:autoSpaceDN w:val="0"/>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4、</w:t>
      </w:r>
      <w:r>
        <w:rPr>
          <w:rFonts w:hint="eastAsia" w:ascii="宋体" w:hAnsi="宋体" w:cs="宋体"/>
          <w:sz w:val="20"/>
          <w:szCs w:val="20"/>
          <w:lang w:val="en-US" w:eastAsia="zh-CN"/>
        </w:rPr>
        <w:t>乙方</w:t>
      </w:r>
      <w:r>
        <w:rPr>
          <w:rFonts w:hint="eastAsia" w:ascii="宋体" w:hAnsi="宋体" w:eastAsia="宋体" w:cs="宋体"/>
          <w:sz w:val="20"/>
          <w:szCs w:val="20"/>
          <w:lang w:val="en-US" w:eastAsia="zh-CN"/>
        </w:rPr>
        <w:t>教官</w:t>
      </w:r>
      <w:r>
        <w:rPr>
          <w:rFonts w:hint="eastAsia" w:ascii="宋体" w:hAnsi="宋体" w:eastAsia="宋体" w:cs="宋体"/>
          <w:sz w:val="20"/>
          <w:szCs w:val="20"/>
        </w:rPr>
        <w:t>违规违纪、与异性学生有暧昧关系或者恋爱关系以及渎职或不作为情况，甲方有权建议乙方进行处理整改或另换新</w:t>
      </w:r>
      <w:r>
        <w:rPr>
          <w:rFonts w:hint="eastAsia" w:ascii="宋体" w:hAnsi="宋体" w:eastAsia="宋体" w:cs="宋体"/>
          <w:sz w:val="20"/>
          <w:szCs w:val="20"/>
          <w:lang w:val="en-US" w:eastAsia="zh-CN"/>
        </w:rPr>
        <w:t>的驻校教官</w:t>
      </w:r>
      <w:r>
        <w:rPr>
          <w:rFonts w:hint="eastAsia" w:ascii="宋体" w:hAnsi="宋体" w:eastAsia="宋体" w:cs="宋体"/>
          <w:sz w:val="20"/>
          <w:szCs w:val="20"/>
        </w:rPr>
        <w:t>，并视情况每次扣除管理费100元至1000元，情节严重的移交相关部门处理，而且一切责任均由乙方负责，如不能及时整改，甲方有权解除此合同。</w:t>
      </w:r>
    </w:p>
    <w:p w14:paraId="693FBFF2">
      <w:pPr>
        <w:keepNext w:val="0"/>
        <w:keepLines w:val="0"/>
        <w:pageBreakBefore w:val="0"/>
        <w:widowControl w:val="0"/>
        <w:kinsoku/>
        <w:wordWrap/>
        <w:overflowPunct/>
        <w:topLinePunct w:val="0"/>
        <w:autoSpaceDE w:val="0"/>
        <w:autoSpaceDN w:val="0"/>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5、号召教职工尊重</w:t>
      </w:r>
      <w:r>
        <w:rPr>
          <w:rFonts w:hint="eastAsia" w:ascii="宋体" w:hAnsi="宋体" w:cs="宋体"/>
          <w:sz w:val="20"/>
          <w:szCs w:val="20"/>
          <w:lang w:val="en-US" w:eastAsia="zh-CN"/>
        </w:rPr>
        <w:t>乙方驻校</w:t>
      </w:r>
      <w:r>
        <w:rPr>
          <w:rFonts w:hint="eastAsia" w:ascii="宋体" w:hAnsi="宋体" w:eastAsia="宋体" w:cs="宋体"/>
          <w:sz w:val="20"/>
          <w:szCs w:val="20"/>
          <w:lang w:val="en-US" w:eastAsia="zh-CN"/>
        </w:rPr>
        <w:t>教官</w:t>
      </w:r>
      <w:r>
        <w:rPr>
          <w:rFonts w:hint="eastAsia" w:ascii="宋体" w:hAnsi="宋体" w:eastAsia="宋体" w:cs="宋体"/>
          <w:sz w:val="20"/>
          <w:szCs w:val="20"/>
        </w:rPr>
        <w:t>，并积极配合支持</w:t>
      </w:r>
      <w:r>
        <w:rPr>
          <w:rFonts w:hint="eastAsia" w:ascii="宋体" w:hAnsi="宋体" w:cs="宋体"/>
          <w:sz w:val="20"/>
          <w:szCs w:val="20"/>
          <w:lang w:val="en-US" w:eastAsia="zh-CN"/>
        </w:rPr>
        <w:t>乙方</w:t>
      </w:r>
      <w:r>
        <w:rPr>
          <w:rFonts w:hint="eastAsia" w:ascii="宋体" w:hAnsi="宋体" w:eastAsia="宋体" w:cs="宋体"/>
          <w:sz w:val="20"/>
          <w:szCs w:val="20"/>
          <w:lang w:val="en-US" w:eastAsia="zh-CN"/>
        </w:rPr>
        <w:t>教官</w:t>
      </w:r>
      <w:r>
        <w:rPr>
          <w:rFonts w:hint="eastAsia" w:ascii="宋体" w:hAnsi="宋体" w:eastAsia="宋体" w:cs="宋体"/>
          <w:sz w:val="20"/>
          <w:szCs w:val="20"/>
        </w:rPr>
        <w:t>工作，教育学生像热爱老师一样热爱</w:t>
      </w:r>
      <w:r>
        <w:rPr>
          <w:rFonts w:hint="eastAsia" w:ascii="宋体" w:hAnsi="宋体" w:cs="宋体"/>
          <w:sz w:val="20"/>
          <w:szCs w:val="20"/>
          <w:lang w:val="en-US" w:eastAsia="zh-CN"/>
        </w:rPr>
        <w:t>驻校</w:t>
      </w:r>
      <w:r>
        <w:rPr>
          <w:rFonts w:hint="eastAsia" w:ascii="宋体" w:hAnsi="宋体" w:eastAsia="宋体" w:cs="宋体"/>
          <w:sz w:val="20"/>
          <w:szCs w:val="20"/>
          <w:lang w:val="en-US" w:eastAsia="zh-CN"/>
        </w:rPr>
        <w:t>教官</w:t>
      </w:r>
      <w:r>
        <w:rPr>
          <w:rFonts w:hint="eastAsia" w:ascii="宋体" w:hAnsi="宋体" w:eastAsia="宋体" w:cs="宋体"/>
          <w:sz w:val="20"/>
          <w:szCs w:val="20"/>
        </w:rPr>
        <w:t>并</w:t>
      </w:r>
      <w:r>
        <w:rPr>
          <w:rFonts w:hint="eastAsia" w:ascii="宋体" w:hAnsi="宋体" w:cs="宋体"/>
          <w:sz w:val="20"/>
          <w:szCs w:val="20"/>
          <w:lang w:val="en-US" w:eastAsia="zh-CN"/>
        </w:rPr>
        <w:t>配合驻校</w:t>
      </w:r>
      <w:r>
        <w:rPr>
          <w:rFonts w:hint="eastAsia" w:ascii="宋体" w:hAnsi="宋体" w:eastAsia="宋体" w:cs="宋体"/>
          <w:sz w:val="20"/>
          <w:szCs w:val="20"/>
          <w:lang w:val="en-US" w:eastAsia="zh-CN"/>
        </w:rPr>
        <w:t>教官</w:t>
      </w:r>
      <w:r>
        <w:rPr>
          <w:rFonts w:hint="eastAsia" w:ascii="宋体" w:hAnsi="宋体" w:eastAsia="宋体" w:cs="宋体"/>
          <w:sz w:val="20"/>
          <w:szCs w:val="20"/>
        </w:rPr>
        <w:t>的</w:t>
      </w:r>
      <w:r>
        <w:rPr>
          <w:rFonts w:hint="eastAsia" w:ascii="宋体" w:hAnsi="宋体" w:cs="宋体"/>
          <w:sz w:val="20"/>
          <w:szCs w:val="20"/>
          <w:lang w:val="en-US" w:eastAsia="zh-CN"/>
        </w:rPr>
        <w:t>服务</w:t>
      </w:r>
      <w:r>
        <w:rPr>
          <w:rFonts w:hint="eastAsia" w:ascii="宋体" w:hAnsi="宋体" w:eastAsia="宋体" w:cs="宋体"/>
          <w:sz w:val="20"/>
          <w:szCs w:val="20"/>
        </w:rPr>
        <w:t>，确保</w:t>
      </w:r>
      <w:r>
        <w:rPr>
          <w:rFonts w:hint="eastAsia" w:ascii="宋体" w:hAnsi="宋体" w:eastAsia="宋体" w:cs="宋体"/>
          <w:sz w:val="20"/>
          <w:szCs w:val="20"/>
          <w:lang w:val="en-US" w:eastAsia="zh-CN"/>
        </w:rPr>
        <w:t>学校老师</w:t>
      </w:r>
      <w:r>
        <w:rPr>
          <w:rFonts w:hint="eastAsia" w:ascii="宋体" w:hAnsi="宋体" w:eastAsia="宋体" w:cs="宋体"/>
          <w:sz w:val="20"/>
          <w:szCs w:val="20"/>
        </w:rPr>
        <w:t>及学校相关部门给予积极配合和全力协助，减少人为因素的干扰。</w:t>
      </w:r>
    </w:p>
    <w:p w14:paraId="025CD9CC">
      <w:pPr>
        <w:keepNext w:val="0"/>
        <w:keepLines w:val="0"/>
        <w:pageBreakBefore w:val="0"/>
        <w:widowControl w:val="0"/>
        <w:kinsoku/>
        <w:wordWrap/>
        <w:overflowPunct/>
        <w:topLinePunct w:val="0"/>
        <w:autoSpaceDE w:val="0"/>
        <w:autoSpaceDN w:val="0"/>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6、甲方免费提供</w:t>
      </w:r>
      <w:r>
        <w:rPr>
          <w:rFonts w:hint="eastAsia" w:ascii="宋体" w:hAnsi="宋体" w:cs="宋体"/>
          <w:sz w:val="20"/>
          <w:szCs w:val="20"/>
          <w:lang w:val="en-US" w:eastAsia="zh-CN"/>
        </w:rPr>
        <w:t>驻校</w:t>
      </w:r>
      <w:r>
        <w:rPr>
          <w:rFonts w:hint="eastAsia" w:ascii="宋体" w:hAnsi="宋体" w:eastAsia="宋体" w:cs="宋体"/>
          <w:sz w:val="20"/>
          <w:szCs w:val="20"/>
          <w:lang w:val="en-US" w:eastAsia="zh-CN"/>
        </w:rPr>
        <w:t>教官</w:t>
      </w:r>
      <w:r>
        <w:rPr>
          <w:rFonts w:hint="eastAsia" w:ascii="宋体" w:hAnsi="宋体" w:eastAsia="宋体" w:cs="宋体"/>
          <w:sz w:val="20"/>
          <w:szCs w:val="20"/>
        </w:rPr>
        <w:t>的基本办公用品、住宿条件，甲方应为</w:t>
      </w:r>
      <w:r>
        <w:rPr>
          <w:rFonts w:hint="eastAsia" w:ascii="宋体" w:hAnsi="宋体" w:cs="宋体"/>
          <w:sz w:val="20"/>
          <w:szCs w:val="20"/>
          <w:highlight w:val="none"/>
          <w:lang w:eastAsia="zh-CN"/>
        </w:rPr>
        <w:t>驻校教官</w:t>
      </w:r>
      <w:r>
        <w:rPr>
          <w:rFonts w:hint="eastAsia" w:ascii="宋体" w:hAnsi="宋体" w:eastAsia="宋体" w:cs="宋体"/>
          <w:sz w:val="20"/>
          <w:szCs w:val="20"/>
        </w:rPr>
        <w:t>工作提供后勤保障。为了便于</w:t>
      </w:r>
      <w:r>
        <w:rPr>
          <w:rFonts w:hint="eastAsia" w:ascii="宋体" w:hAnsi="宋体" w:cs="宋体"/>
          <w:sz w:val="20"/>
          <w:szCs w:val="20"/>
          <w:lang w:eastAsia="zh-CN"/>
        </w:rPr>
        <w:t>驻校教官</w:t>
      </w:r>
      <w:r>
        <w:rPr>
          <w:rFonts w:hint="eastAsia" w:ascii="宋体" w:hAnsi="宋体" w:eastAsia="宋体" w:cs="宋体"/>
          <w:sz w:val="20"/>
          <w:szCs w:val="20"/>
        </w:rPr>
        <w:t>管理，</w:t>
      </w:r>
      <w:r>
        <w:rPr>
          <w:rFonts w:hint="eastAsia" w:ascii="宋体" w:hAnsi="宋体" w:cs="宋体"/>
          <w:sz w:val="20"/>
          <w:szCs w:val="20"/>
          <w:lang w:eastAsia="zh-CN"/>
        </w:rPr>
        <w:t>驻校教官</w:t>
      </w:r>
      <w:r>
        <w:rPr>
          <w:rFonts w:hint="eastAsia" w:ascii="宋体" w:hAnsi="宋体" w:eastAsia="宋体" w:cs="宋体"/>
          <w:sz w:val="20"/>
          <w:szCs w:val="20"/>
        </w:rPr>
        <w:t>的寝室需要在学生宿舍楼每栋的进出口处。</w:t>
      </w:r>
    </w:p>
    <w:p w14:paraId="3CBA66AF">
      <w:pPr>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00" w:firstLineChars="200"/>
        <w:jc w:val="left"/>
        <w:textAlignment w:val="auto"/>
        <w:rPr>
          <w:rFonts w:hint="eastAsia" w:asciiTheme="minorEastAsia" w:hAnsiTheme="minorEastAsia" w:eastAsiaTheme="minorEastAsia" w:cstheme="minorEastAsia"/>
          <w:sz w:val="20"/>
          <w:szCs w:val="20"/>
        </w:rPr>
      </w:pPr>
      <w:r>
        <w:rPr>
          <w:rFonts w:hint="eastAsia" w:ascii="宋体" w:hAnsi="宋体" w:eastAsia="宋体" w:cs="宋体"/>
          <w:sz w:val="20"/>
          <w:szCs w:val="20"/>
        </w:rPr>
        <w:t>甲方需要为乙方</w:t>
      </w:r>
      <w:r>
        <w:rPr>
          <w:rFonts w:hint="eastAsia" w:ascii="宋体" w:hAnsi="宋体" w:eastAsia="宋体" w:cs="宋体"/>
          <w:sz w:val="20"/>
          <w:szCs w:val="20"/>
          <w:lang w:val="en-US" w:eastAsia="zh-CN"/>
        </w:rPr>
        <w:t>派驻</w:t>
      </w:r>
      <w:r>
        <w:rPr>
          <w:rFonts w:hint="eastAsia" w:ascii="宋体" w:hAnsi="宋体" w:cs="宋体"/>
          <w:sz w:val="20"/>
          <w:szCs w:val="20"/>
          <w:lang w:eastAsia="zh-CN"/>
        </w:rPr>
        <w:t>驻校教官</w:t>
      </w:r>
      <w:r>
        <w:rPr>
          <w:rFonts w:hint="eastAsia" w:ascii="宋体" w:hAnsi="宋体" w:eastAsia="宋体" w:cs="宋体"/>
          <w:sz w:val="20"/>
          <w:szCs w:val="20"/>
        </w:rPr>
        <w:t>免费提供：每人1个办公位置以及便于</w:t>
      </w:r>
      <w:r>
        <w:rPr>
          <w:rFonts w:hint="eastAsia" w:ascii="宋体" w:hAnsi="宋体" w:eastAsia="宋体" w:cs="宋体"/>
          <w:sz w:val="20"/>
          <w:szCs w:val="20"/>
          <w:lang w:val="en-US" w:eastAsia="zh-CN"/>
        </w:rPr>
        <w:t>教官</w:t>
      </w:r>
      <w:r>
        <w:rPr>
          <w:rFonts w:hint="eastAsia" w:ascii="宋体" w:hAnsi="宋体" w:eastAsia="宋体" w:cs="宋体"/>
          <w:sz w:val="20"/>
          <w:szCs w:val="20"/>
        </w:rPr>
        <w:t>开会的会议室（需要每天早中晚三次会议）、日常办公用品等。</w:t>
      </w:r>
    </w:p>
    <w:p w14:paraId="00237381">
      <w:pPr>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02" w:firstLineChars="200"/>
        <w:jc w:val="left"/>
        <w:textAlignment w:val="auto"/>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第六条  乙方的权利和义务</w:t>
      </w:r>
    </w:p>
    <w:p w14:paraId="3CCA2E64">
      <w:pPr>
        <w:keepNext w:val="0"/>
        <w:keepLines w:val="0"/>
        <w:pageBreakBefore w:val="0"/>
        <w:widowControl w:val="0"/>
        <w:kinsoku/>
        <w:wordWrap/>
        <w:overflowPunct/>
        <w:topLinePunct w:val="0"/>
        <w:autoSpaceDE w:val="0"/>
        <w:autoSpaceDN w:val="0"/>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1、以服务教育教学、服务学生为宗旨，抓好队伍自身建设、做好</w:t>
      </w:r>
      <w:r>
        <w:rPr>
          <w:rFonts w:hint="eastAsia" w:ascii="宋体" w:hAnsi="宋体" w:eastAsia="宋体" w:cs="宋体"/>
          <w:sz w:val="20"/>
          <w:szCs w:val="20"/>
          <w:lang w:val="en-US" w:eastAsia="zh-CN"/>
        </w:rPr>
        <w:t>派驻教官</w:t>
      </w:r>
      <w:r>
        <w:rPr>
          <w:rFonts w:hint="eastAsia" w:ascii="宋体" w:hAnsi="宋体" w:eastAsia="宋体" w:cs="宋体"/>
          <w:sz w:val="20"/>
          <w:szCs w:val="20"/>
        </w:rPr>
        <w:t>的教育、管理、检查，做好</w:t>
      </w:r>
      <w:r>
        <w:rPr>
          <w:rFonts w:hint="eastAsia" w:ascii="宋体" w:hAnsi="宋体" w:cs="宋体"/>
          <w:sz w:val="20"/>
          <w:szCs w:val="20"/>
          <w:lang w:val="en-US" w:eastAsia="zh-CN"/>
        </w:rPr>
        <w:t>驻校</w:t>
      </w:r>
      <w:r>
        <w:rPr>
          <w:rFonts w:hint="eastAsia" w:ascii="宋体" w:hAnsi="宋体" w:eastAsia="宋体" w:cs="宋体"/>
          <w:sz w:val="20"/>
          <w:szCs w:val="20"/>
          <w:lang w:val="en-US" w:eastAsia="zh-CN"/>
        </w:rPr>
        <w:t>教官</w:t>
      </w:r>
      <w:r>
        <w:rPr>
          <w:rFonts w:hint="eastAsia" w:ascii="宋体" w:hAnsi="宋体" w:eastAsia="宋体" w:cs="宋体"/>
          <w:sz w:val="20"/>
          <w:szCs w:val="20"/>
        </w:rPr>
        <w:t>的学习培训，督导</w:t>
      </w:r>
      <w:r>
        <w:rPr>
          <w:rFonts w:hint="eastAsia" w:ascii="宋体" w:hAnsi="宋体" w:eastAsia="宋体" w:cs="宋体"/>
          <w:sz w:val="20"/>
          <w:szCs w:val="20"/>
          <w:lang w:val="en-US" w:eastAsia="zh-CN"/>
        </w:rPr>
        <w:t>教官</w:t>
      </w:r>
      <w:r>
        <w:rPr>
          <w:rFonts w:hint="eastAsia" w:ascii="宋体" w:hAnsi="宋体" w:eastAsia="宋体" w:cs="宋体"/>
          <w:sz w:val="20"/>
          <w:szCs w:val="20"/>
        </w:rPr>
        <w:t>做好驻校管理服务，做好军事化管理工作。</w:t>
      </w:r>
    </w:p>
    <w:p w14:paraId="3E014B78">
      <w:pPr>
        <w:keepNext w:val="0"/>
        <w:keepLines w:val="0"/>
        <w:pageBreakBefore w:val="0"/>
        <w:widowControl w:val="0"/>
        <w:kinsoku/>
        <w:wordWrap/>
        <w:overflowPunct/>
        <w:topLinePunct w:val="0"/>
        <w:autoSpaceDE w:val="0"/>
        <w:autoSpaceDN w:val="0"/>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2、尊重学校领导和老师，爱护学生，抓好</w:t>
      </w:r>
      <w:r>
        <w:rPr>
          <w:rFonts w:hint="eastAsia" w:ascii="宋体" w:hAnsi="宋体" w:cs="宋体"/>
          <w:sz w:val="20"/>
          <w:szCs w:val="20"/>
          <w:lang w:val="en-US" w:eastAsia="zh-CN"/>
        </w:rPr>
        <w:t>驻校</w:t>
      </w:r>
      <w:r>
        <w:rPr>
          <w:rFonts w:hint="eastAsia" w:ascii="宋体" w:hAnsi="宋体" w:eastAsia="宋体" w:cs="宋体"/>
          <w:sz w:val="20"/>
          <w:szCs w:val="20"/>
          <w:lang w:val="en-US" w:eastAsia="zh-CN"/>
        </w:rPr>
        <w:t>教官</w:t>
      </w:r>
      <w:r>
        <w:rPr>
          <w:rFonts w:hint="eastAsia" w:ascii="宋体" w:hAnsi="宋体" w:cs="宋体"/>
          <w:sz w:val="20"/>
          <w:szCs w:val="20"/>
          <w:lang w:eastAsia="zh-CN"/>
        </w:rPr>
        <w:t>的</w:t>
      </w:r>
      <w:r>
        <w:rPr>
          <w:rFonts w:hint="eastAsia" w:ascii="宋体" w:hAnsi="宋体" w:eastAsia="宋体" w:cs="宋体"/>
          <w:sz w:val="20"/>
          <w:szCs w:val="20"/>
        </w:rPr>
        <w:t>作风建设，教育</w:t>
      </w:r>
      <w:r>
        <w:rPr>
          <w:rFonts w:hint="eastAsia" w:ascii="宋体" w:hAnsi="宋体" w:eastAsia="宋体" w:cs="宋体"/>
          <w:sz w:val="20"/>
          <w:szCs w:val="20"/>
          <w:lang w:val="en-US" w:eastAsia="zh-CN"/>
        </w:rPr>
        <w:t>教官</w:t>
      </w:r>
      <w:r>
        <w:rPr>
          <w:rFonts w:hint="eastAsia" w:ascii="宋体" w:hAnsi="宋体" w:eastAsia="宋体" w:cs="宋体"/>
          <w:sz w:val="20"/>
          <w:szCs w:val="20"/>
        </w:rPr>
        <w:t>讲究工作方式方法，实行文明管理和人性化施教，坚决杜绝打骂体罚学生，不和学生发生冲突，不引起家校矛盾。</w:t>
      </w:r>
    </w:p>
    <w:p w14:paraId="55E8473C">
      <w:pPr>
        <w:keepNext w:val="0"/>
        <w:keepLines w:val="0"/>
        <w:pageBreakBefore w:val="0"/>
        <w:widowControl w:val="0"/>
        <w:kinsoku/>
        <w:wordWrap/>
        <w:overflowPunct/>
        <w:topLinePunct w:val="0"/>
        <w:autoSpaceDE w:val="0"/>
        <w:autoSpaceDN w:val="0"/>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3、规范</w:t>
      </w:r>
      <w:r>
        <w:rPr>
          <w:rFonts w:hint="eastAsia" w:ascii="宋体" w:hAnsi="宋体" w:cs="宋体"/>
          <w:sz w:val="20"/>
          <w:szCs w:val="20"/>
          <w:lang w:val="en-US" w:eastAsia="zh-CN"/>
        </w:rPr>
        <w:t>驻校</w:t>
      </w:r>
      <w:r>
        <w:rPr>
          <w:rFonts w:hint="eastAsia" w:ascii="宋体" w:hAnsi="宋体" w:eastAsia="宋体" w:cs="宋体"/>
          <w:sz w:val="20"/>
          <w:szCs w:val="20"/>
          <w:lang w:val="en-US" w:eastAsia="zh-CN"/>
        </w:rPr>
        <w:t>教官</w:t>
      </w:r>
      <w:r>
        <w:rPr>
          <w:rFonts w:hint="eastAsia" w:ascii="宋体" w:hAnsi="宋体" w:eastAsia="宋体" w:cs="宋体"/>
          <w:sz w:val="20"/>
          <w:szCs w:val="20"/>
        </w:rPr>
        <w:t>和学生生活方式及行为方式，抓好宿舍卫生、安全的管理，注重学生良好生活习惯和行为习惯的养成教育。</w:t>
      </w:r>
    </w:p>
    <w:p w14:paraId="7E474F27">
      <w:pPr>
        <w:keepNext w:val="0"/>
        <w:keepLines w:val="0"/>
        <w:pageBreakBefore w:val="0"/>
        <w:widowControl w:val="0"/>
        <w:kinsoku/>
        <w:wordWrap/>
        <w:overflowPunct/>
        <w:topLinePunct w:val="0"/>
        <w:autoSpaceDE w:val="0"/>
        <w:autoSpaceDN w:val="0"/>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4、及时向学校领导报告工作，认真听取学校领导的意见，遵守学校规章制度，认真配合学校相关部门，不折不扣</w:t>
      </w:r>
      <w:r>
        <w:rPr>
          <w:rFonts w:hint="eastAsia" w:ascii="宋体" w:hAnsi="宋体" w:eastAsia="宋体" w:cs="宋体"/>
          <w:sz w:val="20"/>
          <w:szCs w:val="20"/>
          <w:lang w:eastAsia="zh-CN"/>
        </w:rPr>
        <w:t>地</w:t>
      </w:r>
      <w:r>
        <w:rPr>
          <w:rFonts w:hint="eastAsia" w:ascii="宋体" w:hAnsi="宋体" w:eastAsia="宋体" w:cs="宋体"/>
          <w:sz w:val="20"/>
          <w:szCs w:val="20"/>
        </w:rPr>
        <w:t>完成职责范围内的工作，达到学校满意，学生满意，家长满意。</w:t>
      </w:r>
    </w:p>
    <w:p w14:paraId="307E0953">
      <w:pPr>
        <w:keepNext w:val="0"/>
        <w:keepLines w:val="0"/>
        <w:pageBreakBefore w:val="0"/>
        <w:widowControl w:val="0"/>
        <w:kinsoku/>
        <w:wordWrap/>
        <w:overflowPunct/>
        <w:topLinePunct w:val="0"/>
        <w:autoSpaceDE w:val="0"/>
        <w:autoSpaceDN w:val="0"/>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5、如实提供</w:t>
      </w:r>
      <w:r>
        <w:rPr>
          <w:rFonts w:hint="eastAsia" w:ascii="宋体" w:hAnsi="宋体" w:cs="宋体"/>
          <w:sz w:val="20"/>
          <w:szCs w:val="20"/>
          <w:lang w:val="en-US" w:eastAsia="zh-CN"/>
        </w:rPr>
        <w:t>驻校</w:t>
      </w:r>
      <w:r>
        <w:rPr>
          <w:rFonts w:hint="eastAsia" w:ascii="宋体" w:hAnsi="宋体" w:eastAsia="宋体" w:cs="宋体"/>
          <w:sz w:val="20"/>
          <w:szCs w:val="20"/>
          <w:lang w:val="en-US" w:eastAsia="zh-CN"/>
        </w:rPr>
        <w:t>教官</w:t>
      </w:r>
      <w:r>
        <w:rPr>
          <w:rFonts w:hint="eastAsia" w:ascii="宋体" w:hAnsi="宋体" w:eastAsia="宋体" w:cs="宋体"/>
          <w:sz w:val="20"/>
          <w:szCs w:val="20"/>
        </w:rPr>
        <w:t>的身份信息，无特殊情况中途不得随意变动。</w:t>
      </w:r>
    </w:p>
    <w:p w14:paraId="5D6B9379">
      <w:pPr>
        <w:keepNext w:val="0"/>
        <w:keepLines w:val="0"/>
        <w:pageBreakBefore w:val="0"/>
        <w:widowControl w:val="0"/>
        <w:kinsoku/>
        <w:wordWrap/>
        <w:overflowPunct/>
        <w:topLinePunct w:val="0"/>
        <w:autoSpaceDE w:val="0"/>
        <w:autoSpaceDN w:val="0"/>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6、经过学校授权</w:t>
      </w:r>
      <w:r>
        <w:rPr>
          <w:rFonts w:hint="eastAsia" w:ascii="宋体" w:hAnsi="宋体" w:eastAsia="宋体" w:cs="宋体"/>
          <w:sz w:val="20"/>
          <w:szCs w:val="20"/>
          <w:lang w:val="en-US" w:eastAsia="zh-CN"/>
        </w:rPr>
        <w:t>学生生活</w:t>
      </w:r>
      <w:r>
        <w:rPr>
          <w:rFonts w:hint="eastAsia" w:ascii="宋体" w:hAnsi="宋体" w:cs="宋体"/>
          <w:sz w:val="20"/>
          <w:szCs w:val="20"/>
          <w:lang w:val="en-US" w:eastAsia="zh-CN"/>
        </w:rPr>
        <w:t>驻校教官</w:t>
      </w:r>
      <w:r>
        <w:rPr>
          <w:rFonts w:hint="eastAsia" w:ascii="宋体" w:hAnsi="宋体" w:eastAsia="宋体" w:cs="宋体"/>
          <w:sz w:val="20"/>
          <w:szCs w:val="20"/>
        </w:rPr>
        <w:t>享有以下权力</w:t>
      </w:r>
    </w:p>
    <w:p w14:paraId="24FBBD34">
      <w:pPr>
        <w:keepNext w:val="0"/>
        <w:keepLines w:val="0"/>
        <w:pageBreakBefore w:val="0"/>
        <w:widowControl w:val="0"/>
        <w:kinsoku/>
        <w:wordWrap/>
        <w:overflowPunct/>
        <w:topLinePunct w:val="0"/>
        <w:autoSpaceDE w:val="0"/>
        <w:autoSpaceDN w:val="0"/>
        <w:bidi w:val="0"/>
        <w:adjustRightInd/>
        <w:snapToGrid/>
        <w:spacing w:line="360" w:lineRule="auto"/>
        <w:ind w:firstLine="400" w:firstLineChars="200"/>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sz w:val="20"/>
          <w:szCs w:val="20"/>
        </w:rPr>
        <w:t>(1)学生时间的支配权（合理、方便</w:t>
      </w:r>
      <w:r>
        <w:rPr>
          <w:rFonts w:hint="eastAsia" w:ascii="宋体" w:hAnsi="宋体" w:eastAsia="宋体" w:cs="宋体"/>
          <w:sz w:val="20"/>
          <w:szCs w:val="20"/>
          <w:lang w:eastAsia="zh-CN"/>
        </w:rPr>
        <w:t>学生</w:t>
      </w:r>
      <w:r>
        <w:rPr>
          <w:rFonts w:hint="eastAsia" w:ascii="宋体" w:hAnsi="宋体" w:eastAsia="宋体" w:cs="宋体"/>
          <w:sz w:val="20"/>
          <w:szCs w:val="20"/>
          <w:highlight w:val="none"/>
          <w:lang w:eastAsia="zh-CN"/>
        </w:rPr>
        <w:t>生活</w:t>
      </w:r>
      <w:r>
        <w:rPr>
          <w:rFonts w:hint="eastAsia" w:ascii="宋体" w:hAnsi="宋体" w:cs="宋体"/>
          <w:sz w:val="20"/>
          <w:szCs w:val="20"/>
          <w:highlight w:val="none"/>
          <w:lang w:eastAsia="zh-CN"/>
        </w:rPr>
        <w:t>驻校教官</w:t>
      </w:r>
      <w:r>
        <w:rPr>
          <w:rFonts w:hint="eastAsia" w:ascii="宋体" w:hAnsi="宋体" w:eastAsia="宋体" w:cs="宋体"/>
          <w:sz w:val="20"/>
          <w:szCs w:val="20"/>
        </w:rPr>
        <w:t>管</w:t>
      </w:r>
      <w:r>
        <w:rPr>
          <w:rFonts w:hint="eastAsia" w:ascii="宋体" w:hAnsi="宋体" w:eastAsia="宋体" w:cs="宋体"/>
          <w:color w:val="000000" w:themeColor="text1"/>
          <w:sz w:val="20"/>
          <w:szCs w:val="20"/>
          <w14:textFill>
            <w14:solidFill>
              <w14:schemeClr w14:val="tx1"/>
            </w14:solidFill>
          </w14:textFill>
        </w:rPr>
        <w:t>理的时间支配）</w:t>
      </w:r>
    </w:p>
    <w:p w14:paraId="4D21910E">
      <w:pPr>
        <w:keepNext w:val="0"/>
        <w:keepLines w:val="0"/>
        <w:pageBreakBefore w:val="0"/>
        <w:kinsoku/>
        <w:wordWrap/>
        <w:overflowPunct/>
        <w:topLinePunct w:val="0"/>
        <w:bidi w:val="0"/>
        <w:snapToGrid/>
        <w:spacing w:line="360" w:lineRule="auto"/>
        <w:ind w:left="0" w:leftChars="0" w:right="0" w:firstLine="400" w:firstLineChars="200"/>
        <w:jc w:val="lef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(2)对学生合理、合规、合法的惩戒权（校方不授权的处理权除外）</w:t>
      </w:r>
    </w:p>
    <w:p w14:paraId="64024F2F">
      <w:pPr>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00" w:firstLineChars="200"/>
        <w:jc w:val="left"/>
        <w:textAlignment w:val="auto"/>
        <w:rPr>
          <w:rFonts w:hint="eastAsia" w:asciiTheme="minorEastAsia" w:hAnsiTheme="minorEastAsia" w:eastAsiaTheme="minorEastAsia" w:cstheme="minorEastAsia"/>
          <w:sz w:val="20"/>
          <w:szCs w:val="20"/>
        </w:rPr>
      </w:pPr>
      <w:r>
        <w:rPr>
          <w:rFonts w:hint="eastAsia" w:ascii="宋体" w:hAnsi="宋体" w:eastAsia="宋体" w:cs="宋体"/>
          <w:color w:val="000000" w:themeColor="text1"/>
          <w:sz w:val="20"/>
          <w:szCs w:val="20"/>
          <w14:textFill>
            <w14:solidFill>
              <w14:schemeClr w14:val="tx1"/>
            </w14:solidFill>
          </w14:textFill>
        </w:rPr>
        <w:t>(3)对</w:t>
      </w:r>
      <w:r>
        <w:rPr>
          <w:rFonts w:hint="eastAsia" w:ascii="宋体" w:hAnsi="宋体" w:cs="宋体"/>
          <w:color w:val="000000" w:themeColor="text1"/>
          <w:sz w:val="20"/>
          <w:szCs w:val="20"/>
          <w:lang w:eastAsia="zh-CN"/>
          <w14:textFill>
            <w14:solidFill>
              <w14:schemeClr w14:val="tx1"/>
            </w14:solidFill>
          </w14:textFill>
        </w:rPr>
        <w:t>学生</w:t>
      </w:r>
      <w:r>
        <w:rPr>
          <w:rFonts w:hint="eastAsia" w:ascii="宋体" w:hAnsi="宋体" w:cs="宋体"/>
          <w:color w:val="000000" w:themeColor="text1"/>
          <w:sz w:val="20"/>
          <w:szCs w:val="20"/>
          <w:lang w:val="en-US" w:eastAsia="zh-CN"/>
          <w14:textFill>
            <w14:solidFill>
              <w14:schemeClr w14:val="tx1"/>
            </w14:solidFill>
          </w14:textFill>
        </w:rPr>
        <w:t>宿舍自律会成员</w:t>
      </w:r>
      <w:r>
        <w:rPr>
          <w:rFonts w:hint="eastAsia" w:ascii="宋体" w:hAnsi="宋体" w:eastAsia="宋体" w:cs="宋体"/>
          <w:color w:val="000000" w:themeColor="text1"/>
          <w:sz w:val="20"/>
          <w:szCs w:val="20"/>
          <w14:textFill>
            <w14:solidFill>
              <w14:schemeClr w14:val="tx1"/>
            </w14:solidFill>
          </w14:textFill>
        </w:rPr>
        <w:t>的选拔、培养、使用权</w:t>
      </w:r>
    </w:p>
    <w:p w14:paraId="42BFF9AA">
      <w:pPr>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02" w:firstLineChars="200"/>
        <w:jc w:val="left"/>
        <w:textAlignment w:val="auto"/>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第</w:t>
      </w:r>
      <w:r>
        <w:rPr>
          <w:rFonts w:hint="eastAsia" w:asciiTheme="minorEastAsia" w:hAnsiTheme="minorEastAsia" w:eastAsiaTheme="minorEastAsia" w:cstheme="minorEastAsia"/>
          <w:b/>
          <w:bCs/>
          <w:sz w:val="20"/>
          <w:szCs w:val="20"/>
          <w:lang w:eastAsia="zh-CN"/>
        </w:rPr>
        <w:t>七</w:t>
      </w:r>
      <w:r>
        <w:rPr>
          <w:rFonts w:hint="eastAsia" w:asciiTheme="minorEastAsia" w:hAnsiTheme="minorEastAsia" w:eastAsiaTheme="minorEastAsia" w:cstheme="minorEastAsia"/>
          <w:b/>
          <w:bCs/>
          <w:sz w:val="20"/>
          <w:szCs w:val="20"/>
        </w:rPr>
        <w:t>条  违约责任</w:t>
      </w:r>
    </w:p>
    <w:p w14:paraId="23DC8FAD">
      <w:pPr>
        <w:keepNext w:val="0"/>
        <w:keepLines w:val="0"/>
        <w:pageBreakBefore w:val="0"/>
        <w:widowControl w:val="0"/>
        <w:kinsoku/>
        <w:wordWrap/>
        <w:overflowPunct/>
        <w:topLinePunct w:val="0"/>
        <w:autoSpaceDE w:val="0"/>
        <w:autoSpaceDN w:val="0"/>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1、未按时足额拨付管理费用影响</w:t>
      </w:r>
      <w:r>
        <w:rPr>
          <w:rFonts w:hint="eastAsia" w:ascii="宋体" w:hAnsi="宋体" w:cs="宋体"/>
          <w:sz w:val="20"/>
          <w:szCs w:val="20"/>
          <w:lang w:val="en-US" w:eastAsia="zh-CN"/>
        </w:rPr>
        <w:t>驻校</w:t>
      </w:r>
      <w:r>
        <w:rPr>
          <w:rFonts w:hint="eastAsia" w:ascii="宋体" w:hAnsi="宋体" w:eastAsia="宋体" w:cs="宋体"/>
          <w:sz w:val="20"/>
          <w:szCs w:val="20"/>
          <w:lang w:val="en-US" w:eastAsia="zh-CN"/>
        </w:rPr>
        <w:t>教官</w:t>
      </w:r>
      <w:r>
        <w:rPr>
          <w:rFonts w:hint="eastAsia" w:ascii="宋体" w:hAnsi="宋体" w:eastAsia="宋体" w:cs="宋体"/>
          <w:sz w:val="20"/>
          <w:szCs w:val="20"/>
        </w:rPr>
        <w:t>正常工作开展，责任由甲方承担。</w:t>
      </w:r>
    </w:p>
    <w:p w14:paraId="6ABA28C8">
      <w:pPr>
        <w:keepNext w:val="0"/>
        <w:keepLines w:val="0"/>
        <w:pageBreakBefore w:val="0"/>
        <w:widowControl w:val="0"/>
        <w:kinsoku/>
        <w:wordWrap/>
        <w:overflowPunct/>
        <w:topLinePunct w:val="0"/>
        <w:autoSpaceDE w:val="0"/>
        <w:autoSpaceDN w:val="0"/>
        <w:bidi w:val="0"/>
        <w:adjustRightInd/>
        <w:snapToGrid/>
        <w:spacing w:line="360" w:lineRule="auto"/>
        <w:ind w:firstLine="400" w:firstLineChars="200"/>
        <w:textAlignment w:val="auto"/>
        <w:rPr>
          <w:rFonts w:hint="eastAsia" w:ascii="宋体" w:hAnsi="宋体" w:eastAsia="宋体" w:cs="宋体"/>
          <w:b/>
          <w:bCs/>
          <w:sz w:val="20"/>
          <w:szCs w:val="20"/>
          <w:lang w:eastAsia="zh-CN"/>
        </w:rPr>
      </w:pPr>
      <w:r>
        <w:rPr>
          <w:rFonts w:hint="eastAsia" w:ascii="宋体" w:hAnsi="宋体" w:eastAsia="宋体" w:cs="宋体"/>
          <w:sz w:val="20"/>
          <w:szCs w:val="20"/>
          <w:lang w:val="en-US" w:eastAsia="zh-CN"/>
        </w:rPr>
        <w:t>2</w:t>
      </w:r>
      <w:r>
        <w:rPr>
          <w:rFonts w:hint="eastAsia" w:ascii="宋体" w:hAnsi="宋体" w:eastAsia="宋体" w:cs="宋体"/>
          <w:sz w:val="20"/>
          <w:szCs w:val="20"/>
        </w:rPr>
        <w:t>、甲乙双方在合作过程中，因存在意见看法不同或任何一方不能履约，另一方需提前一个月提出解约方案</w:t>
      </w:r>
      <w:r>
        <w:rPr>
          <w:rFonts w:hint="eastAsia" w:ascii="宋体" w:hAnsi="宋体" w:eastAsia="宋体" w:cs="宋体"/>
          <w:sz w:val="20"/>
          <w:szCs w:val="20"/>
          <w:lang w:eastAsia="zh-CN"/>
        </w:rPr>
        <w:t>。</w:t>
      </w:r>
    </w:p>
    <w:p w14:paraId="487A7056">
      <w:pPr>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02" w:firstLineChars="200"/>
        <w:jc w:val="left"/>
        <w:textAlignment w:val="auto"/>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第</w:t>
      </w:r>
      <w:r>
        <w:rPr>
          <w:rFonts w:hint="eastAsia" w:asciiTheme="minorEastAsia" w:hAnsiTheme="minorEastAsia" w:eastAsiaTheme="minorEastAsia" w:cstheme="minorEastAsia"/>
          <w:b/>
          <w:bCs/>
          <w:sz w:val="20"/>
          <w:szCs w:val="20"/>
          <w:lang w:eastAsia="zh-CN"/>
        </w:rPr>
        <w:t>八</w:t>
      </w:r>
      <w:r>
        <w:rPr>
          <w:rFonts w:hint="eastAsia" w:asciiTheme="minorEastAsia" w:hAnsiTheme="minorEastAsia" w:eastAsiaTheme="minorEastAsia" w:cstheme="minorEastAsia"/>
          <w:b/>
          <w:bCs/>
          <w:sz w:val="20"/>
          <w:szCs w:val="20"/>
        </w:rPr>
        <w:t>条  争议解决</w:t>
      </w:r>
    </w:p>
    <w:p w14:paraId="70E3E788">
      <w:pPr>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00" w:firstLineChars="20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本协议履行期间，如双方发生争议，双方应本着相互尊重、相互理解、相互体谅、珍惜友谊、保障学生权益的原则，友好协商解决。如协商达不成一致，任何一方均有权向甲方或乙方住所地人民法院提起诉讼。</w:t>
      </w:r>
    </w:p>
    <w:p w14:paraId="0FD67D48">
      <w:pPr>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02" w:firstLineChars="200"/>
        <w:jc w:val="left"/>
        <w:textAlignment w:val="auto"/>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第</w:t>
      </w:r>
      <w:r>
        <w:rPr>
          <w:rFonts w:hint="eastAsia" w:asciiTheme="minorEastAsia" w:hAnsiTheme="minorEastAsia" w:eastAsiaTheme="minorEastAsia" w:cstheme="minorEastAsia"/>
          <w:b/>
          <w:bCs/>
          <w:sz w:val="20"/>
          <w:szCs w:val="20"/>
          <w:lang w:eastAsia="zh-CN"/>
        </w:rPr>
        <w:t>九</w:t>
      </w:r>
      <w:r>
        <w:rPr>
          <w:rFonts w:hint="eastAsia" w:asciiTheme="minorEastAsia" w:hAnsiTheme="minorEastAsia" w:eastAsiaTheme="minorEastAsia" w:cstheme="minorEastAsia"/>
          <w:b/>
          <w:bCs/>
          <w:sz w:val="20"/>
          <w:szCs w:val="20"/>
        </w:rPr>
        <w:t>条  协议终止</w:t>
      </w:r>
    </w:p>
    <w:p w14:paraId="42F91A15">
      <w:pPr>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00" w:firstLineChars="200"/>
        <w:jc w:val="left"/>
        <w:textAlignment w:val="auto"/>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val="en-US" w:eastAsia="zh-CN"/>
        </w:rPr>
        <w:t xml:space="preserve">本项目服务期满终止。乙方服务经甲方考核合格，经甲乙双方协商一致，本合同可以续签壹年或者贰年。 </w:t>
      </w:r>
    </w:p>
    <w:p w14:paraId="1263CB7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200"/>
        <w:jc w:val="left"/>
        <w:textAlignment w:val="auto"/>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 xml:space="preserve"> 未尽事宜</w:t>
      </w:r>
    </w:p>
    <w:p w14:paraId="5F7A4F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未尽事宜</w:t>
      </w:r>
      <w:r>
        <w:rPr>
          <w:rFonts w:hint="eastAsia" w:asciiTheme="minorEastAsia" w:hAnsiTheme="minorEastAsia" w:eastAsiaTheme="minorEastAsia" w:cstheme="minorEastAsia"/>
          <w:sz w:val="20"/>
          <w:szCs w:val="20"/>
        </w:rPr>
        <w:t>双方可另行签定补充合同。本合同一式</w:t>
      </w:r>
      <w:r>
        <w:rPr>
          <w:rFonts w:hint="eastAsia" w:asciiTheme="minorEastAsia" w:hAnsiTheme="minorEastAsia" w:eastAsiaTheme="minorEastAsia" w:cstheme="minorEastAsia"/>
          <w:sz w:val="20"/>
          <w:szCs w:val="20"/>
          <w:lang w:val="en-US" w:eastAsia="zh-CN"/>
        </w:rPr>
        <w:t>陆</w:t>
      </w:r>
      <w:r>
        <w:rPr>
          <w:rFonts w:hint="eastAsia" w:asciiTheme="minorEastAsia" w:hAnsiTheme="minorEastAsia" w:eastAsiaTheme="minorEastAsia" w:cstheme="minorEastAsia"/>
          <w:sz w:val="20"/>
          <w:szCs w:val="20"/>
        </w:rPr>
        <w:t>份，双方各执</w:t>
      </w:r>
      <w:r>
        <w:rPr>
          <w:rFonts w:hint="eastAsia" w:asciiTheme="minorEastAsia" w:hAnsiTheme="minorEastAsia" w:eastAsiaTheme="minorEastAsia" w:cstheme="minorEastAsia"/>
          <w:sz w:val="20"/>
          <w:szCs w:val="20"/>
          <w:lang w:val="en-US" w:eastAsia="zh-CN"/>
        </w:rPr>
        <w:t>叁</w:t>
      </w:r>
      <w:r>
        <w:rPr>
          <w:rFonts w:hint="eastAsia" w:asciiTheme="minorEastAsia" w:hAnsiTheme="minorEastAsia" w:eastAsiaTheme="minorEastAsia" w:cstheme="minorEastAsia"/>
          <w:sz w:val="20"/>
          <w:szCs w:val="20"/>
        </w:rPr>
        <w:t>份。</w:t>
      </w:r>
    </w:p>
    <w:p w14:paraId="499F0FF4">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both"/>
        <w:textAlignment w:val="auto"/>
        <w:rPr>
          <w:rFonts w:hint="eastAsia" w:asciiTheme="minorEastAsia" w:hAnsiTheme="minorEastAsia" w:eastAsiaTheme="minorEastAsia" w:cstheme="minorEastAsia"/>
          <w:sz w:val="20"/>
          <w:szCs w:val="20"/>
        </w:rPr>
      </w:pPr>
    </w:p>
    <w:p w14:paraId="61792A07">
      <w:pPr>
        <w:keepNext w:val="0"/>
        <w:keepLines w:val="0"/>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Theme="minorEastAsia" w:hAnsiTheme="minorEastAsia" w:eastAsiaTheme="minorEastAsia" w:cstheme="minorEastAsia"/>
          <w:sz w:val="20"/>
          <w:szCs w:val="20"/>
        </w:rPr>
      </w:pPr>
    </w:p>
    <w:p w14:paraId="19EAA470">
      <w:pPr>
        <w:keepNext w:val="0"/>
        <w:keepLines w:val="0"/>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Theme="minorEastAsia" w:hAnsiTheme="minorEastAsia" w:eastAsiaTheme="minorEastAsia" w:cstheme="minorEastAsia"/>
          <w:sz w:val="20"/>
          <w:szCs w:val="20"/>
        </w:rPr>
      </w:pPr>
    </w:p>
    <w:p w14:paraId="497B8A6E">
      <w:pPr>
        <w:keepNext w:val="0"/>
        <w:keepLines w:val="0"/>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rPr>
        <w:t>甲方：</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 xml:space="preserve">      乙方：</w:t>
      </w:r>
      <w:r>
        <w:rPr>
          <w:rFonts w:hint="eastAsia" w:asciiTheme="minorEastAsia" w:hAnsiTheme="minorEastAsia" w:eastAsiaTheme="minorEastAsia" w:cstheme="minorEastAsia"/>
          <w:sz w:val="20"/>
          <w:szCs w:val="20"/>
          <w:lang w:val="en-US" w:eastAsia="zh-CN"/>
        </w:rPr>
        <w:t xml:space="preserve"> </w:t>
      </w:r>
    </w:p>
    <w:p w14:paraId="6E9B7A96">
      <w:pPr>
        <w:keepNext w:val="0"/>
        <w:keepLines w:val="0"/>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Theme="minorEastAsia" w:hAnsiTheme="minorEastAsia" w:eastAsiaTheme="minorEastAsia" w:cstheme="minorEastAsia"/>
          <w:sz w:val="20"/>
          <w:szCs w:val="20"/>
        </w:rPr>
      </w:pPr>
    </w:p>
    <w:p w14:paraId="2E2E7B46">
      <w:pPr>
        <w:keepNext w:val="0"/>
        <w:keepLines w:val="0"/>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代表：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代表：</w:t>
      </w:r>
    </w:p>
    <w:p w14:paraId="096B6AA3">
      <w:pPr>
        <w:keepNext w:val="0"/>
        <w:keepLines w:val="0"/>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Theme="minorEastAsia" w:hAnsiTheme="minorEastAsia" w:eastAsiaTheme="minorEastAsia" w:cstheme="minorEastAsia"/>
          <w:spacing w:val="25"/>
          <w:sz w:val="20"/>
          <w:szCs w:val="20"/>
        </w:rPr>
      </w:pPr>
    </w:p>
    <w:p w14:paraId="407F0981">
      <w:pPr>
        <w:keepNext w:val="0"/>
        <w:keepLines w:val="0"/>
        <w:pageBreakBefore w:val="0"/>
        <w:widowControl w:val="0"/>
        <w:kinsoku/>
        <w:wordWrap/>
        <w:overflowPunct/>
        <w:topLinePunct w:val="0"/>
        <w:autoSpaceDE/>
        <w:autoSpaceDN/>
        <w:bidi w:val="0"/>
        <w:adjustRightInd/>
        <w:snapToGrid/>
        <w:spacing w:before="0" w:after="0" w:line="360" w:lineRule="auto"/>
        <w:jc w:val="left"/>
        <w:textAlignment w:val="auto"/>
        <w:rPr>
          <w:sz w:val="20"/>
          <w:szCs w:val="20"/>
        </w:rPr>
      </w:pPr>
      <w:r>
        <w:rPr>
          <w:rFonts w:hint="eastAsia" w:asciiTheme="minorEastAsia" w:hAnsiTheme="minorEastAsia" w:eastAsiaTheme="minorEastAsia" w:cstheme="minorEastAsia"/>
          <w:spacing w:val="25"/>
          <w:sz w:val="20"/>
          <w:szCs w:val="20"/>
        </w:rPr>
        <w:t xml:space="preserve">日期：  </w:t>
      </w:r>
      <w:r>
        <w:rPr>
          <w:rFonts w:hint="eastAsia" w:asciiTheme="minorEastAsia" w:hAnsiTheme="minorEastAsia" w:eastAsiaTheme="minorEastAsia" w:cstheme="minorEastAsia"/>
          <w:spacing w:val="25"/>
          <w:sz w:val="20"/>
          <w:szCs w:val="20"/>
          <w:lang w:val="en-US" w:eastAsia="zh-CN"/>
        </w:rPr>
        <w:t xml:space="preserve"> </w:t>
      </w:r>
      <w:r>
        <w:rPr>
          <w:rFonts w:hint="eastAsia" w:asciiTheme="minorEastAsia" w:hAnsiTheme="minorEastAsia" w:eastAsiaTheme="minorEastAsia" w:cstheme="minorEastAsia"/>
          <w:spacing w:val="25"/>
          <w:sz w:val="20"/>
          <w:szCs w:val="20"/>
        </w:rPr>
        <w:t xml:space="preserve"> 年   月   日 </w:t>
      </w:r>
      <w:r>
        <w:rPr>
          <w:rFonts w:hint="eastAsia" w:asciiTheme="minorEastAsia" w:hAnsiTheme="minorEastAsia" w:eastAsiaTheme="minorEastAsia" w:cstheme="minorEastAsia"/>
          <w:spacing w:val="25"/>
          <w:sz w:val="20"/>
          <w:szCs w:val="20"/>
          <w:lang w:val="en-US" w:eastAsia="zh-CN"/>
        </w:rPr>
        <w:t xml:space="preserve">      </w:t>
      </w:r>
      <w:r>
        <w:rPr>
          <w:rFonts w:hint="eastAsia" w:asciiTheme="minorEastAsia" w:hAnsiTheme="minorEastAsia" w:eastAsiaTheme="minorEastAsia" w:cstheme="minorEastAsia"/>
          <w:spacing w:val="25"/>
          <w:sz w:val="20"/>
          <w:szCs w:val="20"/>
        </w:rPr>
        <w:t xml:space="preserve"> 日期：</w:t>
      </w:r>
      <w:r>
        <w:rPr>
          <w:rFonts w:hint="eastAsia" w:asciiTheme="minorEastAsia" w:hAnsiTheme="minorEastAsia" w:eastAsiaTheme="minorEastAsia" w:cstheme="minorEastAsia"/>
          <w:spacing w:val="25"/>
          <w:sz w:val="20"/>
          <w:szCs w:val="20"/>
          <w:lang w:val="en-US" w:eastAsia="zh-CN"/>
        </w:rPr>
        <w:t xml:space="preserve">    </w:t>
      </w:r>
      <w:r>
        <w:rPr>
          <w:rFonts w:hint="eastAsia" w:asciiTheme="minorEastAsia" w:hAnsiTheme="minorEastAsia" w:eastAsiaTheme="minorEastAsia" w:cstheme="minorEastAsia"/>
          <w:spacing w:val="25"/>
          <w:sz w:val="20"/>
          <w:szCs w:val="20"/>
        </w:rPr>
        <w:t>年   月   日</w:t>
      </w:r>
    </w:p>
    <w:p w14:paraId="61B17303">
      <w:pPr>
        <w:keepNext w:val="0"/>
        <w:keepLines w:val="0"/>
        <w:pageBreakBefore w:val="0"/>
        <w:kinsoku/>
        <w:wordWrap/>
        <w:overflowPunct/>
        <w:topLinePunct w:val="0"/>
        <w:bidi w:val="0"/>
        <w:spacing w:before="65" w:line="228" w:lineRule="auto"/>
        <w:ind w:left="144"/>
        <w:rPr>
          <w:rFonts w:ascii="宋体" w:hAnsi="宋体" w:eastAsia="宋体" w:cs="宋体"/>
          <w:sz w:val="20"/>
          <w:szCs w:val="20"/>
        </w:rPr>
      </w:pPr>
    </w:p>
    <w:p w14:paraId="17F5A4B0">
      <w:pPr>
        <w:keepNext w:val="0"/>
        <w:keepLines w:val="0"/>
        <w:pageBreakBefore w:val="0"/>
        <w:kinsoku/>
        <w:wordWrap/>
        <w:overflowPunct/>
        <w:topLinePunct w:val="0"/>
        <w:bidi w:val="0"/>
        <w:spacing w:before="201" w:line="224" w:lineRule="auto"/>
        <w:ind w:left="3368"/>
        <w:outlineLvl w:val="0"/>
        <w:rPr>
          <w:rFonts w:ascii="宋体" w:hAnsi="宋体" w:eastAsia="宋体" w:cs="宋体"/>
          <w:sz w:val="31"/>
          <w:szCs w:val="31"/>
        </w:rPr>
      </w:pPr>
      <w:bookmarkStart w:id="33" w:name="_Toc26310"/>
      <w:r>
        <w:rPr>
          <w:rFonts w:ascii="宋体" w:hAnsi="宋体" w:eastAsia="宋体" w:cs="宋体"/>
          <w:b/>
          <w:bCs/>
          <w:spacing w:val="7"/>
          <w:sz w:val="31"/>
          <w:szCs w:val="31"/>
        </w:rPr>
        <w:br w:type="page"/>
      </w:r>
      <w:r>
        <w:rPr>
          <w:rFonts w:ascii="宋体" w:hAnsi="宋体" w:eastAsia="宋体" w:cs="宋体"/>
          <w:b/>
          <w:bCs/>
          <w:spacing w:val="7"/>
          <w:sz w:val="31"/>
          <w:szCs w:val="31"/>
        </w:rPr>
        <w:t>第五章</w:t>
      </w:r>
      <w:r>
        <w:rPr>
          <w:rFonts w:ascii="宋体" w:hAnsi="宋体" w:eastAsia="宋体" w:cs="宋体"/>
          <w:spacing w:val="7"/>
          <w:sz w:val="31"/>
          <w:szCs w:val="31"/>
        </w:rPr>
        <w:t xml:space="preserve"> </w:t>
      </w:r>
      <w:r>
        <w:rPr>
          <w:rFonts w:ascii="宋体" w:hAnsi="宋体" w:eastAsia="宋体" w:cs="宋体"/>
          <w:b/>
          <w:bCs/>
          <w:spacing w:val="7"/>
          <w:sz w:val="31"/>
          <w:szCs w:val="31"/>
        </w:rPr>
        <w:t>采购需求</w:t>
      </w:r>
      <w:bookmarkEnd w:id="33"/>
    </w:p>
    <w:p w14:paraId="2463B51C">
      <w:pPr>
        <w:keepNext w:val="0"/>
        <w:keepLines w:val="0"/>
        <w:pageBreakBefore w:val="0"/>
        <w:widowControl/>
        <w:kinsoku/>
        <w:wordWrap/>
        <w:overflowPunct/>
        <w:topLinePunct w:val="0"/>
        <w:autoSpaceDE w:val="0"/>
        <w:autoSpaceDN w:val="0"/>
        <w:bidi w:val="0"/>
        <w:adjustRightInd w:val="0"/>
        <w:snapToGrid w:val="0"/>
        <w:spacing w:before="130" w:line="480" w:lineRule="auto"/>
        <w:ind w:left="429"/>
        <w:textAlignment w:val="baseline"/>
        <w:rPr>
          <w:rFonts w:ascii="宋体" w:hAnsi="宋体" w:eastAsia="宋体" w:cs="宋体"/>
          <w:sz w:val="20"/>
          <w:szCs w:val="20"/>
        </w:rPr>
      </w:pPr>
      <w:r>
        <w:rPr>
          <w:rFonts w:ascii="宋体" w:hAnsi="宋体" w:eastAsia="宋体" w:cs="宋体"/>
          <w:spacing w:val="10"/>
          <w:sz w:val="20"/>
          <w:szCs w:val="20"/>
        </w:rPr>
        <w:t>一、项目概况</w:t>
      </w:r>
    </w:p>
    <w:p w14:paraId="1DCF151A">
      <w:pPr>
        <w:keepNext w:val="0"/>
        <w:keepLines w:val="0"/>
        <w:pageBreakBefore w:val="0"/>
        <w:widowControl/>
        <w:kinsoku/>
        <w:wordWrap/>
        <w:overflowPunct/>
        <w:topLinePunct w:val="0"/>
        <w:autoSpaceDE w:val="0"/>
        <w:autoSpaceDN w:val="0"/>
        <w:bidi w:val="0"/>
        <w:adjustRightInd w:val="0"/>
        <w:snapToGrid w:val="0"/>
        <w:spacing w:line="480" w:lineRule="auto"/>
        <w:ind w:left="436"/>
        <w:textAlignment w:val="baseline"/>
        <w:rPr>
          <w:rFonts w:hint="eastAsia" w:ascii="宋体" w:hAnsi="宋体" w:eastAsia="宋体" w:cs="宋体"/>
          <w:sz w:val="20"/>
          <w:szCs w:val="20"/>
          <w:lang w:eastAsia="zh-CN"/>
        </w:rPr>
      </w:pPr>
      <w:r>
        <w:rPr>
          <w:rFonts w:ascii="宋体" w:hAnsi="宋体" w:eastAsia="宋体" w:cs="宋体"/>
          <w:spacing w:val="10"/>
          <w:sz w:val="20"/>
          <w:szCs w:val="20"/>
        </w:rPr>
        <w:t>（一）项目名称</w:t>
      </w:r>
      <w:r>
        <w:rPr>
          <w:rFonts w:ascii="宋体" w:hAnsi="宋体" w:eastAsia="宋体" w:cs="宋体"/>
          <w:spacing w:val="-40"/>
          <w:sz w:val="20"/>
          <w:szCs w:val="20"/>
        </w:rPr>
        <w:t xml:space="preserve"> </w:t>
      </w:r>
      <w:r>
        <w:rPr>
          <w:rFonts w:ascii="宋体" w:hAnsi="宋体" w:eastAsia="宋体" w:cs="宋体"/>
          <w:spacing w:val="10"/>
          <w:sz w:val="20"/>
          <w:szCs w:val="20"/>
        </w:rPr>
        <w:t>:</w:t>
      </w:r>
      <w:r>
        <w:rPr>
          <w:rFonts w:hint="eastAsia" w:ascii="宋体" w:hAnsi="宋体" w:eastAsia="宋体" w:cs="宋体"/>
          <w:spacing w:val="10"/>
          <w:sz w:val="20"/>
          <w:szCs w:val="20"/>
          <w:lang w:eastAsia="zh-CN"/>
        </w:rPr>
        <w:t>河南省商务中等职业学校学生综合素养提升项目</w:t>
      </w:r>
    </w:p>
    <w:p w14:paraId="4216065B">
      <w:pPr>
        <w:keepNext w:val="0"/>
        <w:keepLines w:val="0"/>
        <w:pageBreakBefore w:val="0"/>
        <w:widowControl/>
        <w:kinsoku/>
        <w:wordWrap/>
        <w:overflowPunct/>
        <w:topLinePunct w:val="0"/>
        <w:autoSpaceDE w:val="0"/>
        <w:autoSpaceDN w:val="0"/>
        <w:bidi w:val="0"/>
        <w:adjustRightInd w:val="0"/>
        <w:snapToGrid w:val="0"/>
        <w:spacing w:line="480" w:lineRule="auto"/>
        <w:ind w:left="1" w:right="205" w:firstLine="434"/>
        <w:textAlignment w:val="baseline"/>
        <w:rPr>
          <w:rFonts w:ascii="宋体" w:hAnsi="宋体" w:eastAsia="宋体" w:cs="宋体"/>
          <w:sz w:val="20"/>
          <w:szCs w:val="20"/>
        </w:rPr>
      </w:pPr>
      <w:r>
        <w:rPr>
          <w:rFonts w:ascii="宋体" w:hAnsi="宋体" w:eastAsia="宋体" w:cs="宋体"/>
          <w:spacing w:val="11"/>
          <w:sz w:val="20"/>
          <w:szCs w:val="20"/>
        </w:rPr>
        <w:t>（二）实施依据</w:t>
      </w:r>
      <w:r>
        <w:rPr>
          <w:rFonts w:ascii="宋体" w:hAnsi="宋体" w:eastAsia="宋体" w:cs="宋体"/>
          <w:spacing w:val="-56"/>
          <w:sz w:val="20"/>
          <w:szCs w:val="20"/>
        </w:rPr>
        <w:t xml:space="preserve"> </w:t>
      </w:r>
      <w:r>
        <w:rPr>
          <w:rFonts w:ascii="宋体" w:hAnsi="宋体" w:eastAsia="宋体" w:cs="宋体"/>
          <w:spacing w:val="11"/>
          <w:sz w:val="20"/>
          <w:szCs w:val="20"/>
        </w:rPr>
        <w:t>:</w:t>
      </w:r>
      <w:r>
        <w:rPr>
          <w:rFonts w:hint="eastAsia" w:ascii="宋体" w:hAnsi="宋体" w:eastAsia="宋体" w:cs="宋体"/>
          <w:spacing w:val="11"/>
          <w:sz w:val="20"/>
          <w:szCs w:val="20"/>
        </w:rPr>
        <w:t>教育部办公厅教职成厅函〔2022〕23号《教育部办公厅关于开展加强中等职业学校校风学风建设专项行动的通知》，教办职成〔2022〕391号《河南省教育厅办公室关于开展加强中等职业学校校风学风建设专项行动的通知》，豫教工委〔2024〕122号《中共河南省委教育工作委员会 河南省教育厅 关于加强和改进中等职业学校思想政治教育和德育工作的意见》，深化“三全育人”改革，完善班主任+全员导师班级管理方式、班主任+驻校教官宿舍管理模式。</w:t>
      </w:r>
    </w:p>
    <w:p w14:paraId="621D1181">
      <w:pPr>
        <w:keepNext w:val="0"/>
        <w:keepLines w:val="0"/>
        <w:pageBreakBefore w:val="0"/>
        <w:widowControl/>
        <w:kinsoku/>
        <w:wordWrap/>
        <w:overflowPunct/>
        <w:topLinePunct w:val="0"/>
        <w:autoSpaceDE w:val="0"/>
        <w:autoSpaceDN w:val="0"/>
        <w:bidi w:val="0"/>
        <w:adjustRightInd w:val="0"/>
        <w:snapToGrid w:val="0"/>
        <w:spacing w:line="480" w:lineRule="auto"/>
        <w:ind w:left="436"/>
        <w:textAlignment w:val="baseline"/>
        <w:rPr>
          <w:rFonts w:ascii="宋体" w:hAnsi="宋体" w:eastAsia="宋体" w:cs="宋体"/>
          <w:sz w:val="20"/>
          <w:szCs w:val="20"/>
        </w:rPr>
      </w:pPr>
      <w:r>
        <w:rPr>
          <w:rFonts w:ascii="宋体" w:hAnsi="宋体" w:eastAsia="宋体" w:cs="宋体"/>
          <w:spacing w:val="10"/>
          <w:sz w:val="20"/>
          <w:szCs w:val="20"/>
        </w:rPr>
        <w:t>（三）服务对象</w:t>
      </w:r>
      <w:r>
        <w:rPr>
          <w:rFonts w:ascii="宋体" w:hAnsi="宋体" w:eastAsia="宋体" w:cs="宋体"/>
          <w:spacing w:val="-57"/>
          <w:sz w:val="20"/>
          <w:szCs w:val="20"/>
        </w:rPr>
        <w:t xml:space="preserve"> </w:t>
      </w:r>
      <w:r>
        <w:rPr>
          <w:rFonts w:ascii="宋体" w:hAnsi="宋体" w:eastAsia="宋体" w:cs="宋体"/>
          <w:spacing w:val="10"/>
          <w:sz w:val="20"/>
          <w:szCs w:val="20"/>
        </w:rPr>
        <w:t>:</w:t>
      </w:r>
      <w:r>
        <w:rPr>
          <w:rFonts w:hint="eastAsia" w:ascii="宋体" w:hAnsi="宋体" w:eastAsia="宋体" w:cs="宋体"/>
          <w:spacing w:val="10"/>
          <w:sz w:val="20"/>
          <w:szCs w:val="20"/>
        </w:rPr>
        <w:t>河南省商务中等职业学校全体学生</w:t>
      </w:r>
    </w:p>
    <w:p w14:paraId="1FDD7F7B">
      <w:pPr>
        <w:keepNext w:val="0"/>
        <w:keepLines w:val="0"/>
        <w:pageBreakBefore w:val="0"/>
        <w:widowControl/>
        <w:kinsoku/>
        <w:wordWrap/>
        <w:overflowPunct/>
        <w:topLinePunct w:val="0"/>
        <w:autoSpaceDE w:val="0"/>
        <w:autoSpaceDN w:val="0"/>
        <w:bidi w:val="0"/>
        <w:adjustRightInd w:val="0"/>
        <w:snapToGrid w:val="0"/>
        <w:spacing w:line="480" w:lineRule="auto"/>
        <w:ind w:left="1" w:right="205" w:firstLine="434"/>
        <w:textAlignment w:val="baseline"/>
        <w:rPr>
          <w:rFonts w:hint="eastAsia" w:ascii="宋体" w:hAnsi="宋体" w:eastAsia="宋体" w:cs="宋体"/>
          <w:spacing w:val="11"/>
          <w:sz w:val="20"/>
          <w:szCs w:val="20"/>
        </w:rPr>
      </w:pPr>
      <w:r>
        <w:rPr>
          <w:rFonts w:hint="eastAsia" w:ascii="宋体" w:hAnsi="宋体" w:eastAsia="宋体" w:cs="宋体"/>
          <w:spacing w:val="11"/>
          <w:sz w:val="20"/>
          <w:szCs w:val="20"/>
        </w:rPr>
        <w:t xml:space="preserve">（四）服务区域 :以物理空间和时间为界限与班主任进行明确分工:教室实训室门外的、班主任不在校期间所有的学生管理工作由驻校教官负责，双方另行约定的除外。 </w:t>
      </w:r>
    </w:p>
    <w:p w14:paraId="05BB6EE6">
      <w:pPr>
        <w:keepNext w:val="0"/>
        <w:keepLines w:val="0"/>
        <w:pageBreakBefore w:val="0"/>
        <w:widowControl/>
        <w:kinsoku/>
        <w:wordWrap/>
        <w:overflowPunct/>
        <w:topLinePunct w:val="0"/>
        <w:autoSpaceDE w:val="0"/>
        <w:autoSpaceDN w:val="0"/>
        <w:bidi w:val="0"/>
        <w:adjustRightInd w:val="0"/>
        <w:snapToGrid w:val="0"/>
        <w:spacing w:line="480" w:lineRule="auto"/>
        <w:ind w:left="1" w:right="205" w:firstLine="434"/>
        <w:textAlignment w:val="baseline"/>
        <w:rPr>
          <w:rFonts w:hint="eastAsia" w:ascii="宋体" w:hAnsi="宋体" w:eastAsia="宋体" w:cs="宋体"/>
          <w:spacing w:val="11"/>
          <w:sz w:val="20"/>
          <w:szCs w:val="20"/>
        </w:rPr>
      </w:pPr>
      <w:r>
        <w:rPr>
          <w:rFonts w:hint="eastAsia" w:ascii="宋体" w:hAnsi="宋体" w:eastAsia="宋体" w:cs="宋体"/>
          <w:spacing w:val="11"/>
          <w:sz w:val="20"/>
          <w:szCs w:val="20"/>
        </w:rPr>
        <w:t>宿舍管理完全由驻校教官负责，驻校教官负责宿舍夜间值班工作。</w:t>
      </w:r>
    </w:p>
    <w:p w14:paraId="5102D092">
      <w:pPr>
        <w:keepNext w:val="0"/>
        <w:keepLines w:val="0"/>
        <w:pageBreakBefore w:val="0"/>
        <w:widowControl/>
        <w:kinsoku/>
        <w:wordWrap/>
        <w:overflowPunct/>
        <w:topLinePunct w:val="0"/>
        <w:autoSpaceDE w:val="0"/>
        <w:autoSpaceDN w:val="0"/>
        <w:bidi w:val="0"/>
        <w:adjustRightInd w:val="0"/>
        <w:snapToGrid w:val="0"/>
        <w:spacing w:line="480" w:lineRule="auto"/>
        <w:ind w:right="205" w:firstLine="436"/>
        <w:textAlignment w:val="baseline"/>
        <w:rPr>
          <w:rFonts w:ascii="宋体" w:hAnsi="宋体" w:eastAsia="宋体" w:cs="宋体"/>
          <w:sz w:val="20"/>
          <w:szCs w:val="20"/>
        </w:rPr>
      </w:pPr>
      <w:r>
        <w:rPr>
          <w:rFonts w:ascii="宋体" w:hAnsi="宋体" w:eastAsia="宋体" w:cs="宋体"/>
          <w:spacing w:val="10"/>
          <w:sz w:val="20"/>
          <w:szCs w:val="20"/>
        </w:rPr>
        <w:t>（五）</w:t>
      </w:r>
      <w:r>
        <w:rPr>
          <w:rFonts w:ascii="宋体" w:hAnsi="宋体" w:eastAsia="宋体" w:cs="宋体"/>
          <w:spacing w:val="-52"/>
          <w:sz w:val="20"/>
          <w:szCs w:val="20"/>
        </w:rPr>
        <w:t xml:space="preserve"> </w:t>
      </w:r>
      <w:r>
        <w:rPr>
          <w:rFonts w:ascii="宋体" w:hAnsi="宋体" w:eastAsia="宋体" w:cs="宋体"/>
          <w:spacing w:val="10"/>
          <w:sz w:val="20"/>
          <w:szCs w:val="20"/>
        </w:rPr>
        <w:t>岗位职责</w:t>
      </w:r>
      <w:r>
        <w:rPr>
          <w:rFonts w:ascii="宋体" w:hAnsi="宋体" w:eastAsia="宋体" w:cs="宋体"/>
          <w:spacing w:val="-59"/>
          <w:sz w:val="20"/>
          <w:szCs w:val="20"/>
        </w:rPr>
        <w:t xml:space="preserve"> </w:t>
      </w:r>
      <w:r>
        <w:rPr>
          <w:rFonts w:ascii="宋体" w:hAnsi="宋体" w:eastAsia="宋体" w:cs="宋体"/>
          <w:spacing w:val="10"/>
          <w:sz w:val="20"/>
          <w:szCs w:val="20"/>
        </w:rPr>
        <w:t>:</w:t>
      </w:r>
      <w:r>
        <w:rPr>
          <w:rFonts w:hint="eastAsia" w:ascii="宋体" w:hAnsi="宋体" w:eastAsia="宋体" w:cs="宋体"/>
          <w:spacing w:val="10"/>
          <w:sz w:val="20"/>
          <w:szCs w:val="20"/>
        </w:rPr>
        <w:t>学生在校期间的安全与秩序维护、学生综合素养提升（安全、服务与育人三项职能）</w:t>
      </w:r>
    </w:p>
    <w:p w14:paraId="580D2A32">
      <w:pPr>
        <w:keepNext w:val="0"/>
        <w:keepLines w:val="0"/>
        <w:pageBreakBefore w:val="0"/>
        <w:kinsoku/>
        <w:wordWrap/>
        <w:overflowPunct/>
        <w:topLinePunct w:val="0"/>
        <w:bidi w:val="0"/>
        <w:spacing w:line="439" w:lineRule="auto"/>
        <w:ind w:right="134" w:firstLine="448" w:firstLineChars="200"/>
        <w:rPr>
          <w:rFonts w:hint="eastAsia" w:ascii="宋体" w:hAnsi="宋体" w:eastAsia="宋体" w:cs="宋体"/>
          <w:color w:val="000000" w:themeColor="text1"/>
          <w:sz w:val="20"/>
          <w:szCs w:val="20"/>
          <w:highlight w:val="none"/>
          <w:lang w:eastAsia="zh-CN"/>
          <w14:textFill>
            <w14:solidFill>
              <w14:schemeClr w14:val="tx1"/>
            </w14:solidFill>
          </w14:textFill>
        </w:rPr>
      </w:pPr>
      <w:r>
        <w:rPr>
          <w:rFonts w:ascii="宋体" w:hAnsi="宋体" w:eastAsia="宋体" w:cs="宋体"/>
          <w:spacing w:val="12"/>
          <w:sz w:val="20"/>
          <w:szCs w:val="20"/>
          <w:highlight w:val="none"/>
        </w:rPr>
        <w:t>（六）服务期限</w:t>
      </w:r>
      <w:r>
        <w:rPr>
          <w:rFonts w:ascii="宋体" w:hAnsi="宋体" w:eastAsia="宋体" w:cs="宋体"/>
          <w:color w:val="000000" w:themeColor="text1"/>
          <w:spacing w:val="12"/>
          <w:sz w:val="20"/>
          <w:szCs w:val="20"/>
          <w:highlight w:val="none"/>
          <w14:textFill>
            <w14:solidFill>
              <w14:schemeClr w14:val="tx1"/>
            </w14:solidFill>
          </w14:textFill>
        </w:rPr>
        <w:t>：</w:t>
      </w:r>
      <w:r>
        <w:rPr>
          <w:rFonts w:hint="eastAsia" w:ascii="宋体" w:hAnsi="宋体" w:eastAsia="宋体" w:cs="宋体"/>
          <w:color w:val="000000" w:themeColor="text1"/>
          <w:spacing w:val="7"/>
          <w:sz w:val="20"/>
          <w:szCs w:val="20"/>
          <w:highlight w:val="none"/>
          <w:lang w:val="en-US" w:eastAsia="zh-CN"/>
          <w14:textFill>
            <w14:solidFill>
              <w14:schemeClr w14:val="tx1"/>
            </w14:solidFill>
          </w14:textFill>
        </w:rPr>
        <w:t>三年（第一年为10个月，第二年、第三年每年为12个月，</w:t>
      </w:r>
      <w:r>
        <w:rPr>
          <w:rFonts w:hint="eastAsia" w:ascii="宋体" w:hAnsi="宋体" w:eastAsia="宋体" w:cs="宋体"/>
          <w:spacing w:val="7"/>
          <w:sz w:val="20"/>
          <w:szCs w:val="20"/>
          <w:highlight w:val="none"/>
          <w:lang w:val="en-GB" w:eastAsia="zh-CN"/>
        </w:rPr>
        <w:t>合同一年一签，中标单位每年服务经采购人考核认可，采购人根据考核情况</w:t>
      </w:r>
      <w:r>
        <w:rPr>
          <w:rFonts w:hint="eastAsia" w:ascii="宋体" w:hAnsi="宋体" w:eastAsia="宋体" w:cs="宋体"/>
          <w:spacing w:val="7"/>
          <w:sz w:val="20"/>
          <w:szCs w:val="20"/>
          <w:highlight w:val="none"/>
          <w:lang w:eastAsia="zh-CN"/>
        </w:rPr>
        <w:t>及服务期内综合表现</w:t>
      </w:r>
      <w:r>
        <w:rPr>
          <w:rFonts w:hint="eastAsia" w:ascii="宋体" w:hAnsi="宋体" w:eastAsia="宋体" w:cs="宋体"/>
          <w:spacing w:val="7"/>
          <w:sz w:val="20"/>
          <w:szCs w:val="20"/>
          <w:highlight w:val="none"/>
          <w:lang w:val="en-GB" w:eastAsia="zh-CN"/>
        </w:rPr>
        <w:t>决定是否续签</w:t>
      </w:r>
      <w:r>
        <w:rPr>
          <w:rFonts w:hint="eastAsia" w:ascii="宋体" w:hAnsi="宋体" w:eastAsia="宋体" w:cs="宋体"/>
          <w:color w:val="000000" w:themeColor="text1"/>
          <w:spacing w:val="7"/>
          <w:sz w:val="20"/>
          <w:szCs w:val="20"/>
          <w:highlight w:val="none"/>
          <w:lang w:val="en-US" w:eastAsia="zh-CN"/>
          <w14:textFill>
            <w14:solidFill>
              <w14:schemeClr w14:val="tx1"/>
            </w14:solidFill>
          </w14:textFill>
        </w:rPr>
        <w:t>）。</w:t>
      </w:r>
    </w:p>
    <w:p w14:paraId="53A0E3A5">
      <w:pPr>
        <w:keepNext w:val="0"/>
        <w:keepLines w:val="0"/>
        <w:pageBreakBefore w:val="0"/>
        <w:widowControl/>
        <w:kinsoku/>
        <w:wordWrap/>
        <w:overflowPunct/>
        <w:topLinePunct w:val="0"/>
        <w:autoSpaceDE w:val="0"/>
        <w:autoSpaceDN w:val="0"/>
        <w:bidi w:val="0"/>
        <w:adjustRightInd w:val="0"/>
        <w:snapToGrid w:val="0"/>
        <w:spacing w:line="480" w:lineRule="auto"/>
        <w:ind w:left="3" w:firstLine="433"/>
        <w:textAlignment w:val="baseline"/>
        <w:rPr>
          <w:rFonts w:ascii="宋体" w:hAnsi="宋体" w:eastAsia="宋体" w:cs="宋体"/>
          <w:sz w:val="20"/>
          <w:szCs w:val="20"/>
        </w:rPr>
      </w:pPr>
      <w:r>
        <w:rPr>
          <w:rFonts w:ascii="宋体" w:hAnsi="宋体" w:eastAsia="宋体" w:cs="宋体"/>
          <w:spacing w:val="13"/>
          <w:sz w:val="20"/>
          <w:szCs w:val="20"/>
        </w:rPr>
        <w:t>（</w:t>
      </w:r>
      <w:r>
        <w:rPr>
          <w:rFonts w:hint="eastAsia" w:ascii="宋体" w:hAnsi="宋体" w:eastAsia="宋体" w:cs="宋体"/>
          <w:spacing w:val="13"/>
          <w:sz w:val="20"/>
          <w:szCs w:val="20"/>
          <w:lang w:eastAsia="zh-CN"/>
        </w:rPr>
        <w:t>七</w:t>
      </w:r>
      <w:r>
        <w:rPr>
          <w:rFonts w:ascii="宋体" w:hAnsi="宋体" w:eastAsia="宋体" w:cs="宋体"/>
          <w:spacing w:val="13"/>
          <w:sz w:val="20"/>
          <w:szCs w:val="20"/>
        </w:rPr>
        <w:t>）</w:t>
      </w:r>
      <w:r>
        <w:rPr>
          <w:rFonts w:hint="eastAsia" w:ascii="宋体" w:hAnsi="宋体" w:eastAsia="宋体" w:cs="宋体"/>
          <w:spacing w:val="13"/>
          <w:sz w:val="20"/>
          <w:szCs w:val="20"/>
          <w:lang w:eastAsia="zh-CN"/>
        </w:rPr>
        <w:t>服务</w:t>
      </w:r>
      <w:r>
        <w:rPr>
          <w:rFonts w:ascii="宋体" w:hAnsi="宋体" w:eastAsia="宋体" w:cs="宋体"/>
          <w:spacing w:val="13"/>
          <w:sz w:val="20"/>
          <w:szCs w:val="20"/>
        </w:rPr>
        <w:t>目标：</w:t>
      </w:r>
      <w:r>
        <w:rPr>
          <w:rFonts w:hint="eastAsia" w:ascii="宋体" w:hAnsi="宋体" w:eastAsia="宋体" w:cs="宋体"/>
          <w:spacing w:val="13"/>
          <w:sz w:val="20"/>
          <w:szCs w:val="20"/>
        </w:rPr>
        <w:t>全面落实素质教育，实施“爱与陪伴”教育模式，推广高效融合 “三全育人”与“五育并举”、实用性和创新性兼具的实践路径，提升学生管理服务质量与育人成效，保障学生安全，促进学生全面发展。</w:t>
      </w:r>
    </w:p>
    <w:p w14:paraId="78253CEB">
      <w:pPr>
        <w:keepNext w:val="0"/>
        <w:keepLines w:val="0"/>
        <w:pageBreakBefore w:val="0"/>
        <w:widowControl/>
        <w:kinsoku/>
        <w:wordWrap/>
        <w:overflowPunct/>
        <w:topLinePunct w:val="0"/>
        <w:autoSpaceDE w:val="0"/>
        <w:autoSpaceDN w:val="0"/>
        <w:bidi w:val="0"/>
        <w:adjustRightInd w:val="0"/>
        <w:snapToGrid w:val="0"/>
        <w:spacing w:line="480" w:lineRule="auto"/>
        <w:ind w:left="429"/>
        <w:textAlignment w:val="baseline"/>
        <w:rPr>
          <w:rFonts w:hint="eastAsia" w:ascii="宋体" w:hAnsi="宋体" w:eastAsia="宋体" w:cs="宋体"/>
          <w:sz w:val="20"/>
          <w:szCs w:val="20"/>
        </w:rPr>
      </w:pPr>
      <w:r>
        <w:rPr>
          <w:rFonts w:ascii="宋体" w:hAnsi="宋体" w:eastAsia="宋体" w:cs="宋体"/>
          <w:spacing w:val="11"/>
          <w:sz w:val="20"/>
          <w:szCs w:val="20"/>
        </w:rPr>
        <w:t>二、服务内容和要求</w:t>
      </w:r>
    </w:p>
    <w:p w14:paraId="1363663A">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jc w:val="left"/>
        <w:textAlignment w:val="baseline"/>
        <w:rPr>
          <w:rFonts w:hint="eastAsia" w:ascii="宋体" w:hAnsi="宋体" w:eastAsia="宋体" w:cs="宋体"/>
          <w:sz w:val="20"/>
          <w:szCs w:val="20"/>
        </w:rPr>
      </w:pPr>
      <w:r>
        <w:rPr>
          <w:rFonts w:hint="eastAsia" w:ascii="宋体" w:hAnsi="宋体" w:eastAsia="宋体" w:cs="宋体"/>
          <w:sz w:val="20"/>
          <w:szCs w:val="20"/>
        </w:rPr>
        <w:t>1.技术要求</w:t>
      </w:r>
    </w:p>
    <w:p w14:paraId="67A0A9AC">
      <w:pPr>
        <w:keepNext w:val="0"/>
        <w:keepLines w:val="0"/>
        <w:pageBreakBefore w:val="0"/>
        <w:widowControl/>
        <w:kinsoku/>
        <w:wordWrap/>
        <w:overflowPunct/>
        <w:topLinePunct w:val="0"/>
        <w:autoSpaceDE w:val="0"/>
        <w:autoSpaceDN w:val="0"/>
        <w:bidi w:val="0"/>
        <w:adjustRightInd w:val="0"/>
        <w:snapToGrid w:val="0"/>
        <w:spacing w:line="480" w:lineRule="auto"/>
        <w:ind w:firstLine="402" w:firstLineChars="200"/>
        <w:jc w:val="left"/>
        <w:textAlignment w:val="baseline"/>
        <w:rPr>
          <w:rFonts w:hint="eastAsia" w:ascii="宋体" w:hAnsi="宋体" w:eastAsia="宋体" w:cs="宋体"/>
          <w:b/>
          <w:bCs/>
          <w:sz w:val="20"/>
          <w:szCs w:val="20"/>
        </w:rPr>
      </w:pPr>
      <w:r>
        <w:rPr>
          <w:rFonts w:hint="eastAsia" w:ascii="宋体" w:hAnsi="宋体" w:eastAsia="宋体" w:cs="宋体"/>
          <w:b/>
          <w:bCs/>
          <w:sz w:val="20"/>
          <w:szCs w:val="20"/>
        </w:rPr>
        <w:t>(1)驻校教官配置及资质要求</w:t>
      </w:r>
    </w:p>
    <w:p w14:paraId="6DD70C01">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jc w:val="left"/>
        <w:textAlignment w:val="baseline"/>
        <w:rPr>
          <w:rFonts w:hint="eastAsia" w:ascii="宋体" w:hAnsi="宋体" w:eastAsia="宋体" w:cs="宋体"/>
          <w:sz w:val="20"/>
          <w:szCs w:val="20"/>
        </w:rPr>
      </w:pPr>
      <w:r>
        <w:rPr>
          <w:rFonts w:hint="eastAsia" w:ascii="宋体" w:hAnsi="宋体" w:eastAsia="宋体" w:cs="宋体"/>
          <w:sz w:val="20"/>
          <w:szCs w:val="20"/>
        </w:rPr>
        <w:t>人员数量：驻校教官共计 23 名，其中男生宿舍楼 1 栋 4 层，每层配置男驻校教官 2 名，共计 8名；女生宿舍楼 2 栋（1 栋 5 层、1 栋 6 层），每层配置女驻校教官 1 名，共计 11 名；另设总教官 1 名、副总教官 3 名。</w:t>
      </w:r>
    </w:p>
    <w:p w14:paraId="61BB5B57">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jc w:val="left"/>
        <w:textAlignment w:val="baseline"/>
        <w:rPr>
          <w:rFonts w:hint="eastAsia" w:ascii="宋体" w:hAnsi="宋体" w:eastAsia="宋体" w:cs="宋体"/>
          <w:sz w:val="20"/>
          <w:szCs w:val="20"/>
        </w:rPr>
      </w:pPr>
      <w:r>
        <w:rPr>
          <w:rFonts w:hint="eastAsia" w:ascii="宋体" w:hAnsi="宋体" w:eastAsia="宋体" w:cs="宋体"/>
          <w:sz w:val="20"/>
          <w:szCs w:val="20"/>
        </w:rPr>
        <w:t>资质条件：</w:t>
      </w:r>
    </w:p>
    <w:p w14:paraId="3EFF45F7">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jc w:val="left"/>
        <w:textAlignment w:val="baseline"/>
        <w:rPr>
          <w:rFonts w:hint="eastAsia" w:ascii="宋体" w:hAnsi="宋体" w:eastAsia="宋体" w:cs="宋体"/>
          <w:sz w:val="20"/>
          <w:szCs w:val="20"/>
        </w:rPr>
      </w:pPr>
      <w:r>
        <w:rPr>
          <w:rFonts w:hint="eastAsia" w:ascii="宋体" w:hAnsi="宋体" w:eastAsia="宋体" w:cs="宋体"/>
          <w:sz w:val="20"/>
          <w:szCs w:val="20"/>
        </w:rPr>
        <w:t>所有驻校教官中职学生管理经验不低于陆个月、总教官不低于壹年。</w:t>
      </w:r>
    </w:p>
    <w:p w14:paraId="2C19F58B">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jc w:val="left"/>
        <w:textAlignment w:val="baseline"/>
        <w:rPr>
          <w:rFonts w:hint="eastAsia" w:ascii="宋体" w:hAnsi="宋体" w:eastAsia="宋体" w:cs="宋体"/>
          <w:sz w:val="20"/>
          <w:szCs w:val="20"/>
        </w:rPr>
      </w:pPr>
      <w:r>
        <w:rPr>
          <w:rFonts w:hint="eastAsia" w:ascii="宋体" w:hAnsi="宋体" w:eastAsia="宋体" w:cs="宋体"/>
          <w:sz w:val="20"/>
          <w:szCs w:val="20"/>
        </w:rPr>
        <w:t>年龄不高于45岁</w:t>
      </w:r>
      <w:r>
        <w:rPr>
          <w:rFonts w:hint="eastAsia" w:ascii="宋体" w:hAnsi="宋体" w:eastAsia="宋体" w:cs="宋体"/>
          <w:sz w:val="20"/>
          <w:szCs w:val="20"/>
          <w:lang w:eastAsia="zh-CN"/>
        </w:rPr>
        <w:t>，</w:t>
      </w:r>
      <w:r>
        <w:rPr>
          <w:rFonts w:hint="eastAsia" w:ascii="宋体" w:hAnsi="宋体" w:eastAsia="宋体" w:cs="宋体"/>
          <w:sz w:val="20"/>
          <w:szCs w:val="20"/>
        </w:rPr>
        <w:t>五官端正，无纹身，男身高不低于1.7米，女身高不低于1.6米。</w:t>
      </w:r>
    </w:p>
    <w:p w14:paraId="6B4D32D9">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jc w:val="left"/>
        <w:textAlignment w:val="baseline"/>
        <w:rPr>
          <w:rFonts w:hint="eastAsia" w:ascii="宋体" w:hAnsi="宋体" w:eastAsia="宋体" w:cs="宋体"/>
          <w:sz w:val="20"/>
          <w:szCs w:val="20"/>
        </w:rPr>
      </w:pPr>
      <w:r>
        <w:rPr>
          <w:rFonts w:hint="eastAsia" w:ascii="宋体" w:hAnsi="宋体" w:eastAsia="宋体" w:cs="宋体"/>
          <w:sz w:val="20"/>
          <w:szCs w:val="20"/>
        </w:rPr>
        <w:t>政治合格、无犯罪记录，责任心强，能妥善处理中职学生管理工作中出现的问题。</w:t>
      </w:r>
    </w:p>
    <w:p w14:paraId="7F071DF7">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jc w:val="left"/>
        <w:textAlignment w:val="baseline"/>
        <w:rPr>
          <w:rFonts w:hint="eastAsia" w:ascii="宋体" w:hAnsi="宋体" w:eastAsia="宋体" w:cs="宋体"/>
          <w:sz w:val="20"/>
          <w:szCs w:val="20"/>
        </w:rPr>
      </w:pPr>
      <w:r>
        <w:rPr>
          <w:rFonts w:hint="eastAsia" w:ascii="宋体" w:hAnsi="宋体" w:eastAsia="宋体" w:cs="宋体"/>
          <w:sz w:val="20"/>
          <w:szCs w:val="20"/>
        </w:rPr>
        <w:t>大学生退伍军人、警校毕业生优先。</w:t>
      </w:r>
    </w:p>
    <w:p w14:paraId="69A8C7F3">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jc w:val="left"/>
        <w:textAlignment w:val="baseline"/>
        <w:rPr>
          <w:rFonts w:hint="eastAsia" w:ascii="宋体" w:hAnsi="宋体" w:eastAsia="宋体" w:cs="宋体"/>
          <w:sz w:val="20"/>
          <w:szCs w:val="20"/>
        </w:rPr>
      </w:pPr>
      <w:r>
        <w:rPr>
          <w:rFonts w:hint="eastAsia" w:ascii="宋体" w:hAnsi="宋体" w:eastAsia="宋体" w:cs="宋体"/>
          <w:sz w:val="20"/>
          <w:szCs w:val="20"/>
        </w:rPr>
        <w:t>需24小时驻校，和学生吃住在一起。</w:t>
      </w:r>
    </w:p>
    <w:p w14:paraId="18325B73">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jc w:val="left"/>
        <w:textAlignment w:val="baseline"/>
        <w:rPr>
          <w:rFonts w:hint="eastAsia" w:ascii="宋体" w:hAnsi="宋体" w:eastAsia="宋体" w:cs="宋体"/>
          <w:sz w:val="20"/>
          <w:szCs w:val="20"/>
        </w:rPr>
      </w:pPr>
      <w:r>
        <w:rPr>
          <w:rFonts w:hint="eastAsia" w:ascii="宋体" w:hAnsi="宋体" w:eastAsia="宋体" w:cs="宋体"/>
          <w:sz w:val="20"/>
          <w:szCs w:val="20"/>
        </w:rPr>
        <w:t>绝对服从学校管理，具备管理中职学生的能力、做好中职学生服务与育人的能力。</w:t>
      </w:r>
    </w:p>
    <w:p w14:paraId="362202F4">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jc w:val="left"/>
        <w:textAlignment w:val="baseline"/>
        <w:rPr>
          <w:rFonts w:hint="eastAsia" w:ascii="宋体" w:hAnsi="宋体" w:eastAsia="宋体" w:cs="宋体"/>
          <w:sz w:val="20"/>
          <w:szCs w:val="20"/>
        </w:rPr>
      </w:pPr>
      <w:r>
        <w:rPr>
          <w:rFonts w:hint="eastAsia" w:ascii="宋体" w:hAnsi="宋体" w:eastAsia="宋体" w:cs="宋体"/>
          <w:sz w:val="20"/>
          <w:szCs w:val="20"/>
        </w:rPr>
        <w:t>专业技能与经验：</w:t>
      </w:r>
    </w:p>
    <w:p w14:paraId="6E895352">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jc w:val="left"/>
        <w:textAlignment w:val="baseline"/>
        <w:rPr>
          <w:rFonts w:hint="eastAsia" w:ascii="宋体" w:hAnsi="宋体" w:eastAsia="宋体" w:cs="宋体"/>
          <w:sz w:val="20"/>
          <w:szCs w:val="20"/>
        </w:rPr>
      </w:pPr>
      <w:r>
        <w:rPr>
          <w:rFonts w:hint="eastAsia" w:ascii="宋体" w:hAnsi="宋体" w:eastAsia="宋体" w:cs="宋体"/>
          <w:sz w:val="20"/>
          <w:szCs w:val="20"/>
        </w:rPr>
        <w:t>沟通协调能力：能与学生、家长和其他教职工有效沟通。</w:t>
      </w:r>
    </w:p>
    <w:p w14:paraId="0B84DDAA">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jc w:val="left"/>
        <w:textAlignment w:val="baseline"/>
        <w:rPr>
          <w:rFonts w:hint="eastAsia" w:ascii="宋体" w:hAnsi="宋体" w:eastAsia="宋体" w:cs="宋体"/>
          <w:sz w:val="20"/>
          <w:szCs w:val="20"/>
        </w:rPr>
      </w:pPr>
      <w:r>
        <w:rPr>
          <w:rFonts w:hint="eastAsia" w:ascii="宋体" w:hAnsi="宋体" w:eastAsia="宋体" w:cs="宋体"/>
          <w:sz w:val="20"/>
          <w:szCs w:val="20"/>
        </w:rPr>
        <w:t>宿舍管理经验：具有宿舍管理经验者优先，部分岗位要求有宿管经验和学生管理经验。</w:t>
      </w:r>
    </w:p>
    <w:p w14:paraId="6B67F27C">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jc w:val="left"/>
        <w:textAlignment w:val="baseline"/>
        <w:rPr>
          <w:rFonts w:hint="eastAsia" w:ascii="宋体" w:hAnsi="宋体" w:eastAsia="宋体" w:cs="宋体"/>
          <w:sz w:val="20"/>
          <w:szCs w:val="20"/>
        </w:rPr>
      </w:pPr>
      <w:r>
        <w:rPr>
          <w:rFonts w:hint="eastAsia" w:ascii="宋体" w:hAnsi="宋体" w:eastAsia="宋体" w:cs="宋体"/>
          <w:sz w:val="20"/>
          <w:szCs w:val="20"/>
        </w:rPr>
        <w:t>身体素质：身体健康，能承担入住学生宿舍等岗位工作。</w:t>
      </w:r>
    </w:p>
    <w:p w14:paraId="76B34622">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jc w:val="left"/>
        <w:textAlignment w:val="baseline"/>
        <w:rPr>
          <w:rFonts w:hint="eastAsia" w:ascii="宋体" w:hAnsi="宋体" w:eastAsia="宋体" w:cs="宋体"/>
          <w:sz w:val="20"/>
          <w:szCs w:val="20"/>
        </w:rPr>
      </w:pPr>
      <w:r>
        <w:rPr>
          <w:rFonts w:hint="eastAsia" w:ascii="宋体" w:hAnsi="宋体" w:eastAsia="宋体" w:cs="宋体"/>
          <w:sz w:val="20"/>
          <w:szCs w:val="20"/>
        </w:rPr>
        <w:t>服务意识：热爱工作，关心学生，有较强的服务意识和团队意识。</w:t>
      </w:r>
    </w:p>
    <w:p w14:paraId="0C8AC7F2">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jc w:val="left"/>
        <w:textAlignment w:val="baseline"/>
        <w:rPr>
          <w:rFonts w:hint="eastAsia" w:ascii="宋体" w:hAnsi="宋体" w:eastAsia="宋体" w:cs="宋体"/>
          <w:sz w:val="20"/>
          <w:szCs w:val="20"/>
        </w:rPr>
      </w:pPr>
      <w:r>
        <w:rPr>
          <w:rFonts w:hint="eastAsia" w:ascii="宋体" w:hAnsi="宋体" w:eastAsia="宋体" w:cs="宋体"/>
          <w:sz w:val="20"/>
          <w:szCs w:val="20"/>
        </w:rPr>
        <w:t>特定技能：部分岗位要求具备较强的文字表达能力和语言交流能力。</w:t>
      </w:r>
    </w:p>
    <w:p w14:paraId="6F21BFAC">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jc w:val="left"/>
        <w:textAlignment w:val="baseline"/>
        <w:rPr>
          <w:rFonts w:hint="eastAsia" w:ascii="宋体" w:hAnsi="宋体" w:eastAsia="宋体" w:cs="宋体"/>
          <w:sz w:val="20"/>
          <w:szCs w:val="20"/>
        </w:rPr>
      </w:pPr>
      <w:r>
        <w:rPr>
          <w:rFonts w:hint="eastAsia" w:ascii="宋体" w:hAnsi="宋体" w:eastAsia="宋体" w:cs="宋体"/>
          <w:sz w:val="20"/>
          <w:szCs w:val="20"/>
        </w:rPr>
        <w:t>组织能力：有一定的组织、沟通能力，能按照学校规定对住校生进行管理。</w:t>
      </w:r>
    </w:p>
    <w:p w14:paraId="34C2A04A">
      <w:pPr>
        <w:keepNext w:val="0"/>
        <w:keepLines w:val="0"/>
        <w:pageBreakBefore w:val="0"/>
        <w:widowControl/>
        <w:kinsoku/>
        <w:wordWrap/>
        <w:overflowPunct/>
        <w:topLinePunct w:val="0"/>
        <w:autoSpaceDE w:val="0"/>
        <w:autoSpaceDN w:val="0"/>
        <w:bidi w:val="0"/>
        <w:adjustRightInd w:val="0"/>
        <w:snapToGrid w:val="0"/>
        <w:spacing w:line="480" w:lineRule="auto"/>
        <w:ind w:firstLine="402" w:firstLineChars="200"/>
        <w:jc w:val="left"/>
        <w:textAlignment w:val="baseline"/>
        <w:rPr>
          <w:rFonts w:hint="eastAsia" w:ascii="宋体" w:hAnsi="宋体" w:eastAsia="宋体" w:cs="宋体"/>
          <w:b/>
          <w:bCs/>
          <w:sz w:val="20"/>
          <w:szCs w:val="20"/>
          <w:highlight w:val="none"/>
        </w:rPr>
      </w:pPr>
      <w:r>
        <w:rPr>
          <w:rFonts w:hint="eastAsia" w:ascii="宋体" w:hAnsi="宋体" w:eastAsia="宋体" w:cs="宋体"/>
          <w:b/>
          <w:bCs/>
          <w:sz w:val="20"/>
          <w:szCs w:val="20"/>
          <w:highlight w:val="none"/>
        </w:rPr>
        <w:t>(2)服务内容技术参数</w:t>
      </w:r>
    </w:p>
    <w:p w14:paraId="3C98D9DA">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jc w:val="left"/>
        <w:textAlignment w:val="baseline"/>
        <w:rPr>
          <w:rFonts w:hint="eastAsia" w:ascii="宋体" w:hAnsi="宋体" w:eastAsia="宋体" w:cs="宋体"/>
          <w:sz w:val="20"/>
          <w:szCs w:val="20"/>
        </w:rPr>
      </w:pPr>
      <w:r>
        <w:rPr>
          <w:rFonts w:hint="eastAsia" w:ascii="宋体" w:hAnsi="宋体" w:eastAsia="宋体" w:cs="宋体"/>
          <w:sz w:val="20"/>
          <w:szCs w:val="20"/>
        </w:rPr>
        <w:t>安全防控：全方位做好用水、用电、消防、人员出入、吸烟喝酒、打架斗殴、高空抛物、欺凌、卫生防疫、个人财产、公共财产、网络诈骗与舆情监测等防控；常态化开展安全宣传教育、定期巡检巡查、应急处理与预案、应急演练和信息报告。</w:t>
      </w:r>
    </w:p>
    <w:p w14:paraId="44B4569B">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jc w:val="left"/>
        <w:textAlignment w:val="baseline"/>
        <w:rPr>
          <w:rFonts w:hint="eastAsia" w:ascii="宋体" w:hAnsi="宋体" w:eastAsia="宋体" w:cs="宋体"/>
          <w:sz w:val="20"/>
          <w:szCs w:val="20"/>
        </w:rPr>
      </w:pPr>
      <w:r>
        <w:rPr>
          <w:rFonts w:hint="eastAsia" w:ascii="宋体" w:hAnsi="宋体" w:eastAsia="宋体" w:cs="宋体"/>
          <w:sz w:val="20"/>
          <w:szCs w:val="20"/>
          <w:highlight w:val="none"/>
        </w:rPr>
        <w:t>强化日常：</w:t>
      </w:r>
      <w:r>
        <w:rPr>
          <w:rFonts w:hint="eastAsia" w:ascii="宋体" w:hAnsi="宋体" w:eastAsia="宋体" w:cs="宋体"/>
          <w:sz w:val="20"/>
          <w:szCs w:val="20"/>
        </w:rPr>
        <w:t>协助学校做好学生日常行为规范管理、违纪事件初步处理、良好习惯养成教育、班级量化考核、学团会日常管理；协助做好升旗集会、大型活动学生列队集合和秩序维持；做好学生严重违纪事件资料收集和取证；完成特殊突击检查工作任务；协助组织后进学生转化教育的素质拓展培训；按学校应急预案处理突发事件。</w:t>
      </w:r>
    </w:p>
    <w:p w14:paraId="0F8C646D">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jc w:val="left"/>
        <w:textAlignment w:val="baseline"/>
        <w:rPr>
          <w:rFonts w:hint="eastAsia" w:ascii="宋体" w:hAnsi="宋体" w:eastAsia="宋体" w:cs="宋体"/>
          <w:sz w:val="20"/>
          <w:szCs w:val="20"/>
        </w:rPr>
      </w:pPr>
      <w:r>
        <w:rPr>
          <w:rFonts w:hint="eastAsia" w:ascii="宋体" w:hAnsi="宋体" w:eastAsia="宋体" w:cs="宋体"/>
          <w:sz w:val="20"/>
          <w:szCs w:val="20"/>
        </w:rPr>
        <w:t>劳动教育：制定详细的宿舍劳动教育实施方案、计划及规范，明确床铺整理、地面清洁、垃圾处理等宿舍卫生标准；以学生为主、保洁员为辅参与宿舍卫生大扫除和日常清洁，可实施学生劳动实践周；专人负责劳动教育培训课程传授劳动知识技能；负责学校分配的卫生区域保洁、学生劳动意识培养、校园日常巡查、日常礼仪接待、上课期间学生事务服务中心值班。</w:t>
      </w:r>
    </w:p>
    <w:p w14:paraId="6DD0644E">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jc w:val="left"/>
        <w:textAlignment w:val="baseline"/>
        <w:rPr>
          <w:rFonts w:hint="eastAsia" w:ascii="宋体" w:hAnsi="宋体" w:eastAsia="宋体" w:cs="宋体"/>
          <w:color w:val="FF0000"/>
          <w:sz w:val="20"/>
          <w:szCs w:val="20"/>
        </w:rPr>
      </w:pPr>
      <w:r>
        <w:rPr>
          <w:rFonts w:hint="eastAsia" w:ascii="宋体" w:hAnsi="宋体" w:eastAsia="宋体" w:cs="宋体"/>
          <w:sz w:val="20"/>
          <w:szCs w:val="20"/>
        </w:rPr>
        <w:t>学生行为习惯养成：建立健全宿舍管理制度和行为规范体系，坚持尊重个体差异、自律与他律相结合、</w:t>
      </w:r>
      <w:r>
        <w:rPr>
          <w:rFonts w:hint="eastAsia" w:ascii="宋体" w:hAnsi="宋体" w:eastAsia="宋体" w:cs="宋体"/>
          <w:sz w:val="20"/>
          <w:szCs w:val="20"/>
          <w:lang w:val="en-US" w:eastAsia="zh-CN"/>
        </w:rPr>
        <w:t>形成良好宿舍风气、</w:t>
      </w:r>
      <w:r>
        <w:rPr>
          <w:rFonts w:hint="eastAsia" w:ascii="宋体" w:hAnsi="宋体" w:eastAsia="宋体" w:cs="宋体"/>
          <w:sz w:val="20"/>
          <w:szCs w:val="20"/>
        </w:rPr>
        <w:t>倡导文明健康绿色生活方式等四个原则；从新生入学到毕业生离校，定期对宿舍行为习惯养成情况进行评估和总结。</w:t>
      </w:r>
    </w:p>
    <w:p w14:paraId="40411FDF">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jc w:val="left"/>
        <w:textAlignment w:val="baseline"/>
        <w:rPr>
          <w:rFonts w:hint="eastAsia" w:ascii="宋体" w:hAnsi="宋体" w:eastAsia="宋体" w:cs="宋体"/>
          <w:sz w:val="20"/>
          <w:szCs w:val="20"/>
        </w:rPr>
      </w:pPr>
      <w:r>
        <w:rPr>
          <w:rFonts w:hint="eastAsia" w:ascii="宋体" w:hAnsi="宋体" w:eastAsia="宋体" w:cs="宋体"/>
          <w:sz w:val="20"/>
          <w:szCs w:val="20"/>
        </w:rPr>
        <w:t>宿舍管理：负责学生宿舍日常管理和安全管理；做好公共区域垃圾清理和卫生保洁；落实学生作息考勤管理，维护晚休和午休秩序，做好查房查铺、不假不归处理、贵重物品保管教育、消防安全规定宣传；帮助学生按程序处理求助问题；及时送患病学生到校医室或医院；督促引导学生遵守宿舍管理规定并做好日常考评；预防宿舍内违纪违规、吸烟喝酒、打架斗殴、破坏公物、欺凌等事件发生；落实防盗、防火安全防范工作；对违规违纪学生按程序处理并做好教育；制定宿舍内务方案，考评和指导宿舍内务；做好宿舍内财产、水电和消防设施的使用管理、登记、检查和报修，协助做好住宿安排、宿位调整和学生离校财产清理；教育学生节约用水用电、爱护公物；做好宿舍区公共照明管理、宿舍楼全天候值班，建立晚点名、晚归、晚出学生登记制度，制止异性学生进入；协助校方做好宿舍住宿计划编排；管理宿舍楼内公共设施设备和财物、消防设施、消防通道、监控设施；掌握学生生活和思想状况，落实思想引导教育工作，及时书面报告特殊情况或违纪情况；谨防宿舍区恶性事件和重大事故发生，遇突发事件立即报告并维护现场、疏散学生；高质量做好学生宿舍手机管理并常态化保持；修订完善</w:t>
      </w:r>
      <w:r>
        <w:rPr>
          <w:rFonts w:hint="eastAsia" w:ascii="宋体" w:hAnsi="宋体" w:eastAsia="宋体" w:cs="宋体"/>
          <w:sz w:val="20"/>
          <w:szCs w:val="20"/>
          <w:highlight w:val="none"/>
        </w:rPr>
        <w:t>《学生宿舍管</w:t>
      </w:r>
      <w:r>
        <w:rPr>
          <w:rFonts w:hint="eastAsia" w:ascii="宋体" w:hAnsi="宋体" w:eastAsia="宋体" w:cs="宋体"/>
          <w:sz w:val="20"/>
          <w:szCs w:val="20"/>
        </w:rPr>
        <w:t>理手册》，组织管理人员和住校学生学习并遵照执行；建立学生与宿舍管理人员高效沟通机制，包括设立固定沟通平台、定期召开会议、建立反馈机制、加强宣传教育、优化校园环境。</w:t>
      </w:r>
    </w:p>
    <w:p w14:paraId="009C1FBA">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jc w:val="left"/>
        <w:textAlignment w:val="baseline"/>
        <w:rPr>
          <w:rFonts w:hint="eastAsia" w:ascii="宋体" w:hAnsi="宋体" w:eastAsia="宋体" w:cs="宋体"/>
          <w:sz w:val="20"/>
          <w:szCs w:val="20"/>
        </w:rPr>
      </w:pPr>
      <w:r>
        <w:rPr>
          <w:rFonts w:hint="eastAsia" w:ascii="宋体" w:hAnsi="宋体" w:eastAsia="宋体" w:cs="宋体"/>
          <w:sz w:val="20"/>
          <w:szCs w:val="20"/>
        </w:rPr>
        <w:t>学生事务服务中心：构建集事务办理、自助服务、休闲交流于一体的多功能学生事务服务中心，提供涉及学生所有事务的一站式服务。</w:t>
      </w:r>
    </w:p>
    <w:p w14:paraId="536B9ACE">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jc w:val="left"/>
        <w:textAlignment w:val="baseline"/>
        <w:rPr>
          <w:rFonts w:hint="eastAsia" w:ascii="宋体" w:hAnsi="宋体" w:eastAsia="宋体" w:cs="宋体"/>
          <w:sz w:val="20"/>
          <w:szCs w:val="20"/>
        </w:rPr>
      </w:pPr>
      <w:r>
        <w:rPr>
          <w:rFonts w:hint="eastAsia" w:ascii="宋体" w:hAnsi="宋体" w:eastAsia="宋体" w:cs="宋体"/>
          <w:sz w:val="20"/>
          <w:szCs w:val="20"/>
        </w:rPr>
        <w:t>学生礼仪队：负责学校礼仪队的选拔、培养和使用，做好学校组织活动的礼仪接待工作。</w:t>
      </w:r>
    </w:p>
    <w:p w14:paraId="4A3C882F">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jc w:val="left"/>
        <w:textAlignment w:val="baseline"/>
        <w:rPr>
          <w:rFonts w:hint="eastAsia" w:ascii="宋体" w:hAnsi="宋体" w:eastAsia="宋体" w:cs="宋体"/>
          <w:sz w:val="20"/>
          <w:szCs w:val="20"/>
        </w:rPr>
      </w:pPr>
      <w:r>
        <w:rPr>
          <w:rFonts w:hint="eastAsia" w:ascii="宋体" w:hAnsi="宋体" w:eastAsia="宋体" w:cs="宋体"/>
          <w:sz w:val="20"/>
          <w:szCs w:val="20"/>
        </w:rPr>
        <w:t>国旗护卫队：负责国旗班的选拔、培养和使用，做好学校升国旗工作及大型集会国旗班安保工作。</w:t>
      </w:r>
    </w:p>
    <w:p w14:paraId="3BF7525E">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jc w:val="left"/>
        <w:textAlignment w:val="baseline"/>
        <w:rPr>
          <w:rFonts w:hint="eastAsia" w:ascii="宋体" w:hAnsi="宋体" w:eastAsia="宋体" w:cs="宋体"/>
          <w:sz w:val="20"/>
          <w:szCs w:val="20"/>
        </w:rPr>
      </w:pPr>
      <w:r>
        <w:rPr>
          <w:rFonts w:hint="eastAsia" w:ascii="宋体" w:hAnsi="宋体" w:eastAsia="宋体" w:cs="宋体"/>
          <w:sz w:val="20"/>
          <w:szCs w:val="20"/>
        </w:rPr>
        <w:t>学生教官：负责学生教官的选拔、培养，做好军训辅助工作，配合学校做好学生管理工作。</w:t>
      </w:r>
    </w:p>
    <w:p w14:paraId="748FB71D">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jc w:val="left"/>
        <w:textAlignment w:val="baseline"/>
        <w:rPr>
          <w:rFonts w:hint="eastAsia" w:ascii="宋体" w:hAnsi="宋体" w:eastAsia="宋体" w:cs="宋体"/>
          <w:sz w:val="20"/>
          <w:szCs w:val="20"/>
        </w:rPr>
      </w:pPr>
      <w:r>
        <w:rPr>
          <w:rFonts w:hint="eastAsia" w:ascii="宋体" w:hAnsi="宋体" w:eastAsia="宋体" w:cs="宋体"/>
          <w:sz w:val="20"/>
          <w:szCs w:val="20"/>
        </w:rPr>
        <w:t>大课间晚自习：做好大课间、晚自习工作安排，形式要求时尚新颖、亮点纷呈，让学生喜欢。</w:t>
      </w:r>
    </w:p>
    <w:p w14:paraId="2381039B">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jc w:val="left"/>
        <w:textAlignment w:val="baseline"/>
        <w:rPr>
          <w:rFonts w:hint="eastAsia" w:ascii="宋体" w:hAnsi="宋体" w:eastAsia="宋体" w:cs="宋体"/>
          <w:sz w:val="20"/>
          <w:szCs w:val="20"/>
        </w:rPr>
      </w:pPr>
      <w:r>
        <w:rPr>
          <w:rFonts w:hint="eastAsia" w:ascii="宋体" w:hAnsi="宋体" w:eastAsia="宋体" w:cs="宋体"/>
          <w:sz w:val="20"/>
          <w:szCs w:val="20"/>
        </w:rPr>
        <w:t>宿舍文化：在学生宿舍走廊瓷砖以上安装标有学校 LOGO 的毛毡板，组织学生自行动手将反映学习、生活的照片、绘画、手工等作品固定在毛毡板上；坚持环保可恢复原状、与专业紧密结合、学生自主制作、内涵深入人心、定期更换、可装订易保存 6 个原则；按宣传发动、试行、全校推广复制、检查评比四个阶段推进；利用宿舍公共空间定期举办创新技能工作坊，为有创业意愿的学生提供小型创业空间或创意展示平台。</w:t>
      </w:r>
    </w:p>
    <w:p w14:paraId="2FBADD1C">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jc w:val="left"/>
        <w:textAlignment w:val="baseline"/>
        <w:rPr>
          <w:rFonts w:hint="eastAsia" w:ascii="宋体" w:hAnsi="宋体" w:eastAsia="宋体" w:cs="宋体"/>
          <w:sz w:val="20"/>
          <w:szCs w:val="20"/>
        </w:rPr>
      </w:pPr>
      <w:r>
        <w:rPr>
          <w:rFonts w:hint="eastAsia" w:ascii="宋体" w:hAnsi="宋体" w:eastAsia="宋体" w:cs="宋体"/>
          <w:sz w:val="20"/>
          <w:szCs w:val="20"/>
        </w:rPr>
        <w:t>餐厅秩序：维护用餐秩序，确保餐厅用餐人员安全。</w:t>
      </w:r>
    </w:p>
    <w:p w14:paraId="7C6C3677">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jc w:val="left"/>
        <w:textAlignment w:val="baseline"/>
        <w:rPr>
          <w:rFonts w:hint="eastAsia" w:ascii="宋体" w:hAnsi="宋体" w:eastAsia="宋体" w:cs="宋体"/>
          <w:sz w:val="20"/>
          <w:szCs w:val="20"/>
        </w:rPr>
      </w:pPr>
      <w:r>
        <w:rPr>
          <w:rFonts w:hint="eastAsia" w:ascii="宋体" w:hAnsi="宋体" w:eastAsia="宋体" w:cs="宋体"/>
          <w:sz w:val="20"/>
          <w:szCs w:val="20"/>
        </w:rPr>
        <w:t>特色活动：协助做好学生特色活动组织开展，负责校方以班级为单位所有活动的教育目标宣传、组织开展、结果呈现；通过毕业季等活动增强学生的母校情结，做到 “无活动、不管理”。</w:t>
      </w:r>
    </w:p>
    <w:p w14:paraId="10C1F9D9">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jc w:val="left"/>
        <w:textAlignment w:val="baseline"/>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智慧公寓：如学校投入相应的设施设备，教官将做好以下工作：配合学校建设智能门禁、智能监控、智能环境（光、温度、湿度、空气质量）、智能能源（节能减排）、智能烟感、智能红外、智能防欺凌（包括智能广播对讲）、智能心理健康、智能综合管理等系统；做好宣传推广和使用培训，建立完善的维护机制，及时处理设备故障和问题。</w:t>
      </w:r>
    </w:p>
    <w:p w14:paraId="3EE2F38A">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jc w:val="left"/>
        <w:textAlignment w:val="baseline"/>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心理健康：利用展板、橱窗、广播、网络等多种方式做好心理健康教育与宣传；如学校投入相应的设施设备，教官将做好以下工作：配合学校在每栋宿舍楼内建设智能心理健康咨询工作室；定期对宿舍成员进行心理健康筛查，及时发现并干预心理问题，为有心理困扰或障碍的学生提供心理咨询和辅导。</w:t>
      </w:r>
    </w:p>
    <w:p w14:paraId="39D6244F">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jc w:val="left"/>
        <w:textAlignment w:val="baseline"/>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学生自我管理机制打造：优化驻校教官队伍，定期开展消防培训、礼仪培训、急救知识培训等，通过 “师徒结对”“以老带新” 传帮带；实现宿舍管理专业化，选择具备拥有专业管理团队和丰富经验、现代企业管理机制健全、能提供全面细致人性化服务、有教育内涵的企业对驻校教官进行培训；搭建以学生为中心的自我管理框架和体系，组建学生宿舍自律管理委员会，设置信息员、宿舍长、层长、楼长等管理层级，明确职责任务，做好培训，梳理优化工作流程，常态化开展卫生管理、安全管理、秩序管理、文化建设等工作。</w:t>
      </w:r>
    </w:p>
    <w:p w14:paraId="3896087C">
      <w:pPr>
        <w:keepNext w:val="0"/>
        <w:keepLines w:val="0"/>
        <w:pageBreakBefore w:val="0"/>
        <w:widowControl/>
        <w:kinsoku/>
        <w:wordWrap/>
        <w:overflowPunct/>
        <w:topLinePunct w:val="0"/>
        <w:autoSpaceDE w:val="0"/>
        <w:autoSpaceDN w:val="0"/>
        <w:bidi w:val="0"/>
        <w:adjustRightInd w:val="0"/>
        <w:snapToGrid w:val="0"/>
        <w:spacing w:line="480" w:lineRule="auto"/>
        <w:ind w:firstLine="402" w:firstLineChars="200"/>
        <w:jc w:val="left"/>
        <w:textAlignment w:val="baseline"/>
        <w:rPr>
          <w:rFonts w:hint="eastAsia"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sz w:val="20"/>
          <w:szCs w:val="20"/>
          <w14:textFill>
            <w14:solidFill>
              <w14:schemeClr w14:val="tx1"/>
            </w14:solidFill>
          </w14:textFill>
        </w:rPr>
        <w:t>(4)服务质量标准</w:t>
      </w:r>
    </w:p>
    <w:p w14:paraId="423401DF">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jc w:val="left"/>
        <w:textAlignment w:val="baseline"/>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1)驻校教官24小时驻校，学生正常在校期间全体驻校教官在校，周六周日、节假日值班驻校教官24小时在校，寒暑假期间正常放假。</w:t>
      </w:r>
    </w:p>
    <w:p w14:paraId="45DB55AE">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jc w:val="left"/>
        <w:textAlignment w:val="baseline"/>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2)各项服务流程规范，符合学校相关管理制度和本项目要求。</w:t>
      </w:r>
    </w:p>
    <w:p w14:paraId="1DC4B894">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jc w:val="left"/>
        <w:textAlignment w:val="baseline"/>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3)学生行为习惯养成达标</w:t>
      </w:r>
      <w:r>
        <w:rPr>
          <w:rFonts w:hint="eastAsia" w:ascii="宋体" w:hAnsi="宋体" w:eastAsia="宋体" w:cs="宋体"/>
          <w:color w:val="000000" w:themeColor="text1"/>
          <w:sz w:val="20"/>
          <w:szCs w:val="20"/>
          <w:highlight w:val="none"/>
          <w14:textFill>
            <w14:solidFill>
              <w14:schemeClr w14:val="tx1"/>
            </w14:solidFill>
          </w14:textFill>
        </w:rPr>
        <w:t>率较上一年度提升60%（以宿舍卫生、作息规范、公共秩序遵守等量化指标为依据）。</w:t>
      </w:r>
    </w:p>
    <w:p w14:paraId="64D5DE41">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jc w:val="left"/>
        <w:textAlignment w:val="baseline"/>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4)宿舍文化作品完成率100%（每楼层学生参与率不低于 90%）。</w:t>
      </w:r>
    </w:p>
    <w:p w14:paraId="4F8BEC16">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jc w:val="left"/>
        <w:textAlignment w:val="baseline"/>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 xml:space="preserve">5)一站式社区服务分中心学生满意度达到 </w:t>
      </w:r>
      <w:r>
        <w:rPr>
          <w:rFonts w:hint="eastAsia" w:ascii="宋体" w:hAnsi="宋体" w:eastAsia="宋体" w:cs="宋体"/>
          <w:color w:val="000000" w:themeColor="text1"/>
          <w:sz w:val="20"/>
          <w:szCs w:val="20"/>
          <w:highlight w:val="none"/>
          <w:lang w:val="en-US" w:eastAsia="zh-CN"/>
          <w14:textFill>
            <w14:solidFill>
              <w14:schemeClr w14:val="tx1"/>
            </w14:solidFill>
          </w14:textFill>
        </w:rPr>
        <w:t>6</w:t>
      </w:r>
      <w:r>
        <w:rPr>
          <w:rFonts w:hint="eastAsia" w:ascii="宋体" w:hAnsi="宋体" w:eastAsia="宋体" w:cs="宋体"/>
          <w:color w:val="000000" w:themeColor="text1"/>
          <w:sz w:val="20"/>
          <w:szCs w:val="20"/>
          <w:highlight w:val="none"/>
          <w14:textFill>
            <w14:solidFill>
              <w14:schemeClr w14:val="tx1"/>
            </w14:solidFill>
          </w14:textFill>
        </w:rPr>
        <w:t>0% 以上（通过季度问卷调查统计，有效问卷回收量不低于住宿学生总数的80%），服务响应及时率100%（一般事项24小时内办结）。</w:t>
      </w:r>
    </w:p>
    <w:p w14:paraId="51E30F35">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jc w:val="left"/>
        <w:textAlignment w:val="baseline"/>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6)全年学生宿舍区域用水、用电、消防、人员出入、欺凌诈骗、打架斗殴、吸烟喝酒等各类</w:t>
      </w:r>
      <w:r>
        <w:rPr>
          <w:rFonts w:hint="eastAsia" w:ascii="宋体" w:hAnsi="宋体" w:eastAsia="宋体" w:cs="宋体"/>
          <w:color w:val="000000" w:themeColor="text1"/>
          <w:sz w:val="20"/>
          <w:szCs w:val="20"/>
          <w14:textFill>
            <w14:solidFill>
              <w14:schemeClr w14:val="tx1"/>
            </w14:solidFill>
          </w14:textFill>
        </w:rPr>
        <w:t>安全</w:t>
      </w:r>
      <w:r>
        <w:rPr>
          <w:rFonts w:hint="eastAsia" w:ascii="宋体" w:hAnsi="宋体" w:eastAsia="宋体" w:cs="宋体"/>
          <w:color w:val="000000" w:themeColor="text1"/>
          <w:sz w:val="20"/>
          <w:szCs w:val="20"/>
          <w:highlight w:val="none"/>
          <w14:textFill>
            <w14:solidFill>
              <w14:schemeClr w14:val="tx1"/>
            </w14:solidFill>
          </w14:textFill>
        </w:rPr>
        <w:t>事故发生率降低80%，全年重大</w:t>
      </w:r>
      <w:r>
        <w:rPr>
          <w:rFonts w:hint="eastAsia" w:ascii="宋体" w:hAnsi="宋体" w:eastAsia="宋体" w:cs="宋体"/>
          <w:color w:val="000000" w:themeColor="text1"/>
          <w:sz w:val="20"/>
          <w:szCs w:val="20"/>
          <w14:textFill>
            <w14:solidFill>
              <w14:schemeClr w14:val="tx1"/>
            </w14:solidFill>
          </w14:textFill>
        </w:rPr>
        <w:t>安全事故发生率为0。</w:t>
      </w:r>
    </w:p>
    <w:p w14:paraId="1BCE7A4A">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jc w:val="left"/>
        <w:textAlignment w:val="baseline"/>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2.商务要求</w:t>
      </w:r>
    </w:p>
    <w:p w14:paraId="2F399323">
      <w:pPr>
        <w:keepNext w:val="0"/>
        <w:keepLines w:val="0"/>
        <w:pageBreakBefore w:val="0"/>
        <w:widowControl/>
        <w:kinsoku/>
        <w:wordWrap/>
        <w:overflowPunct/>
        <w:topLinePunct w:val="0"/>
        <w:autoSpaceDE w:val="0"/>
        <w:autoSpaceDN w:val="0"/>
        <w:bidi w:val="0"/>
        <w:adjustRightInd w:val="0"/>
        <w:snapToGrid w:val="0"/>
        <w:spacing w:line="480" w:lineRule="auto"/>
        <w:ind w:firstLine="402" w:firstLineChars="200"/>
        <w:textAlignment w:val="baseline"/>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b/>
          <w:bCs/>
          <w:color w:val="000000" w:themeColor="text1"/>
          <w:sz w:val="20"/>
          <w:szCs w:val="20"/>
          <w14:textFill>
            <w14:solidFill>
              <w14:schemeClr w14:val="tx1"/>
            </w14:solidFill>
          </w14:textFill>
        </w:rPr>
        <w:t>(1)投标人履约能力要求</w:t>
      </w:r>
    </w:p>
    <w:p w14:paraId="3F6ED2C9">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textAlignment w:val="baseline"/>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1)具备独立承担民事责任的能力，具有有效的营业执照。</w:t>
      </w:r>
    </w:p>
    <w:p w14:paraId="12D7B131">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textAlignment w:val="baseline"/>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2)具有良好的商业信誉和健全的财务会计制度。</w:t>
      </w:r>
    </w:p>
    <w:p w14:paraId="58C3DA3F">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textAlignment w:val="baseline"/>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3)具有履行合同所必需的设备和专业技术能力。</w:t>
      </w:r>
    </w:p>
    <w:p w14:paraId="4983DD61">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textAlignment w:val="baseline"/>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4)有依法缴纳税收和社会保障资金的良好记录。</w:t>
      </w:r>
    </w:p>
    <w:p w14:paraId="198B74FE">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textAlignment w:val="baseline"/>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5)参加政府采购活动前三年内，在经营活动中没有重大违法记录。</w:t>
      </w:r>
    </w:p>
    <w:p w14:paraId="34B04DA3">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textAlignment w:val="baseline"/>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6</w:t>
      </w:r>
      <w:r>
        <w:rPr>
          <w:rFonts w:hint="eastAsia" w:ascii="宋体" w:hAnsi="宋体" w:eastAsia="宋体" w:cs="宋体"/>
          <w:color w:val="000000" w:themeColor="text1"/>
          <w:sz w:val="20"/>
          <w:szCs w:val="20"/>
          <w14:textFill>
            <w14:solidFill>
              <w14:schemeClr w14:val="tx1"/>
            </w14:solidFill>
          </w14:textFill>
        </w:rPr>
        <w:t>)能按照要求在合同签订之日起 7 日内完成相关人员的培训并进驻学校。</w:t>
      </w:r>
    </w:p>
    <w:p w14:paraId="3894A64B">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textAlignment w:val="baseline"/>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7</w:t>
      </w:r>
      <w:r>
        <w:rPr>
          <w:rFonts w:hint="eastAsia" w:ascii="宋体" w:hAnsi="宋体" w:eastAsia="宋体" w:cs="宋体"/>
          <w:color w:val="000000" w:themeColor="text1"/>
          <w:sz w:val="20"/>
          <w:szCs w:val="20"/>
          <w14:textFill>
            <w14:solidFill>
              <w14:schemeClr w14:val="tx1"/>
            </w14:solidFill>
          </w14:textFill>
        </w:rPr>
        <w:t>)项目实施工作必须由投标人自行负责，不准整体分包、转包。</w:t>
      </w:r>
    </w:p>
    <w:p w14:paraId="108C5A49">
      <w:pPr>
        <w:keepNext w:val="0"/>
        <w:keepLines w:val="0"/>
        <w:pageBreakBefore w:val="0"/>
        <w:widowControl/>
        <w:kinsoku/>
        <w:wordWrap/>
        <w:overflowPunct/>
        <w:topLinePunct w:val="0"/>
        <w:autoSpaceDE w:val="0"/>
        <w:autoSpaceDN w:val="0"/>
        <w:bidi w:val="0"/>
        <w:adjustRightInd w:val="0"/>
        <w:snapToGrid w:val="0"/>
        <w:spacing w:line="480" w:lineRule="auto"/>
        <w:ind w:firstLine="402" w:firstLineChars="200"/>
        <w:textAlignment w:val="baseline"/>
        <w:rPr>
          <w:rFonts w:hint="eastAsia"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sz w:val="20"/>
          <w:szCs w:val="20"/>
          <w14:textFill>
            <w14:solidFill>
              <w14:schemeClr w14:val="tx1"/>
            </w14:solidFill>
          </w14:textFill>
        </w:rPr>
        <w:t>(2)资信要求</w:t>
      </w:r>
    </w:p>
    <w:p w14:paraId="5A1DEC21">
      <w:pPr>
        <w:keepNext w:val="0"/>
        <w:keepLines w:val="0"/>
        <w:pageBreakBefore w:val="0"/>
        <w:widowControl/>
        <w:kinsoku/>
        <w:wordWrap/>
        <w:overflowPunct/>
        <w:topLinePunct w:val="0"/>
        <w:autoSpaceDE w:val="0"/>
        <w:autoSpaceDN w:val="0"/>
        <w:bidi w:val="0"/>
        <w:adjustRightInd w:val="0"/>
        <w:snapToGrid w:val="0"/>
        <w:spacing w:line="480" w:lineRule="auto"/>
        <w:ind w:firstLine="440" w:firstLineChars="200"/>
        <w:textAlignment w:val="baseline"/>
        <w:rPr>
          <w:rFonts w:hint="eastAsia" w:ascii="宋体" w:hAnsi="宋体" w:eastAsia="宋体" w:cs="宋体"/>
          <w:color w:val="000000" w:themeColor="text1"/>
          <w:sz w:val="20"/>
          <w:szCs w:val="20"/>
          <w:lang w:eastAsia="zh-CN"/>
          <w14:textFill>
            <w14:solidFill>
              <w14:schemeClr w14:val="tx1"/>
            </w14:solidFill>
          </w14:textFill>
        </w:rPr>
      </w:pPr>
      <w:r>
        <w:rPr>
          <w:color w:val="000000" w:themeColor="text1"/>
          <w:spacing w:val="5"/>
          <w14:textFill>
            <w14:solidFill>
              <w14:schemeClr w14:val="tx1"/>
            </w14:solidFill>
          </w14:textFill>
        </w:rPr>
        <w:t>对列入失信被执行人、重大税收违</w:t>
      </w:r>
      <w:r>
        <w:rPr>
          <w:color w:val="000000" w:themeColor="text1"/>
          <w:spacing w:val="6"/>
          <w14:textFill>
            <w14:solidFill>
              <w14:schemeClr w14:val="tx1"/>
            </w14:solidFill>
          </w14:textFill>
        </w:rPr>
        <w:t>法失信主体、政府采购严重违法失信行为记录名单的投标人，拒绝参</w:t>
      </w:r>
      <w:r>
        <w:rPr>
          <w:color w:val="000000" w:themeColor="text1"/>
          <w:spacing w:val="5"/>
          <w14:textFill>
            <w14:solidFill>
              <w14:schemeClr w14:val="tx1"/>
            </w14:solidFill>
          </w14:textFill>
        </w:rPr>
        <w:t>与本项目政府采购活动；查询渠道：失信被执行人查询渠道：“</w:t>
      </w:r>
      <w:r>
        <w:rPr>
          <w:color w:val="000000" w:themeColor="text1"/>
          <w:spacing w:val="-54"/>
          <w14:textFill>
            <w14:solidFill>
              <w14:schemeClr w14:val="tx1"/>
            </w14:solidFill>
          </w14:textFill>
        </w:rPr>
        <w:t xml:space="preserve"> </w:t>
      </w:r>
      <w:r>
        <w:rPr>
          <w:color w:val="000000" w:themeColor="text1"/>
          <w:spacing w:val="5"/>
          <w14:textFill>
            <w14:solidFill>
              <w14:schemeClr w14:val="tx1"/>
            </w14:solidFill>
          </w14:textFill>
        </w:rPr>
        <w:t>中国</w:t>
      </w:r>
      <w:r>
        <w:rPr>
          <w:color w:val="000000" w:themeColor="text1"/>
          <w:spacing w:val="9"/>
          <w14:textFill>
            <w14:solidFill>
              <w14:schemeClr w14:val="tx1"/>
            </w14:solidFill>
          </w14:textFill>
        </w:rPr>
        <w:t>执行信息公开网</w:t>
      </w:r>
      <w:r>
        <w:rPr>
          <w:color w:val="000000" w:themeColor="text1"/>
          <w:spacing w:val="-52"/>
          <w14:textFill>
            <w14:solidFill>
              <w14:schemeClr w14:val="tx1"/>
            </w14:solidFill>
          </w14:textFill>
        </w:rPr>
        <w:t xml:space="preserve"> </w:t>
      </w:r>
      <w:r>
        <w:rPr>
          <w:color w:val="000000" w:themeColor="text1"/>
          <w:spacing w:val="9"/>
          <w14:textFill>
            <w14:solidFill>
              <w14:schemeClr w14:val="tx1"/>
            </w14:solidFill>
          </w14:textFill>
        </w:rPr>
        <w:t>”；重大税收违法失信主体查询渠道：“信用中国</w:t>
      </w:r>
      <w:r>
        <w:rPr>
          <w:color w:val="000000" w:themeColor="text1"/>
          <w:spacing w:val="-70"/>
          <w14:textFill>
            <w14:solidFill>
              <w14:schemeClr w14:val="tx1"/>
            </w14:solidFill>
          </w14:textFill>
        </w:rPr>
        <w:t xml:space="preserve"> </w:t>
      </w:r>
      <w:r>
        <w:rPr>
          <w:color w:val="000000" w:themeColor="text1"/>
          <w:spacing w:val="9"/>
          <w14:textFill>
            <w14:solidFill>
              <w14:schemeClr w14:val="tx1"/>
            </w14:solidFill>
          </w14:textFill>
        </w:rPr>
        <w:t>”</w:t>
      </w:r>
      <w:r>
        <w:rPr>
          <w:color w:val="000000" w:themeColor="text1"/>
          <w:spacing w:val="7"/>
          <w14:textFill>
            <w14:solidFill>
              <w14:schemeClr w14:val="tx1"/>
            </w14:solidFill>
          </w14:textFill>
        </w:rPr>
        <w:t>网站；政府采购严重违法失信行为查询渠道：“</w:t>
      </w:r>
      <w:r>
        <w:rPr>
          <w:color w:val="000000" w:themeColor="text1"/>
          <w:spacing w:val="-70"/>
          <w14:textFill>
            <w14:solidFill>
              <w14:schemeClr w14:val="tx1"/>
            </w14:solidFill>
          </w14:textFill>
        </w:rPr>
        <w:t xml:space="preserve"> </w:t>
      </w:r>
      <w:r>
        <w:rPr>
          <w:color w:val="000000" w:themeColor="text1"/>
          <w:spacing w:val="7"/>
          <w14:textFill>
            <w14:solidFill>
              <w14:schemeClr w14:val="tx1"/>
            </w14:solidFill>
          </w14:textFill>
        </w:rPr>
        <w:t>中国政府采购网</w:t>
      </w:r>
      <w:r>
        <w:rPr>
          <w:color w:val="000000" w:themeColor="text1"/>
          <w:spacing w:val="-73"/>
          <w14:textFill>
            <w14:solidFill>
              <w14:schemeClr w14:val="tx1"/>
            </w14:solidFill>
          </w14:textFill>
        </w:rPr>
        <w:t xml:space="preserve"> </w:t>
      </w:r>
      <w:r>
        <w:rPr>
          <w:color w:val="000000" w:themeColor="text1"/>
          <w:spacing w:val="7"/>
          <w14:textFill>
            <w14:solidFill>
              <w14:schemeClr w14:val="tx1"/>
            </w14:solidFill>
          </w14:textFill>
        </w:rPr>
        <w:t>”</w:t>
      </w:r>
      <w:r>
        <w:rPr>
          <w:rFonts w:hint="eastAsia" w:eastAsia="宋体"/>
          <w:color w:val="000000" w:themeColor="text1"/>
          <w:spacing w:val="7"/>
          <w:lang w:eastAsia="zh-CN"/>
          <w14:textFill>
            <w14:solidFill>
              <w14:schemeClr w14:val="tx1"/>
            </w14:solidFill>
          </w14:textFill>
        </w:rPr>
        <w:t>。</w:t>
      </w:r>
    </w:p>
    <w:p w14:paraId="09E45E03">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bookmarkStart w:id="34" w:name="_Toc105"/>
      <w:r>
        <w:rPr>
          <w:rFonts w:hint="eastAsia" w:ascii="宋体" w:hAnsi="宋体" w:eastAsia="宋体" w:cs="宋体"/>
          <w:color w:val="000000" w:themeColor="text1"/>
          <w:sz w:val="20"/>
          <w:szCs w:val="20"/>
          <w:lang w:val="en-US" w:eastAsia="zh-CN"/>
          <w14:textFill>
            <w14:solidFill>
              <w14:schemeClr w14:val="tx1"/>
            </w14:solidFill>
          </w14:textFill>
        </w:rPr>
        <w:t>三、绩效考核办法</w:t>
      </w:r>
      <w:bookmarkEnd w:id="34"/>
    </w:p>
    <w:p w14:paraId="1E51A0F7">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textAlignment w:val="baseline"/>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1、考核目的</w:t>
      </w:r>
    </w:p>
    <w:p w14:paraId="44245620">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textAlignment w:val="baseline"/>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为确保驻校教官在24小时学生宿舍管理工作中能够高效、规范地履行职责,进一步提升学生宿舍的安全管理水平</w:t>
      </w: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保障学生的身心健康和财产安全</w:t>
      </w: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特制定本年度学生综合素养提升项目考核方案通过科学、系统考核</w:t>
      </w: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激励教官不断提升自身素质和工作能力</w:t>
      </w: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为师生营造安全、和谐、有序的生活环境</w:t>
      </w:r>
      <w:r>
        <w:rPr>
          <w:rFonts w:hint="eastAsia" w:ascii="宋体" w:hAnsi="宋体" w:eastAsia="宋体" w:cs="宋体"/>
          <w:color w:val="000000" w:themeColor="text1"/>
          <w:sz w:val="20"/>
          <w:szCs w:val="20"/>
          <w:lang w:eastAsia="zh-CN"/>
          <w14:textFill>
            <w14:solidFill>
              <w14:schemeClr w14:val="tx1"/>
            </w14:solidFill>
          </w14:textFill>
        </w:rPr>
        <w:t>。</w:t>
      </w:r>
    </w:p>
    <w:p w14:paraId="0F915F3C">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textAlignment w:val="baseline"/>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2、考核对象</w:t>
      </w:r>
    </w:p>
    <w:p w14:paraId="5B09B219">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textAlignment w:val="baseline"/>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本考核方案适用于全体驻校教官</w:t>
      </w:r>
      <w:r>
        <w:rPr>
          <w:rFonts w:hint="eastAsia" w:ascii="宋体" w:hAnsi="宋体" w:eastAsia="宋体" w:cs="宋体"/>
          <w:color w:val="000000" w:themeColor="text1"/>
          <w:sz w:val="20"/>
          <w:szCs w:val="20"/>
          <w:lang w:eastAsia="zh-CN"/>
          <w14:textFill>
            <w14:solidFill>
              <w14:schemeClr w14:val="tx1"/>
            </w14:solidFill>
          </w14:textFill>
        </w:rPr>
        <w:t>。</w:t>
      </w:r>
    </w:p>
    <w:p w14:paraId="3E6063D1">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考核原则：</w:t>
      </w:r>
    </w:p>
    <w:p w14:paraId="786376C2">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坚持客观公正、注重实绩、育人导向、持续改进的原则。实行定量与定性相结合，过程与结果相结合，学校考核与学生评议相结合的多维度考核。</w:t>
      </w:r>
    </w:p>
    <w:p w14:paraId="18CDA05F">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考核周期</w:t>
      </w:r>
    </w:p>
    <w:p w14:paraId="78CA4068">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textAlignment w:val="baseline"/>
        <w:rPr>
          <w:rFonts w:hint="default" w:ascii="宋体" w:hAnsi="宋体" w:eastAsia="宋体" w:cs="宋体"/>
          <w:color w:val="000000" w:themeColor="text1"/>
          <w:sz w:val="20"/>
          <w:szCs w:val="20"/>
          <w:lang w:val="en-US" w:eastAsia="zh-CN"/>
          <w14:textFill>
            <w14:solidFill>
              <w14:schemeClr w14:val="tx1"/>
            </w14:solidFill>
          </w14:textFill>
        </w:rPr>
      </w:pPr>
      <w:r>
        <w:rPr>
          <w:rFonts w:hint="default" w:ascii="宋体" w:hAnsi="宋体" w:eastAsia="宋体" w:cs="宋体"/>
          <w:color w:val="000000" w:themeColor="text1"/>
          <w:sz w:val="20"/>
          <w:szCs w:val="20"/>
          <w:lang w:val="en-US" w:eastAsia="zh-CN"/>
          <w14:textFill>
            <w14:solidFill>
              <w14:schemeClr w14:val="tx1"/>
            </w14:solidFill>
          </w14:textFill>
        </w:rPr>
        <w:t>分为月度考核和年度总评。月度考核侧重于基础工作</w:t>
      </w:r>
      <w:r>
        <w:rPr>
          <w:rFonts w:hint="eastAsia" w:ascii="宋体" w:hAnsi="宋体" w:eastAsia="宋体" w:cs="宋体"/>
          <w:color w:val="000000" w:themeColor="text1"/>
          <w:sz w:val="20"/>
          <w:szCs w:val="20"/>
          <w:lang w:val="en-US" w:eastAsia="zh-CN"/>
          <w14:textFill>
            <w14:solidFill>
              <w14:schemeClr w14:val="tx1"/>
            </w14:solidFill>
          </w14:textFill>
        </w:rPr>
        <w:t>与</w:t>
      </w:r>
      <w:r>
        <w:rPr>
          <w:rFonts w:hint="default" w:ascii="宋体" w:hAnsi="宋体" w:eastAsia="宋体" w:cs="宋体"/>
          <w:color w:val="000000" w:themeColor="text1"/>
          <w:sz w:val="20"/>
          <w:szCs w:val="20"/>
          <w:lang w:val="en-US" w:eastAsia="zh-CN"/>
          <w14:textFill>
            <w14:solidFill>
              <w14:schemeClr w14:val="tx1"/>
            </w14:solidFill>
          </w14:textFill>
        </w:rPr>
        <w:t>服务费支付挂钩，年度总评与合同续签</w:t>
      </w:r>
      <w:r>
        <w:rPr>
          <w:rFonts w:hint="eastAsia" w:ascii="宋体" w:hAnsi="宋体" w:eastAsia="宋体" w:cs="宋体"/>
          <w:color w:val="000000" w:themeColor="text1"/>
          <w:sz w:val="20"/>
          <w:szCs w:val="20"/>
          <w:lang w:val="en-US" w:eastAsia="zh-CN"/>
          <w14:textFill>
            <w14:solidFill>
              <w14:schemeClr w14:val="tx1"/>
            </w14:solidFill>
          </w14:textFill>
        </w:rPr>
        <w:t>挂钩</w:t>
      </w:r>
      <w:r>
        <w:rPr>
          <w:rFonts w:hint="default" w:ascii="宋体" w:hAnsi="宋体" w:eastAsia="宋体" w:cs="宋体"/>
          <w:color w:val="000000" w:themeColor="text1"/>
          <w:sz w:val="20"/>
          <w:szCs w:val="20"/>
          <w:lang w:val="en-US" w:eastAsia="zh-CN"/>
          <w14:textFill>
            <w14:solidFill>
              <w14:schemeClr w14:val="tx1"/>
            </w14:solidFill>
          </w14:textFill>
        </w:rPr>
        <w:t>。</w:t>
      </w:r>
    </w:p>
    <w:p w14:paraId="252498A1">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textAlignment w:val="baseline"/>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5</w:t>
      </w:r>
      <w:r>
        <w:rPr>
          <w:rFonts w:hint="eastAsia" w:ascii="宋体" w:hAnsi="宋体" w:eastAsia="宋体" w:cs="宋体"/>
          <w:color w:val="000000" w:themeColor="text1"/>
          <w:sz w:val="20"/>
          <w:szCs w:val="20"/>
          <w14:textFill>
            <w14:solidFill>
              <w14:schemeClr w14:val="tx1"/>
            </w14:solidFill>
          </w14:textFill>
        </w:rPr>
        <w:t>、考核内容</w:t>
      </w:r>
      <w:r>
        <w:rPr>
          <w:rFonts w:hint="eastAsia" w:ascii="宋体" w:hAnsi="宋体" w:eastAsia="宋体" w:cs="宋体"/>
          <w:color w:val="000000" w:themeColor="text1"/>
          <w:sz w:val="20"/>
          <w:szCs w:val="20"/>
          <w:lang w:val="en-US" w:eastAsia="zh-CN"/>
          <w14:textFill>
            <w14:solidFill>
              <w14:schemeClr w14:val="tx1"/>
            </w14:solidFill>
          </w14:textFill>
        </w:rPr>
        <w:t>与指标体系</w:t>
      </w:r>
    </w:p>
    <w:p w14:paraId="2C471EDB">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textAlignment w:val="baseline"/>
        <w:rPr>
          <w:rFonts w:hint="default" w:ascii="宋体" w:hAnsi="宋体" w:eastAsia="宋体" w:cs="宋体"/>
          <w:color w:val="000000" w:themeColor="text1"/>
          <w:sz w:val="20"/>
          <w:szCs w:val="20"/>
          <w:lang w:val="en-US" w:eastAsia="zh-CN"/>
          <w14:textFill>
            <w14:solidFill>
              <w14:schemeClr w14:val="tx1"/>
            </w14:solidFill>
          </w14:textFill>
        </w:rPr>
      </w:pPr>
      <w:r>
        <w:rPr>
          <w:rFonts w:hint="default" w:ascii="宋体" w:hAnsi="宋体" w:eastAsia="宋体" w:cs="宋体"/>
          <w:color w:val="000000" w:themeColor="text1"/>
          <w:sz w:val="20"/>
          <w:szCs w:val="20"/>
          <w14:textFill>
            <w14:solidFill>
              <w14:schemeClr w14:val="tx1"/>
            </w14:solidFill>
          </w14:textFill>
        </w:rPr>
        <w:t>考</w:t>
      </w:r>
      <w:r>
        <w:rPr>
          <w:rFonts w:hint="default" w:ascii="宋体" w:hAnsi="宋体" w:eastAsia="宋体" w:cs="宋体"/>
          <w:color w:val="000000" w:themeColor="text1"/>
          <w:sz w:val="20"/>
          <w:szCs w:val="20"/>
          <w:lang w:val="en-US" w:eastAsia="zh-CN"/>
          <w14:textFill>
            <w14:solidFill>
              <w14:schemeClr w14:val="tx1"/>
            </w14:solidFill>
          </w14:textFill>
        </w:rPr>
        <w:t>核采用关键绩效指标（KPI） 形式，总分100分，由以下四个维度构成：</w:t>
      </w:r>
    </w:p>
    <w:tbl>
      <w:tblPr>
        <w:tblStyle w:val="16"/>
        <w:tblW w:w="880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80"/>
        <w:gridCol w:w="941"/>
        <w:gridCol w:w="1640"/>
        <w:gridCol w:w="5148"/>
      </w:tblGrid>
      <w:tr w14:paraId="385D3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80" w:type="dxa"/>
            <w:shd w:val="clear" w:color="auto" w:fill="FFFFFF"/>
            <w:vAlign w:val="center"/>
          </w:tcPr>
          <w:p w14:paraId="56B5203B">
            <w:pPr>
              <w:keepNext w:val="0"/>
              <w:keepLines w:val="0"/>
              <w:pageBreakBefore w:val="0"/>
              <w:widowControl/>
              <w:kinsoku/>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维度</w:t>
            </w:r>
          </w:p>
        </w:tc>
        <w:tc>
          <w:tcPr>
            <w:tcW w:w="941" w:type="dxa"/>
            <w:shd w:val="clear" w:color="auto" w:fill="FFFFFF"/>
            <w:vAlign w:val="center"/>
          </w:tcPr>
          <w:p w14:paraId="436EF4E5">
            <w:pPr>
              <w:keepNext w:val="0"/>
              <w:keepLines w:val="0"/>
              <w:pageBreakBefore w:val="0"/>
              <w:widowControl/>
              <w:kinsoku/>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权重</w:t>
            </w:r>
          </w:p>
        </w:tc>
        <w:tc>
          <w:tcPr>
            <w:tcW w:w="1640" w:type="dxa"/>
            <w:shd w:val="clear" w:color="auto" w:fill="FFFFFF"/>
            <w:vAlign w:val="center"/>
          </w:tcPr>
          <w:p w14:paraId="302FFE5D">
            <w:pPr>
              <w:keepNext w:val="0"/>
              <w:keepLines w:val="0"/>
              <w:pageBreakBefore w:val="0"/>
              <w:widowControl/>
              <w:kinsoku/>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核心指标</w:t>
            </w:r>
          </w:p>
          <w:p w14:paraId="12E71029">
            <w:pPr>
              <w:keepNext w:val="0"/>
              <w:keepLines w:val="0"/>
              <w:pageBreakBefore w:val="0"/>
              <w:widowControl/>
              <w:kinsoku/>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（KPI）</w:t>
            </w:r>
          </w:p>
        </w:tc>
        <w:tc>
          <w:tcPr>
            <w:tcW w:w="5148" w:type="dxa"/>
            <w:shd w:val="clear" w:color="auto" w:fill="FFFFFF"/>
            <w:vAlign w:val="center"/>
          </w:tcPr>
          <w:p w14:paraId="47734931">
            <w:pPr>
              <w:keepNext w:val="0"/>
              <w:keepLines w:val="0"/>
              <w:pageBreakBefore w:val="0"/>
              <w:widowControl/>
              <w:kinsoku/>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考核细则与数据来源</w:t>
            </w:r>
          </w:p>
        </w:tc>
      </w:tr>
      <w:tr w14:paraId="263F5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080" w:type="dxa"/>
            <w:vMerge w:val="restart"/>
            <w:shd w:val="clear" w:color="auto" w:fill="FFFFFF"/>
            <w:vAlign w:val="center"/>
          </w:tcPr>
          <w:p w14:paraId="1BCB3778">
            <w:pPr>
              <w:keepNext w:val="0"/>
              <w:keepLines w:val="0"/>
              <w:pageBreakBefore w:val="0"/>
              <w:widowControl/>
              <w:kinsoku/>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A.基础服务工作</w:t>
            </w:r>
          </w:p>
        </w:tc>
        <w:tc>
          <w:tcPr>
            <w:tcW w:w="941" w:type="dxa"/>
            <w:vMerge w:val="restart"/>
            <w:shd w:val="clear" w:color="auto" w:fill="FFFFFF"/>
            <w:vAlign w:val="center"/>
          </w:tcPr>
          <w:p w14:paraId="0A5400C0">
            <w:pPr>
              <w:keepNext w:val="0"/>
              <w:keepLines w:val="0"/>
              <w:pageBreakBefore w:val="0"/>
              <w:widowControl/>
              <w:kinsoku/>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20%</w:t>
            </w:r>
          </w:p>
        </w:tc>
        <w:tc>
          <w:tcPr>
            <w:tcW w:w="1640" w:type="dxa"/>
            <w:shd w:val="clear" w:color="auto" w:fill="FFFFFF"/>
            <w:vAlign w:val="center"/>
          </w:tcPr>
          <w:p w14:paraId="3BAC50D8">
            <w:pPr>
              <w:keepNext w:val="0"/>
              <w:keepLines w:val="0"/>
              <w:pageBreakBefore w:val="0"/>
              <w:widowControl/>
              <w:kinsoku/>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A1.巡查与台账记录 (10分)</w:t>
            </w:r>
          </w:p>
        </w:tc>
        <w:tc>
          <w:tcPr>
            <w:tcW w:w="5148" w:type="dxa"/>
            <w:shd w:val="clear" w:color="auto" w:fill="FFFFFF"/>
            <w:vAlign w:val="center"/>
          </w:tcPr>
          <w:p w14:paraId="6E82B8F5">
            <w:pPr>
              <w:keepNext w:val="0"/>
              <w:keepLines w:val="0"/>
              <w:pageBreakBefore w:val="0"/>
              <w:widowControl/>
              <w:kinsoku/>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每日巡查次数、公共设施报修及时率、工作日志记录的完整性与规范性。（数据来源：巡更数据、工作台账抽查）</w:t>
            </w:r>
          </w:p>
        </w:tc>
      </w:tr>
      <w:tr w14:paraId="543D7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080" w:type="dxa"/>
            <w:vMerge w:val="continue"/>
            <w:shd w:val="clear" w:color="auto" w:fill="FFFFFF"/>
            <w:vAlign w:val="center"/>
          </w:tcPr>
          <w:p w14:paraId="6CC4B5A5">
            <w:pPr>
              <w:keepNext w:val="0"/>
              <w:keepLines w:val="0"/>
              <w:pageBreakBefore w:val="0"/>
              <w:widowControl/>
              <w:kinsoku/>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p>
        </w:tc>
        <w:tc>
          <w:tcPr>
            <w:tcW w:w="941" w:type="dxa"/>
            <w:vMerge w:val="continue"/>
            <w:shd w:val="clear" w:color="auto" w:fill="FFFFFF"/>
            <w:vAlign w:val="center"/>
          </w:tcPr>
          <w:p w14:paraId="07CC9D00">
            <w:pPr>
              <w:keepNext w:val="0"/>
              <w:keepLines w:val="0"/>
              <w:pageBreakBefore w:val="0"/>
              <w:widowControl/>
              <w:kinsoku/>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p>
        </w:tc>
        <w:tc>
          <w:tcPr>
            <w:tcW w:w="1640" w:type="dxa"/>
            <w:shd w:val="clear" w:color="auto" w:fill="FFFFFF"/>
            <w:vAlign w:val="center"/>
          </w:tcPr>
          <w:p w14:paraId="3389DCF2">
            <w:pPr>
              <w:keepNext w:val="0"/>
              <w:keepLines w:val="0"/>
              <w:pageBreakBefore w:val="0"/>
              <w:widowControl/>
              <w:kinsoku/>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A2.学生事务处理 (10分)</w:t>
            </w:r>
          </w:p>
        </w:tc>
        <w:tc>
          <w:tcPr>
            <w:tcW w:w="5148" w:type="dxa"/>
            <w:shd w:val="clear" w:color="auto" w:fill="FFFFFF"/>
            <w:vAlign w:val="center"/>
          </w:tcPr>
          <w:p w14:paraId="4265F4CA">
            <w:pPr>
              <w:keepNext w:val="0"/>
              <w:keepLines w:val="0"/>
              <w:pageBreakBefore w:val="0"/>
              <w:widowControl/>
              <w:kinsoku/>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钥匙借用、物品寄存等日常事务处理准确率100%，0投诉。（数据来源：事务处理记录、投诉核查）</w:t>
            </w:r>
          </w:p>
        </w:tc>
      </w:tr>
      <w:tr w14:paraId="2CD8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080" w:type="dxa"/>
            <w:vMerge w:val="restart"/>
            <w:shd w:val="clear" w:color="auto" w:fill="FFFFFF"/>
            <w:vAlign w:val="center"/>
          </w:tcPr>
          <w:p w14:paraId="3E97534E">
            <w:pPr>
              <w:keepNext w:val="0"/>
              <w:keepLines w:val="0"/>
              <w:pageBreakBefore w:val="0"/>
              <w:widowControl/>
              <w:kinsoku/>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B.育人工作实效</w:t>
            </w:r>
          </w:p>
        </w:tc>
        <w:tc>
          <w:tcPr>
            <w:tcW w:w="941" w:type="dxa"/>
            <w:vMerge w:val="restart"/>
            <w:shd w:val="clear" w:color="auto" w:fill="FFFFFF"/>
            <w:vAlign w:val="center"/>
          </w:tcPr>
          <w:p w14:paraId="6F1A90C1">
            <w:pPr>
              <w:keepNext w:val="0"/>
              <w:keepLines w:val="0"/>
              <w:pageBreakBefore w:val="0"/>
              <w:widowControl/>
              <w:kinsoku/>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40%</w:t>
            </w:r>
          </w:p>
        </w:tc>
        <w:tc>
          <w:tcPr>
            <w:tcW w:w="1640" w:type="dxa"/>
            <w:shd w:val="clear" w:color="auto" w:fill="FFFFFF"/>
            <w:vAlign w:val="center"/>
          </w:tcPr>
          <w:p w14:paraId="7EF37071">
            <w:pPr>
              <w:keepNext w:val="0"/>
              <w:keepLines w:val="0"/>
              <w:pageBreakBefore w:val="0"/>
              <w:widowControl/>
              <w:kinsoku/>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B1.学生关系与信息掌握 (15分)</w:t>
            </w:r>
          </w:p>
        </w:tc>
        <w:tc>
          <w:tcPr>
            <w:tcW w:w="5148" w:type="dxa"/>
            <w:shd w:val="clear" w:color="auto" w:fill="FFFFFF"/>
            <w:vAlign w:val="center"/>
          </w:tcPr>
          <w:p w14:paraId="241AFDF3">
            <w:pPr>
              <w:keepNext w:val="0"/>
              <w:keepLines w:val="0"/>
              <w:pageBreakBefore w:val="0"/>
              <w:widowControl/>
              <w:kinsoku/>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能叫出所辖楼栋大部分学生的姓名、专业、班级。掌握重点关注学生（如学业困难、经济困难、心理困扰）的基本情况，并建立动态档案。（数据来源：突击抽查、学生访谈、档案检查）</w:t>
            </w:r>
          </w:p>
        </w:tc>
      </w:tr>
      <w:tr w14:paraId="42A2E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080" w:type="dxa"/>
            <w:vMerge w:val="continue"/>
            <w:shd w:val="clear" w:color="auto" w:fill="FFFFFF"/>
            <w:vAlign w:val="center"/>
          </w:tcPr>
          <w:p w14:paraId="12B22C03">
            <w:pPr>
              <w:keepNext w:val="0"/>
              <w:keepLines w:val="0"/>
              <w:pageBreakBefore w:val="0"/>
              <w:widowControl/>
              <w:kinsoku/>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p>
        </w:tc>
        <w:tc>
          <w:tcPr>
            <w:tcW w:w="941" w:type="dxa"/>
            <w:vMerge w:val="continue"/>
            <w:shd w:val="clear" w:color="auto" w:fill="FFFFFF"/>
            <w:vAlign w:val="center"/>
          </w:tcPr>
          <w:p w14:paraId="67768EB2">
            <w:pPr>
              <w:keepNext w:val="0"/>
              <w:keepLines w:val="0"/>
              <w:pageBreakBefore w:val="0"/>
              <w:widowControl/>
              <w:kinsoku/>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p>
        </w:tc>
        <w:tc>
          <w:tcPr>
            <w:tcW w:w="1640" w:type="dxa"/>
            <w:shd w:val="clear" w:color="auto" w:fill="FFFFFF"/>
            <w:vAlign w:val="center"/>
          </w:tcPr>
          <w:p w14:paraId="51A40E67">
            <w:pPr>
              <w:keepNext w:val="0"/>
              <w:keepLines w:val="0"/>
              <w:pageBreakBefore w:val="0"/>
              <w:widowControl/>
              <w:kinsoku/>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B2. 五育并举活动组织 (15分)</w:t>
            </w:r>
          </w:p>
        </w:tc>
        <w:tc>
          <w:tcPr>
            <w:tcW w:w="5148" w:type="dxa"/>
            <w:shd w:val="clear" w:color="auto" w:fill="FFFFFF"/>
            <w:vAlign w:val="center"/>
          </w:tcPr>
          <w:p w14:paraId="1DCAB440">
            <w:pPr>
              <w:keepNext w:val="0"/>
              <w:keepLines w:val="0"/>
              <w:pageBreakBefore w:val="0"/>
              <w:widowControl/>
              <w:kinsoku/>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每月至少组织1次小型社区活动（如读书会、节日晚会、体育比赛、劳动实践）。要求有方案、有宣传、有总结、有参与度数据。（数据来源：活动方案、图文总结、参与学生名单）</w:t>
            </w:r>
          </w:p>
        </w:tc>
      </w:tr>
      <w:tr w14:paraId="4C4F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080" w:type="dxa"/>
            <w:vMerge w:val="continue"/>
            <w:shd w:val="clear" w:color="auto" w:fill="FFFFFF"/>
            <w:vAlign w:val="center"/>
          </w:tcPr>
          <w:p w14:paraId="49F013F3">
            <w:pPr>
              <w:keepNext w:val="0"/>
              <w:keepLines w:val="0"/>
              <w:pageBreakBefore w:val="0"/>
              <w:widowControl/>
              <w:kinsoku/>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p>
        </w:tc>
        <w:tc>
          <w:tcPr>
            <w:tcW w:w="941" w:type="dxa"/>
            <w:vMerge w:val="continue"/>
            <w:shd w:val="clear" w:color="auto" w:fill="FFFFFF"/>
            <w:vAlign w:val="center"/>
          </w:tcPr>
          <w:p w14:paraId="47B10161">
            <w:pPr>
              <w:keepNext w:val="0"/>
              <w:keepLines w:val="0"/>
              <w:pageBreakBefore w:val="0"/>
              <w:widowControl/>
              <w:kinsoku/>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p>
        </w:tc>
        <w:tc>
          <w:tcPr>
            <w:tcW w:w="1640" w:type="dxa"/>
            <w:shd w:val="clear" w:color="auto" w:fill="FFFFFF"/>
            <w:vAlign w:val="center"/>
          </w:tcPr>
          <w:p w14:paraId="2C4328A0">
            <w:pPr>
              <w:keepNext w:val="0"/>
              <w:keepLines w:val="0"/>
              <w:pageBreakBefore w:val="0"/>
              <w:widowControl/>
              <w:kinsoku/>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B3.危机预警与干预 (10分)</w:t>
            </w:r>
          </w:p>
        </w:tc>
        <w:tc>
          <w:tcPr>
            <w:tcW w:w="5148" w:type="dxa"/>
            <w:shd w:val="clear" w:color="auto" w:fill="FFFFFF"/>
            <w:vAlign w:val="center"/>
          </w:tcPr>
          <w:p w14:paraId="76BB14B5">
            <w:pPr>
              <w:keepNext w:val="0"/>
              <w:keepLines w:val="0"/>
              <w:pageBreakBefore w:val="0"/>
              <w:widowControl/>
              <w:kinsoku/>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能及时发现并初步处理学生纠纷、心理危机、安全隐患等苗头性问题，并按规定流程第一时间上报。（数据来源：预警报告记录、班主任/学生科核实）</w:t>
            </w:r>
          </w:p>
        </w:tc>
      </w:tr>
      <w:tr w14:paraId="327B3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080" w:type="dxa"/>
            <w:vMerge w:val="restart"/>
            <w:shd w:val="clear" w:color="auto" w:fill="FFFFFF"/>
            <w:vAlign w:val="center"/>
          </w:tcPr>
          <w:p w14:paraId="24423EAA">
            <w:pPr>
              <w:keepNext w:val="0"/>
              <w:keepLines w:val="0"/>
              <w:pageBreakBefore w:val="0"/>
              <w:widowControl/>
              <w:kinsoku/>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C.学生满意度</w:t>
            </w:r>
          </w:p>
        </w:tc>
        <w:tc>
          <w:tcPr>
            <w:tcW w:w="941" w:type="dxa"/>
            <w:vMerge w:val="restart"/>
            <w:shd w:val="clear" w:color="auto" w:fill="FFFFFF"/>
            <w:vAlign w:val="center"/>
          </w:tcPr>
          <w:p w14:paraId="1B5D3EBC">
            <w:pPr>
              <w:keepNext w:val="0"/>
              <w:keepLines w:val="0"/>
              <w:pageBreakBefore w:val="0"/>
              <w:widowControl/>
              <w:kinsoku/>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20%</w:t>
            </w:r>
          </w:p>
        </w:tc>
        <w:tc>
          <w:tcPr>
            <w:tcW w:w="1640" w:type="dxa"/>
            <w:shd w:val="clear" w:color="auto" w:fill="FFFFFF"/>
            <w:vAlign w:val="center"/>
          </w:tcPr>
          <w:p w14:paraId="0D294476">
            <w:pPr>
              <w:keepNext w:val="0"/>
              <w:keepLines w:val="0"/>
              <w:pageBreakBefore w:val="0"/>
              <w:widowControl/>
              <w:kinsoku/>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C1.满意度问卷调查 (10分)</w:t>
            </w:r>
          </w:p>
        </w:tc>
        <w:tc>
          <w:tcPr>
            <w:tcW w:w="5148" w:type="dxa"/>
            <w:shd w:val="clear" w:color="auto" w:fill="FFFFFF"/>
            <w:vAlign w:val="center"/>
          </w:tcPr>
          <w:p w14:paraId="624BD74A">
            <w:pPr>
              <w:keepNext w:val="0"/>
              <w:keepLines w:val="0"/>
              <w:pageBreakBefore w:val="0"/>
              <w:widowControl/>
              <w:kinsoku/>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每季度由学校组织匿名问卷调查，内容涵盖教官亲和度、工作效率、问题解决能力、活动吸引力等。（数据来源：第三方问卷数据）</w:t>
            </w:r>
          </w:p>
        </w:tc>
      </w:tr>
      <w:tr w14:paraId="7C98D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080" w:type="dxa"/>
            <w:vMerge w:val="continue"/>
            <w:shd w:val="clear" w:color="auto" w:fill="FFFFFF"/>
            <w:vAlign w:val="center"/>
          </w:tcPr>
          <w:p w14:paraId="1AE49961">
            <w:pPr>
              <w:keepNext w:val="0"/>
              <w:keepLines w:val="0"/>
              <w:pageBreakBefore w:val="0"/>
              <w:widowControl/>
              <w:kinsoku/>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p>
        </w:tc>
        <w:tc>
          <w:tcPr>
            <w:tcW w:w="941" w:type="dxa"/>
            <w:vMerge w:val="continue"/>
            <w:shd w:val="clear" w:color="auto" w:fill="FFFFFF"/>
            <w:vAlign w:val="center"/>
          </w:tcPr>
          <w:p w14:paraId="6BE40967">
            <w:pPr>
              <w:keepNext w:val="0"/>
              <w:keepLines w:val="0"/>
              <w:pageBreakBefore w:val="0"/>
              <w:widowControl/>
              <w:kinsoku/>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p>
        </w:tc>
        <w:tc>
          <w:tcPr>
            <w:tcW w:w="1640" w:type="dxa"/>
            <w:shd w:val="clear" w:color="auto" w:fill="FFFFFF"/>
            <w:vAlign w:val="center"/>
          </w:tcPr>
          <w:p w14:paraId="65D15ED1">
            <w:pPr>
              <w:keepNext w:val="0"/>
              <w:keepLines w:val="0"/>
              <w:pageBreakBefore w:val="0"/>
              <w:widowControl/>
              <w:kinsoku/>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C2.投诉与表扬 (10分)</w:t>
            </w:r>
          </w:p>
        </w:tc>
        <w:tc>
          <w:tcPr>
            <w:tcW w:w="5148" w:type="dxa"/>
            <w:shd w:val="clear" w:color="auto" w:fill="FFFFFF"/>
            <w:vAlign w:val="center"/>
          </w:tcPr>
          <w:p w14:paraId="561C0B80">
            <w:pPr>
              <w:keepNext w:val="0"/>
              <w:keepLines w:val="0"/>
              <w:pageBreakBefore w:val="0"/>
              <w:widowControl/>
              <w:kinsoku/>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每发生一次经核实的有效投诉扣1分；收到学生书面或实质性表扬每次加1分。（数据来源：学生科投诉渠道、表扬信/锦旗等）</w:t>
            </w:r>
          </w:p>
        </w:tc>
      </w:tr>
      <w:tr w14:paraId="2D536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080" w:type="dxa"/>
            <w:vMerge w:val="restart"/>
            <w:shd w:val="clear" w:color="auto" w:fill="FFFFFF"/>
            <w:vAlign w:val="center"/>
          </w:tcPr>
          <w:p w14:paraId="1D92A10B">
            <w:pPr>
              <w:keepNext w:val="0"/>
              <w:keepLines w:val="0"/>
              <w:pageBreakBefore w:val="0"/>
              <w:widowControl/>
              <w:kinsoku/>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D.协同与创新</w:t>
            </w:r>
          </w:p>
        </w:tc>
        <w:tc>
          <w:tcPr>
            <w:tcW w:w="941" w:type="dxa"/>
            <w:vMerge w:val="restart"/>
            <w:shd w:val="clear" w:color="auto" w:fill="FFFFFF"/>
            <w:vAlign w:val="center"/>
          </w:tcPr>
          <w:p w14:paraId="052ADACB">
            <w:pPr>
              <w:keepNext w:val="0"/>
              <w:keepLines w:val="0"/>
              <w:pageBreakBefore w:val="0"/>
              <w:widowControl/>
              <w:kinsoku/>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20%</w:t>
            </w:r>
          </w:p>
        </w:tc>
        <w:tc>
          <w:tcPr>
            <w:tcW w:w="1640" w:type="dxa"/>
            <w:shd w:val="clear" w:color="auto" w:fill="FFFFFF"/>
            <w:vAlign w:val="center"/>
          </w:tcPr>
          <w:p w14:paraId="7B16E358">
            <w:pPr>
              <w:keepNext w:val="0"/>
              <w:keepLines w:val="0"/>
              <w:pageBreakBefore w:val="0"/>
              <w:widowControl/>
              <w:kinsoku/>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D1.协同工作配合度 (10分)</w:t>
            </w:r>
          </w:p>
        </w:tc>
        <w:tc>
          <w:tcPr>
            <w:tcW w:w="5148" w:type="dxa"/>
            <w:shd w:val="clear" w:color="auto" w:fill="FFFFFF"/>
            <w:vAlign w:val="center"/>
          </w:tcPr>
          <w:p w14:paraId="1849DA26">
            <w:pPr>
              <w:keepNext w:val="0"/>
              <w:keepLines w:val="0"/>
              <w:pageBreakBefore w:val="0"/>
              <w:widowControl/>
              <w:kinsoku/>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与班主任/相关部门协同流畅，积极参加学校组织的相关会议和培训，信息传达及时准确。（数据来源：班主任/相关部门评价、会议签到记录）</w:t>
            </w:r>
          </w:p>
        </w:tc>
      </w:tr>
      <w:tr w14:paraId="39C6A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080" w:type="dxa"/>
            <w:vMerge w:val="continue"/>
            <w:shd w:val="clear" w:color="auto" w:fill="FFFFFF"/>
            <w:vAlign w:val="center"/>
          </w:tcPr>
          <w:p w14:paraId="55E96E90">
            <w:pPr>
              <w:keepNext w:val="0"/>
              <w:keepLines w:val="0"/>
              <w:pageBreakBefore w:val="0"/>
              <w:widowControl/>
              <w:kinsoku/>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p>
        </w:tc>
        <w:tc>
          <w:tcPr>
            <w:tcW w:w="941" w:type="dxa"/>
            <w:vMerge w:val="continue"/>
            <w:shd w:val="clear" w:color="auto" w:fill="FFFFFF"/>
            <w:vAlign w:val="center"/>
          </w:tcPr>
          <w:p w14:paraId="0125198F">
            <w:pPr>
              <w:keepNext w:val="0"/>
              <w:keepLines w:val="0"/>
              <w:pageBreakBefore w:val="0"/>
              <w:widowControl/>
              <w:kinsoku/>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p>
        </w:tc>
        <w:tc>
          <w:tcPr>
            <w:tcW w:w="1640" w:type="dxa"/>
            <w:shd w:val="clear" w:color="auto" w:fill="FFFFFF"/>
            <w:vAlign w:val="center"/>
          </w:tcPr>
          <w:p w14:paraId="46F02583">
            <w:pPr>
              <w:keepNext w:val="0"/>
              <w:keepLines w:val="0"/>
              <w:pageBreakBefore w:val="0"/>
              <w:widowControl/>
              <w:kinsoku/>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D2.工作创新与特色项目 (10分)</w:t>
            </w:r>
          </w:p>
        </w:tc>
        <w:tc>
          <w:tcPr>
            <w:tcW w:w="5148" w:type="dxa"/>
            <w:shd w:val="clear" w:color="auto" w:fill="FFFFFF"/>
            <w:vAlign w:val="center"/>
          </w:tcPr>
          <w:p w14:paraId="7D8DB89D">
            <w:pPr>
              <w:keepNext w:val="0"/>
              <w:keepLines w:val="0"/>
              <w:pageBreakBefore w:val="0"/>
              <w:widowControl/>
              <w:kinsoku/>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能结合楼栋特点，创造性地开展工作，形成可推广的特色工作法或品牌项目（如创立“朋辈导师团”、“特色文化楼层”）。（数据来源：项目方案与成果报告、校级及以上表彰）</w:t>
            </w:r>
          </w:p>
        </w:tc>
      </w:tr>
    </w:tbl>
    <w:p w14:paraId="61FD6DD8">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bookmarkStart w:id="35" w:name="_Toc32271"/>
      <w:r>
        <w:rPr>
          <w:rFonts w:hint="default" w:ascii="宋体" w:hAnsi="宋体" w:eastAsia="宋体" w:cs="宋体"/>
          <w:color w:val="000000" w:themeColor="text1"/>
          <w:sz w:val="20"/>
          <w:szCs w:val="20"/>
          <w:lang w:val="en-US" w:eastAsia="zh-CN"/>
          <w14:textFill>
            <w14:solidFill>
              <w14:schemeClr w14:val="tx1"/>
            </w14:solidFill>
          </w14:textFill>
        </w:rPr>
        <w:t>考核流程与实施</w:t>
      </w:r>
      <w:bookmarkEnd w:id="35"/>
    </w:p>
    <w:p w14:paraId="254C7CBA">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r>
        <w:rPr>
          <w:rFonts w:hint="default" w:ascii="宋体" w:hAnsi="宋体" w:eastAsia="宋体" w:cs="宋体"/>
          <w:color w:val="000000" w:themeColor="text1"/>
          <w:sz w:val="20"/>
          <w:szCs w:val="20"/>
          <w14:textFill>
            <w14:solidFill>
              <w14:schemeClr w14:val="tx1"/>
            </w14:solidFill>
          </w14:textFill>
        </w:rPr>
        <w:t>学校</w:t>
      </w:r>
      <w:r>
        <w:rPr>
          <w:rFonts w:hint="eastAsia" w:ascii="宋体" w:hAnsi="宋体" w:eastAsia="宋体" w:cs="宋体"/>
          <w:color w:val="000000" w:themeColor="text1"/>
          <w:sz w:val="20"/>
          <w:szCs w:val="20"/>
          <w:lang w:val="en-US" w:eastAsia="zh-CN"/>
          <w14:textFill>
            <w14:solidFill>
              <w14:schemeClr w14:val="tx1"/>
            </w14:solidFill>
          </w14:textFill>
        </w:rPr>
        <w:t>学生科进行考核。</w:t>
      </w:r>
    </w:p>
    <w:p w14:paraId="23881998">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textAlignment w:val="baseline"/>
        <w:rPr>
          <w:rFonts w:hint="eastAsia" w:ascii="宋体" w:hAnsi="宋体" w:eastAsia="宋体" w:cs="宋体"/>
          <w:color w:val="000000" w:themeColor="text1"/>
          <w:sz w:val="20"/>
          <w:szCs w:val="20"/>
          <w:lang w:eastAsia="zh-CN"/>
          <w14:textFill>
            <w14:solidFill>
              <w14:schemeClr w14:val="tx1"/>
            </w14:solidFill>
          </w14:textFill>
        </w:rPr>
      </w:pPr>
      <w:r>
        <w:rPr>
          <w:rFonts w:hint="default" w:ascii="宋体" w:hAnsi="宋体" w:eastAsia="宋体" w:cs="宋体"/>
          <w:color w:val="000000" w:themeColor="text1"/>
          <w:sz w:val="20"/>
          <w:szCs w:val="20"/>
          <w14:textFill>
            <w14:solidFill>
              <w14:schemeClr w14:val="tx1"/>
            </w14:solidFill>
          </w14:textFill>
        </w:rPr>
        <w:t>数据收集：每月末，</w:t>
      </w:r>
      <w:r>
        <w:rPr>
          <w:rFonts w:hint="eastAsia" w:ascii="宋体" w:hAnsi="宋体" w:eastAsia="宋体" w:cs="宋体"/>
          <w:color w:val="000000" w:themeColor="text1"/>
          <w:sz w:val="20"/>
          <w:szCs w:val="20"/>
          <w:lang w:val="en-US" w:eastAsia="zh-CN"/>
          <w14:textFill>
            <w14:solidFill>
              <w14:schemeClr w14:val="tx1"/>
            </w14:solidFill>
          </w14:textFill>
        </w:rPr>
        <w:t>学生科</w:t>
      </w:r>
      <w:r>
        <w:rPr>
          <w:rFonts w:hint="default" w:ascii="宋体" w:hAnsi="宋体" w:eastAsia="宋体" w:cs="宋体"/>
          <w:color w:val="000000" w:themeColor="text1"/>
          <w:sz w:val="20"/>
          <w:szCs w:val="20"/>
          <w14:textFill>
            <w14:solidFill>
              <w14:schemeClr w14:val="tx1"/>
            </w14:solidFill>
          </w14:textFill>
        </w:rPr>
        <w:t>根据上述KPI指标，从各数据收集信息</w:t>
      </w:r>
      <w:r>
        <w:rPr>
          <w:rFonts w:hint="eastAsia" w:ascii="宋体" w:hAnsi="宋体" w:eastAsia="宋体" w:cs="宋体"/>
          <w:color w:val="000000" w:themeColor="text1"/>
          <w:sz w:val="20"/>
          <w:szCs w:val="20"/>
          <w:lang w:eastAsia="zh-CN"/>
          <w14:textFill>
            <w14:solidFill>
              <w14:schemeClr w14:val="tx1"/>
            </w14:solidFill>
          </w14:textFill>
        </w:rPr>
        <w:t>。</w:t>
      </w:r>
    </w:p>
    <w:p w14:paraId="401DC1BC">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textAlignment w:val="baseline"/>
        <w:rPr>
          <w:rFonts w:hint="eastAsia" w:ascii="宋体" w:hAnsi="宋体" w:eastAsia="宋体" w:cs="宋体"/>
          <w:color w:val="000000" w:themeColor="text1"/>
          <w:sz w:val="20"/>
          <w:szCs w:val="20"/>
          <w14:textFill>
            <w14:solidFill>
              <w14:schemeClr w14:val="tx1"/>
            </w14:solidFill>
          </w14:textFill>
        </w:rPr>
      </w:pPr>
      <w:r>
        <w:rPr>
          <w:rFonts w:hint="default" w:ascii="宋体" w:hAnsi="宋体" w:eastAsia="宋体" w:cs="宋体"/>
          <w:color w:val="000000" w:themeColor="text1"/>
          <w:sz w:val="20"/>
          <w:szCs w:val="20"/>
          <w14:textFill>
            <w14:solidFill>
              <w14:schemeClr w14:val="tx1"/>
            </w14:solidFill>
          </w14:textFill>
        </w:rPr>
        <w:t>月度考核：</w:t>
      </w:r>
      <w:r>
        <w:rPr>
          <w:rFonts w:hint="eastAsia" w:ascii="宋体" w:hAnsi="宋体" w:eastAsia="宋体" w:cs="宋体"/>
          <w:color w:val="000000" w:themeColor="text1"/>
          <w:sz w:val="20"/>
          <w:szCs w:val="20"/>
          <w:lang w:val="en-US" w:eastAsia="zh-CN"/>
          <w14:textFill>
            <w14:solidFill>
              <w14:schemeClr w14:val="tx1"/>
            </w14:solidFill>
          </w14:textFill>
        </w:rPr>
        <w:t>学生科</w:t>
      </w:r>
      <w:r>
        <w:rPr>
          <w:rFonts w:hint="default" w:ascii="宋体" w:hAnsi="宋体" w:eastAsia="宋体" w:cs="宋体"/>
          <w:color w:val="000000" w:themeColor="text1"/>
          <w:sz w:val="20"/>
          <w:szCs w:val="20"/>
          <w14:textFill>
            <w14:solidFill>
              <w14:schemeClr w14:val="tx1"/>
            </w14:solidFill>
          </w14:textFill>
        </w:rPr>
        <w:t>根据数据对每位</w:t>
      </w:r>
      <w:r>
        <w:rPr>
          <w:rFonts w:hint="eastAsia" w:ascii="宋体" w:hAnsi="宋体" w:eastAsia="宋体" w:cs="宋体"/>
          <w:color w:val="000000" w:themeColor="text1"/>
          <w:sz w:val="20"/>
          <w:szCs w:val="20"/>
          <w:lang w:eastAsia="zh-CN"/>
          <w14:textFill>
            <w14:solidFill>
              <w14:schemeClr w14:val="tx1"/>
            </w14:solidFill>
          </w14:textFill>
        </w:rPr>
        <w:t>教官</w:t>
      </w:r>
      <w:r>
        <w:rPr>
          <w:rFonts w:hint="default" w:ascii="宋体" w:hAnsi="宋体" w:eastAsia="宋体" w:cs="宋体"/>
          <w:color w:val="000000" w:themeColor="text1"/>
          <w:sz w:val="20"/>
          <w:szCs w:val="20"/>
          <w14:textFill>
            <w14:solidFill>
              <w14:schemeClr w14:val="tx1"/>
            </w14:solidFill>
          </w14:textFill>
        </w:rPr>
        <w:t>进行打分，形成《月度绩效考核表》，反馈给</w:t>
      </w:r>
      <w:r>
        <w:rPr>
          <w:rFonts w:hint="eastAsia" w:ascii="宋体" w:hAnsi="宋体" w:eastAsia="宋体" w:cs="宋体"/>
          <w:color w:val="000000" w:themeColor="text1"/>
          <w:sz w:val="20"/>
          <w:szCs w:val="20"/>
          <w:lang w:eastAsia="zh-CN"/>
          <w14:textFill>
            <w14:solidFill>
              <w14:schemeClr w14:val="tx1"/>
            </w14:solidFill>
          </w14:textFill>
        </w:rPr>
        <w:t>教官</w:t>
      </w:r>
      <w:r>
        <w:rPr>
          <w:rFonts w:hint="default" w:ascii="宋体" w:hAnsi="宋体" w:eastAsia="宋体" w:cs="宋体"/>
          <w:color w:val="000000" w:themeColor="text1"/>
          <w:sz w:val="20"/>
          <w:szCs w:val="20"/>
          <w14:textFill>
            <w14:solidFill>
              <w14:schemeClr w14:val="tx1"/>
            </w14:solidFill>
          </w14:textFill>
        </w:rPr>
        <w:t>本人及其所属服务单位项目经理。</w:t>
      </w:r>
    </w:p>
    <w:p w14:paraId="6FA51426">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textAlignment w:val="baseline"/>
        <w:rPr>
          <w:rFonts w:hint="eastAsia" w:ascii="宋体" w:hAnsi="宋体" w:eastAsia="宋体" w:cs="宋体"/>
          <w:color w:val="000000" w:themeColor="text1"/>
          <w:sz w:val="20"/>
          <w:szCs w:val="20"/>
          <w14:textFill>
            <w14:solidFill>
              <w14:schemeClr w14:val="tx1"/>
            </w14:solidFill>
          </w14:textFill>
        </w:rPr>
      </w:pPr>
      <w:r>
        <w:rPr>
          <w:rFonts w:hint="default" w:ascii="宋体" w:hAnsi="宋体" w:eastAsia="宋体" w:cs="宋体"/>
          <w:color w:val="000000" w:themeColor="text1"/>
          <w:sz w:val="20"/>
          <w:szCs w:val="20"/>
          <w14:textFill>
            <w14:solidFill>
              <w14:schemeClr w14:val="tx1"/>
            </w14:solidFill>
          </w14:textFill>
        </w:rPr>
        <w:t>面谈与反馈：项目经理需根据考核结果与</w:t>
      </w:r>
      <w:r>
        <w:rPr>
          <w:rFonts w:hint="eastAsia" w:ascii="宋体" w:hAnsi="宋体" w:eastAsia="宋体" w:cs="宋体"/>
          <w:color w:val="000000" w:themeColor="text1"/>
          <w:sz w:val="20"/>
          <w:szCs w:val="20"/>
          <w:lang w:eastAsia="zh-CN"/>
          <w14:textFill>
            <w14:solidFill>
              <w14:schemeClr w14:val="tx1"/>
            </w14:solidFill>
          </w14:textFill>
        </w:rPr>
        <w:t>教官</w:t>
      </w:r>
      <w:r>
        <w:rPr>
          <w:rFonts w:hint="default" w:ascii="宋体" w:hAnsi="宋体" w:eastAsia="宋体" w:cs="宋体"/>
          <w:color w:val="000000" w:themeColor="text1"/>
          <w:sz w:val="20"/>
          <w:szCs w:val="20"/>
          <w14:textFill>
            <w14:solidFill>
              <w14:schemeClr w14:val="tx1"/>
            </w14:solidFill>
          </w14:textFill>
        </w:rPr>
        <w:t>进行绩效面谈，肯定成绩，指出不足，并制定改进计划（PDCA）。</w:t>
      </w:r>
    </w:p>
    <w:p w14:paraId="17123B03">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textAlignment w:val="baseline"/>
        <w:rPr>
          <w:rFonts w:hint="default" w:ascii="宋体" w:hAnsi="宋体" w:eastAsia="宋体" w:cs="宋体"/>
          <w:color w:val="000000" w:themeColor="text1"/>
          <w:sz w:val="20"/>
          <w:szCs w:val="20"/>
          <w14:textFill>
            <w14:solidFill>
              <w14:schemeClr w14:val="tx1"/>
            </w14:solidFill>
          </w14:textFill>
        </w:rPr>
      </w:pPr>
      <w:r>
        <w:rPr>
          <w:rFonts w:hint="default" w:ascii="宋体" w:hAnsi="宋体" w:eastAsia="宋体" w:cs="宋体"/>
          <w:color w:val="000000" w:themeColor="text1"/>
          <w:sz w:val="20"/>
          <w:szCs w:val="20"/>
          <w14:textFill>
            <w14:solidFill>
              <w14:schemeClr w14:val="tx1"/>
            </w14:solidFill>
          </w14:textFill>
        </w:rPr>
        <w:t>季度/年度评定：年度总评得分取各月度考核的平均分，并结合年度满意度调查结果进行综合评定。</w:t>
      </w:r>
    </w:p>
    <w:p w14:paraId="4959B082">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textAlignment w:val="baseline"/>
        <w:rPr>
          <w:rFonts w:hint="default" w:ascii="宋体" w:hAnsi="宋体" w:eastAsia="宋体" w:cs="宋体"/>
          <w:color w:val="000000" w:themeColor="text1"/>
          <w:sz w:val="20"/>
          <w:szCs w:val="20"/>
          <w:lang w:val="en-US" w:eastAsia="zh-CN"/>
          <w14:textFill>
            <w14:solidFill>
              <w14:schemeClr w14:val="tx1"/>
            </w14:solidFill>
          </w14:textFill>
        </w:rPr>
      </w:pPr>
      <w:bookmarkStart w:id="36" w:name="_Toc29471"/>
      <w:r>
        <w:rPr>
          <w:rFonts w:hint="default" w:ascii="宋体" w:hAnsi="宋体" w:eastAsia="宋体" w:cs="宋体"/>
          <w:color w:val="000000" w:themeColor="text1"/>
          <w:sz w:val="20"/>
          <w:szCs w:val="20"/>
          <w:lang w:val="en-US" w:eastAsia="zh-CN"/>
          <w14:textFill>
            <w14:solidFill>
              <w14:schemeClr w14:val="tx1"/>
            </w14:solidFill>
          </w14:textFill>
        </w:rPr>
        <w:t>考核结果应用</w:t>
      </w:r>
      <w:bookmarkEnd w:id="36"/>
    </w:p>
    <w:p w14:paraId="13C416A5">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textAlignment w:val="baseline"/>
        <w:rPr>
          <w:rFonts w:hint="eastAsia" w:ascii="宋体" w:hAnsi="宋体" w:eastAsia="宋体" w:cs="宋体"/>
          <w:color w:val="000000" w:themeColor="text1"/>
          <w:sz w:val="20"/>
          <w:szCs w:val="20"/>
          <w14:textFill>
            <w14:solidFill>
              <w14:schemeClr w14:val="tx1"/>
            </w14:solidFill>
          </w14:textFill>
        </w:rPr>
      </w:pPr>
      <w:r>
        <w:rPr>
          <w:rFonts w:hint="default" w:ascii="宋体" w:hAnsi="宋体" w:eastAsia="宋体" w:cs="宋体"/>
          <w:color w:val="000000" w:themeColor="text1"/>
          <w:sz w:val="20"/>
          <w:szCs w:val="20"/>
          <w14:textFill>
            <w14:solidFill>
              <w14:schemeClr w14:val="tx1"/>
            </w14:solidFill>
          </w14:textFill>
        </w:rPr>
        <w:t>考核结果与以下方面直接挂钩，确保激励与约束并存：</w:t>
      </w:r>
    </w:p>
    <w:p w14:paraId="341C9543">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textAlignment w:val="baseline"/>
        <w:rPr>
          <w:rFonts w:hint="eastAsia" w:ascii="宋体" w:hAnsi="宋体" w:eastAsia="宋体" w:cs="宋体"/>
          <w:color w:val="000000" w:themeColor="text1"/>
          <w:sz w:val="20"/>
          <w:szCs w:val="20"/>
          <w14:textFill>
            <w14:solidFill>
              <w14:schemeClr w14:val="tx1"/>
            </w14:solidFill>
          </w14:textFill>
        </w:rPr>
      </w:pPr>
      <w:r>
        <w:rPr>
          <w:rFonts w:hint="default" w:ascii="宋体" w:hAnsi="宋体" w:eastAsia="宋体" w:cs="宋体"/>
          <w:color w:val="000000" w:themeColor="text1"/>
          <w:sz w:val="20"/>
          <w:szCs w:val="20"/>
          <w14:textFill>
            <w14:solidFill>
              <w14:schemeClr w14:val="tx1"/>
            </w14:solidFill>
          </w14:textFill>
        </w:rPr>
        <w:t>服务费支付（最强约束）</w:t>
      </w:r>
    </w:p>
    <w:p w14:paraId="37E5607B">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textAlignment w:val="baseline"/>
        <w:rPr>
          <w:rFonts w:hint="eastAsia" w:ascii="宋体" w:hAnsi="宋体" w:eastAsia="宋体" w:cs="宋体"/>
          <w:color w:val="000000" w:themeColor="text1"/>
          <w:sz w:val="20"/>
          <w:szCs w:val="20"/>
          <w14:textFill>
            <w14:solidFill>
              <w14:schemeClr w14:val="tx1"/>
            </w14:solidFill>
          </w14:textFill>
        </w:rPr>
      </w:pPr>
      <w:r>
        <w:rPr>
          <w:rFonts w:hint="default" w:ascii="宋体" w:hAnsi="宋体" w:eastAsia="宋体" w:cs="宋体"/>
          <w:color w:val="000000" w:themeColor="text1"/>
          <w:sz w:val="20"/>
          <w:szCs w:val="20"/>
          <w14:textFill>
            <w14:solidFill>
              <w14:schemeClr w14:val="tx1"/>
            </w14:solidFill>
          </w14:textFill>
        </w:rPr>
        <w:t>将考核结果折算成服务费支付系数。</w:t>
      </w:r>
    </w:p>
    <w:p w14:paraId="75624A42">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textAlignment w:val="baseline"/>
        <w:rPr>
          <w:rFonts w:hint="eastAsia" w:ascii="宋体" w:hAnsi="宋体" w:eastAsia="宋体" w:cs="宋体"/>
          <w:color w:val="000000" w:themeColor="text1"/>
          <w:sz w:val="20"/>
          <w:szCs w:val="20"/>
          <w14:textFill>
            <w14:solidFill>
              <w14:schemeClr w14:val="tx1"/>
            </w14:solidFill>
          </w14:textFill>
        </w:rPr>
      </w:pPr>
      <w:r>
        <w:rPr>
          <w:rFonts w:hint="default" w:ascii="宋体" w:hAnsi="宋体" w:eastAsia="宋体" w:cs="宋体"/>
          <w:color w:val="000000" w:themeColor="text1"/>
          <w:sz w:val="20"/>
          <w:szCs w:val="20"/>
          <w14:textFill>
            <w14:solidFill>
              <w14:schemeClr w14:val="tx1"/>
            </w14:solidFill>
          </w14:textFill>
        </w:rPr>
        <w:t>示例：</w:t>
      </w:r>
      <w:r>
        <w:rPr>
          <w:rFonts w:hint="eastAsia" w:ascii="宋体" w:hAnsi="宋体" w:eastAsia="宋体" w:cs="宋体"/>
          <w:color w:val="000000" w:themeColor="text1"/>
          <w:sz w:val="20"/>
          <w:szCs w:val="20"/>
          <w:lang w:val="en-US" w:eastAsia="zh-CN"/>
          <w14:textFill>
            <w14:solidFill>
              <w14:schemeClr w14:val="tx1"/>
            </w14:solidFill>
          </w14:textFill>
        </w:rPr>
        <w:t>月</w:t>
      </w:r>
      <w:r>
        <w:rPr>
          <w:rFonts w:hint="default" w:ascii="宋体" w:hAnsi="宋体" w:eastAsia="宋体" w:cs="宋体"/>
          <w:color w:val="000000" w:themeColor="text1"/>
          <w:sz w:val="20"/>
          <w:szCs w:val="20"/>
          <w14:textFill>
            <w14:solidFill>
              <w14:schemeClr w14:val="tx1"/>
            </w14:solidFill>
          </w14:textFill>
        </w:rPr>
        <w:t xml:space="preserve">度考核得分 ≥ </w:t>
      </w:r>
      <w:r>
        <w:rPr>
          <w:rFonts w:hint="eastAsia" w:ascii="宋体" w:hAnsi="宋体" w:eastAsia="宋体" w:cs="宋体"/>
          <w:color w:val="000000" w:themeColor="text1"/>
          <w:sz w:val="20"/>
          <w:szCs w:val="20"/>
          <w:lang w:val="en-US" w:eastAsia="zh-CN"/>
          <w14:textFill>
            <w14:solidFill>
              <w14:schemeClr w14:val="tx1"/>
            </w14:solidFill>
          </w14:textFill>
        </w:rPr>
        <w:t>8</w:t>
      </w:r>
      <w:r>
        <w:rPr>
          <w:rFonts w:hint="default" w:ascii="宋体" w:hAnsi="宋体" w:eastAsia="宋体" w:cs="宋体"/>
          <w:color w:val="000000" w:themeColor="text1"/>
          <w:sz w:val="20"/>
          <w:szCs w:val="20"/>
          <w14:textFill>
            <w14:solidFill>
              <w14:schemeClr w14:val="tx1"/>
            </w14:solidFill>
          </w14:textFill>
        </w:rPr>
        <w:t>0分，支付合同约定100%服务费；</w:t>
      </w:r>
      <w:r>
        <w:rPr>
          <w:rFonts w:hint="eastAsia" w:ascii="宋体" w:hAnsi="宋体" w:eastAsia="宋体" w:cs="宋体"/>
          <w:color w:val="000000" w:themeColor="text1"/>
          <w:sz w:val="20"/>
          <w:szCs w:val="20"/>
          <w:lang w:val="en-US" w:eastAsia="zh-CN"/>
          <w14:textFill>
            <w14:solidFill>
              <w14:schemeClr w14:val="tx1"/>
            </w14:solidFill>
          </w14:textFill>
        </w:rPr>
        <w:t>79</w:t>
      </w:r>
      <w:r>
        <w:rPr>
          <w:rFonts w:hint="default" w:ascii="宋体" w:hAnsi="宋体" w:eastAsia="宋体" w:cs="宋体"/>
          <w:color w:val="000000" w:themeColor="text1"/>
          <w:sz w:val="20"/>
          <w:szCs w:val="20"/>
          <w14:textFill>
            <w14:solidFill>
              <w14:schemeClr w14:val="tx1"/>
            </w14:solidFill>
          </w14:textFill>
        </w:rPr>
        <w:t>-</w:t>
      </w:r>
      <w:r>
        <w:rPr>
          <w:rFonts w:hint="eastAsia" w:ascii="宋体" w:hAnsi="宋体" w:eastAsia="宋体" w:cs="宋体"/>
          <w:color w:val="000000" w:themeColor="text1"/>
          <w:sz w:val="20"/>
          <w:szCs w:val="20"/>
          <w:lang w:val="en-US" w:eastAsia="zh-CN"/>
          <w14:textFill>
            <w14:solidFill>
              <w14:schemeClr w14:val="tx1"/>
            </w14:solidFill>
          </w14:textFill>
        </w:rPr>
        <w:t>70</w:t>
      </w:r>
      <w:r>
        <w:rPr>
          <w:rFonts w:hint="default" w:ascii="宋体" w:hAnsi="宋体" w:eastAsia="宋体" w:cs="宋体"/>
          <w:color w:val="000000" w:themeColor="text1"/>
          <w:sz w:val="20"/>
          <w:szCs w:val="20"/>
          <w14:textFill>
            <w14:solidFill>
              <w14:schemeClr w14:val="tx1"/>
            </w14:solidFill>
          </w14:textFill>
        </w:rPr>
        <w:t>分，支付95%；</w:t>
      </w:r>
      <w:r>
        <w:rPr>
          <w:rFonts w:hint="eastAsia" w:ascii="宋体" w:hAnsi="宋体" w:eastAsia="宋体" w:cs="宋体"/>
          <w:color w:val="000000" w:themeColor="text1"/>
          <w:sz w:val="20"/>
          <w:szCs w:val="20"/>
          <w:lang w:val="en-US" w:eastAsia="zh-CN"/>
          <w14:textFill>
            <w14:solidFill>
              <w14:schemeClr w14:val="tx1"/>
            </w14:solidFill>
          </w14:textFill>
        </w:rPr>
        <w:t>69</w:t>
      </w:r>
      <w:r>
        <w:rPr>
          <w:rFonts w:hint="default" w:ascii="宋体" w:hAnsi="宋体" w:eastAsia="宋体" w:cs="宋体"/>
          <w:color w:val="000000" w:themeColor="text1"/>
          <w:sz w:val="20"/>
          <w:szCs w:val="20"/>
          <w14:textFill>
            <w14:solidFill>
              <w14:schemeClr w14:val="tx1"/>
            </w14:solidFill>
          </w14:textFill>
        </w:rPr>
        <w:t>-</w:t>
      </w:r>
      <w:r>
        <w:rPr>
          <w:rFonts w:hint="eastAsia" w:ascii="宋体" w:hAnsi="宋体" w:eastAsia="宋体" w:cs="宋体"/>
          <w:color w:val="000000" w:themeColor="text1"/>
          <w:sz w:val="20"/>
          <w:szCs w:val="20"/>
          <w:lang w:val="en-US" w:eastAsia="zh-CN"/>
          <w14:textFill>
            <w14:solidFill>
              <w14:schemeClr w14:val="tx1"/>
            </w14:solidFill>
          </w14:textFill>
        </w:rPr>
        <w:t>60</w:t>
      </w:r>
      <w:r>
        <w:rPr>
          <w:rFonts w:hint="default" w:ascii="宋体" w:hAnsi="宋体" w:eastAsia="宋体" w:cs="宋体"/>
          <w:color w:val="000000" w:themeColor="text1"/>
          <w:sz w:val="20"/>
          <w:szCs w:val="20"/>
          <w14:textFill>
            <w14:solidFill>
              <w14:schemeClr w14:val="tx1"/>
            </w14:solidFill>
          </w14:textFill>
        </w:rPr>
        <w:t>分，支付90%；&lt; 60分，则扣除当月或当期全部服务费，并可启动</w:t>
      </w:r>
      <w:r>
        <w:rPr>
          <w:rFonts w:hint="eastAsia" w:ascii="宋体" w:hAnsi="宋体" w:eastAsia="宋体" w:cs="宋体"/>
          <w:color w:val="000000" w:themeColor="text1"/>
          <w:sz w:val="20"/>
          <w:szCs w:val="20"/>
          <w:lang w:eastAsia="zh-CN"/>
          <w14:textFill>
            <w14:solidFill>
              <w14:schemeClr w14:val="tx1"/>
            </w14:solidFill>
          </w14:textFill>
        </w:rPr>
        <w:t>乙方</w:t>
      </w:r>
      <w:r>
        <w:rPr>
          <w:rFonts w:hint="default" w:ascii="宋体" w:hAnsi="宋体" w:eastAsia="宋体" w:cs="宋体"/>
          <w:color w:val="000000" w:themeColor="text1"/>
          <w:sz w:val="20"/>
          <w:szCs w:val="20"/>
          <w14:textFill>
            <w14:solidFill>
              <w14:schemeClr w14:val="tx1"/>
            </w14:solidFill>
          </w14:textFill>
        </w:rPr>
        <w:t>退出机制</w:t>
      </w:r>
      <w:r>
        <w:rPr>
          <w:rFonts w:hint="eastAsia" w:ascii="宋体" w:hAnsi="宋体" w:eastAsia="宋体" w:cs="宋体"/>
          <w:color w:val="000000" w:themeColor="text1"/>
          <w:sz w:val="20"/>
          <w:szCs w:val="20"/>
          <w:lang w:eastAsia="zh-CN"/>
          <w14:textFill>
            <w14:solidFill>
              <w14:schemeClr w14:val="tx1"/>
            </w14:solidFill>
          </w14:textFill>
        </w:rPr>
        <w:t>。</w:t>
      </w:r>
    </w:p>
    <w:p w14:paraId="5435D76F">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textAlignment w:val="baseline"/>
        <w:rPr>
          <w:rFonts w:hint="eastAsia" w:ascii="宋体" w:hAnsi="宋体" w:eastAsia="宋体" w:cs="宋体"/>
          <w:color w:val="000000" w:themeColor="text1"/>
          <w:sz w:val="20"/>
          <w:szCs w:val="20"/>
          <w14:textFill>
            <w14:solidFill>
              <w14:schemeClr w14:val="tx1"/>
            </w14:solidFill>
          </w14:textFill>
        </w:rPr>
      </w:pPr>
      <w:r>
        <w:rPr>
          <w:rFonts w:hint="default" w:ascii="宋体" w:hAnsi="宋体" w:eastAsia="宋体" w:cs="宋体"/>
          <w:color w:val="000000" w:themeColor="text1"/>
          <w:sz w:val="20"/>
          <w:szCs w:val="20"/>
          <w14:textFill>
            <w14:solidFill>
              <w14:schemeClr w14:val="tx1"/>
            </w14:solidFill>
          </w14:textFill>
        </w:rPr>
        <w:t>薪酬与激励：</w:t>
      </w:r>
    </w:p>
    <w:p w14:paraId="46380BE6">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textAlignment w:val="baseline"/>
        <w:rPr>
          <w:rFonts w:hint="eastAsia" w:ascii="宋体" w:hAnsi="宋体" w:eastAsia="宋体" w:cs="宋体"/>
          <w:color w:val="000000" w:themeColor="text1"/>
          <w:sz w:val="20"/>
          <w:szCs w:val="20"/>
          <w14:textFill>
            <w14:solidFill>
              <w14:schemeClr w14:val="tx1"/>
            </w14:solidFill>
          </w14:textFill>
        </w:rPr>
      </w:pPr>
      <w:r>
        <w:rPr>
          <w:rFonts w:hint="default" w:ascii="宋体" w:hAnsi="宋体" w:eastAsia="宋体" w:cs="宋体"/>
          <w:color w:val="000000" w:themeColor="text1"/>
          <w:sz w:val="20"/>
          <w:szCs w:val="20"/>
          <w14:textFill>
            <w14:solidFill>
              <w14:schemeClr w14:val="tx1"/>
            </w14:solidFill>
          </w14:textFill>
        </w:rPr>
        <w:t>要求服务单位必须将学校的考核结果与</w:t>
      </w:r>
      <w:r>
        <w:rPr>
          <w:rFonts w:hint="eastAsia" w:ascii="宋体" w:hAnsi="宋体" w:eastAsia="宋体" w:cs="宋体"/>
          <w:color w:val="000000" w:themeColor="text1"/>
          <w:sz w:val="20"/>
          <w:szCs w:val="20"/>
          <w:lang w:eastAsia="zh-CN"/>
          <w14:textFill>
            <w14:solidFill>
              <w14:schemeClr w14:val="tx1"/>
            </w14:solidFill>
          </w14:textFill>
        </w:rPr>
        <w:t>教官</w:t>
      </w:r>
      <w:r>
        <w:rPr>
          <w:rFonts w:hint="default" w:ascii="宋体" w:hAnsi="宋体" w:eastAsia="宋体" w:cs="宋体"/>
          <w:color w:val="000000" w:themeColor="text1"/>
          <w:sz w:val="20"/>
          <w:szCs w:val="20"/>
          <w14:textFill>
            <w14:solidFill>
              <w14:schemeClr w14:val="tx1"/>
            </w14:solidFill>
          </w14:textFill>
        </w:rPr>
        <w:t>的个人绩效工资、奖金直接挂钩。优秀</w:t>
      </w:r>
      <w:r>
        <w:rPr>
          <w:rFonts w:hint="eastAsia" w:ascii="宋体" w:hAnsi="宋体" w:eastAsia="宋体" w:cs="宋体"/>
          <w:color w:val="000000" w:themeColor="text1"/>
          <w:sz w:val="20"/>
          <w:szCs w:val="20"/>
          <w:lang w:eastAsia="zh-CN"/>
          <w14:textFill>
            <w14:solidFill>
              <w14:schemeClr w14:val="tx1"/>
            </w14:solidFill>
          </w14:textFill>
        </w:rPr>
        <w:t>教官</w:t>
      </w:r>
      <w:r>
        <w:rPr>
          <w:rFonts w:hint="default" w:ascii="宋体" w:hAnsi="宋体" w:eastAsia="宋体" w:cs="宋体"/>
          <w:color w:val="000000" w:themeColor="text1"/>
          <w:sz w:val="20"/>
          <w:szCs w:val="20"/>
          <w14:textFill>
            <w14:solidFill>
              <w14:schemeClr w14:val="tx1"/>
            </w14:solidFill>
          </w14:textFill>
        </w:rPr>
        <w:t>应获得物质和精神奖励。</w:t>
      </w:r>
    </w:p>
    <w:p w14:paraId="63B17876">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textAlignment w:val="baseline"/>
        <w:rPr>
          <w:rFonts w:hint="eastAsia" w:ascii="宋体" w:hAnsi="宋体" w:eastAsia="宋体" w:cs="宋体"/>
          <w:color w:val="000000" w:themeColor="text1"/>
          <w:sz w:val="20"/>
          <w:szCs w:val="20"/>
          <w14:textFill>
            <w14:solidFill>
              <w14:schemeClr w14:val="tx1"/>
            </w14:solidFill>
          </w14:textFill>
        </w:rPr>
      </w:pPr>
      <w:r>
        <w:rPr>
          <w:rFonts w:hint="default" w:ascii="宋体" w:hAnsi="宋体" w:eastAsia="宋体" w:cs="宋体"/>
          <w:color w:val="000000" w:themeColor="text1"/>
          <w:sz w:val="20"/>
          <w:szCs w:val="20"/>
          <w14:textFill>
            <w14:solidFill>
              <w14:schemeClr w14:val="tx1"/>
            </w14:solidFill>
          </w14:textFill>
        </w:rPr>
        <w:t>评优与续约：</w:t>
      </w:r>
    </w:p>
    <w:p w14:paraId="5FBCB910">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textAlignment w:val="baseline"/>
        <w:rPr>
          <w:rFonts w:hint="eastAsia" w:ascii="宋体" w:hAnsi="宋体" w:eastAsia="宋体" w:cs="宋体"/>
          <w:color w:val="000000" w:themeColor="text1"/>
          <w:sz w:val="20"/>
          <w:szCs w:val="20"/>
          <w14:textFill>
            <w14:solidFill>
              <w14:schemeClr w14:val="tx1"/>
            </w14:solidFill>
          </w14:textFill>
        </w:rPr>
      </w:pPr>
      <w:r>
        <w:rPr>
          <w:rFonts w:hint="default" w:ascii="宋体" w:hAnsi="宋体" w:eastAsia="宋体" w:cs="宋体"/>
          <w:color w:val="000000" w:themeColor="text1"/>
          <w:sz w:val="20"/>
          <w:szCs w:val="20"/>
          <w14:textFill>
            <w14:solidFill>
              <w14:schemeClr w14:val="tx1"/>
            </w14:solidFill>
          </w14:textFill>
        </w:rPr>
        <w:t>年度考核结果为“优秀”的</w:t>
      </w:r>
      <w:r>
        <w:rPr>
          <w:rFonts w:hint="eastAsia" w:ascii="宋体" w:hAnsi="宋体" w:eastAsia="宋体" w:cs="宋体"/>
          <w:color w:val="000000" w:themeColor="text1"/>
          <w:sz w:val="20"/>
          <w:szCs w:val="20"/>
          <w:lang w:eastAsia="zh-CN"/>
          <w14:textFill>
            <w14:solidFill>
              <w14:schemeClr w14:val="tx1"/>
            </w14:solidFill>
          </w14:textFill>
        </w:rPr>
        <w:t>教官</w:t>
      </w:r>
      <w:r>
        <w:rPr>
          <w:rFonts w:hint="default" w:ascii="宋体" w:hAnsi="宋体" w:eastAsia="宋体" w:cs="宋体"/>
          <w:color w:val="000000" w:themeColor="text1"/>
          <w:sz w:val="20"/>
          <w:szCs w:val="20"/>
          <w14:textFill>
            <w14:solidFill>
              <w14:schemeClr w14:val="tx1"/>
            </w14:solidFill>
          </w14:textFill>
        </w:rPr>
        <w:t>，由学校予以表彰。</w:t>
      </w:r>
    </w:p>
    <w:p w14:paraId="12141E51">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textAlignment w:val="baseline"/>
        <w:rPr>
          <w:rFonts w:hint="eastAsia" w:ascii="宋体" w:hAnsi="宋体" w:eastAsia="宋体" w:cs="宋体"/>
          <w:color w:val="000000" w:themeColor="text1"/>
          <w:sz w:val="20"/>
          <w:szCs w:val="20"/>
          <w14:textFill>
            <w14:solidFill>
              <w14:schemeClr w14:val="tx1"/>
            </w14:solidFill>
          </w14:textFill>
        </w:rPr>
      </w:pPr>
      <w:r>
        <w:rPr>
          <w:rFonts w:hint="default" w:ascii="宋体" w:hAnsi="宋体" w:eastAsia="宋体" w:cs="宋体"/>
          <w:color w:val="000000" w:themeColor="text1"/>
          <w:sz w:val="20"/>
          <w:szCs w:val="20"/>
          <w14:textFill>
            <w14:solidFill>
              <w14:schemeClr w14:val="tx1"/>
            </w14:solidFill>
          </w14:textFill>
        </w:rPr>
        <w:t>服务单位的合同续签，严重依赖于其派驻</w:t>
      </w:r>
      <w:r>
        <w:rPr>
          <w:rFonts w:hint="eastAsia" w:ascii="宋体" w:hAnsi="宋体" w:eastAsia="宋体" w:cs="宋体"/>
          <w:color w:val="000000" w:themeColor="text1"/>
          <w:sz w:val="20"/>
          <w:szCs w:val="20"/>
          <w:lang w:eastAsia="zh-CN"/>
          <w14:textFill>
            <w14:solidFill>
              <w14:schemeClr w14:val="tx1"/>
            </w14:solidFill>
          </w14:textFill>
        </w:rPr>
        <w:t>教官</w:t>
      </w:r>
      <w:r>
        <w:rPr>
          <w:rFonts w:hint="default" w:ascii="宋体" w:hAnsi="宋体" w:eastAsia="宋体" w:cs="宋体"/>
          <w:color w:val="000000" w:themeColor="text1"/>
          <w:sz w:val="20"/>
          <w:szCs w:val="20"/>
          <w14:textFill>
            <w14:solidFill>
              <w14:schemeClr w14:val="tx1"/>
            </w14:solidFill>
          </w14:textFill>
        </w:rPr>
        <w:t>队伍的整体考核成绩。</w:t>
      </w:r>
    </w:p>
    <w:p w14:paraId="215DD998">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textAlignment w:val="baseline"/>
        <w:rPr>
          <w:rFonts w:hint="eastAsia" w:ascii="宋体" w:hAnsi="宋体" w:eastAsia="宋体" w:cs="宋体"/>
          <w:color w:val="000000" w:themeColor="text1"/>
          <w:sz w:val="20"/>
          <w:szCs w:val="20"/>
          <w14:textFill>
            <w14:solidFill>
              <w14:schemeClr w14:val="tx1"/>
            </w14:solidFill>
          </w14:textFill>
        </w:rPr>
      </w:pPr>
      <w:r>
        <w:rPr>
          <w:rFonts w:hint="default" w:ascii="宋体" w:hAnsi="宋体" w:eastAsia="宋体" w:cs="宋体"/>
          <w:color w:val="000000" w:themeColor="text1"/>
          <w:sz w:val="20"/>
          <w:szCs w:val="20"/>
          <w14:textFill>
            <w14:solidFill>
              <w14:schemeClr w14:val="tx1"/>
            </w14:solidFill>
          </w14:textFill>
        </w:rPr>
        <w:t>培训与改进：</w:t>
      </w:r>
    </w:p>
    <w:p w14:paraId="71043344">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textAlignment w:val="baseline"/>
        <w:rPr>
          <w:rFonts w:hint="eastAsia" w:ascii="宋体" w:hAnsi="宋体" w:eastAsia="宋体" w:cs="宋体"/>
          <w:color w:val="000000" w:themeColor="text1"/>
          <w:sz w:val="20"/>
          <w:szCs w:val="20"/>
          <w14:textFill>
            <w14:solidFill>
              <w14:schemeClr w14:val="tx1"/>
            </w14:solidFill>
          </w14:textFill>
        </w:rPr>
      </w:pPr>
      <w:r>
        <w:rPr>
          <w:rFonts w:hint="default" w:ascii="宋体" w:hAnsi="宋体" w:eastAsia="宋体" w:cs="宋体"/>
          <w:color w:val="000000" w:themeColor="text1"/>
          <w:sz w:val="20"/>
          <w:szCs w:val="20"/>
          <w14:textFill>
            <w14:solidFill>
              <w14:schemeClr w14:val="tx1"/>
            </w14:solidFill>
          </w14:textFill>
        </w:rPr>
        <w:t>对考核中发现的共性问题，由学</w:t>
      </w:r>
      <w:r>
        <w:rPr>
          <w:rFonts w:hint="eastAsia" w:ascii="宋体" w:hAnsi="宋体" w:eastAsia="宋体" w:cs="宋体"/>
          <w:color w:val="000000" w:themeColor="text1"/>
          <w:sz w:val="20"/>
          <w:szCs w:val="20"/>
          <w:lang w:val="en-US" w:eastAsia="zh-CN"/>
          <w14:textFill>
            <w14:solidFill>
              <w14:schemeClr w14:val="tx1"/>
            </w14:solidFill>
          </w14:textFill>
        </w:rPr>
        <w:t>生科</w:t>
      </w:r>
      <w:r>
        <w:rPr>
          <w:rFonts w:hint="default" w:ascii="宋体" w:hAnsi="宋体" w:eastAsia="宋体" w:cs="宋体"/>
          <w:color w:val="000000" w:themeColor="text1"/>
          <w:sz w:val="20"/>
          <w:szCs w:val="20"/>
          <w14:textFill>
            <w14:solidFill>
              <w14:schemeClr w14:val="tx1"/>
            </w14:solidFill>
          </w14:textFill>
        </w:rPr>
        <w:t>组织专项培训。</w:t>
      </w:r>
    </w:p>
    <w:p w14:paraId="590BDC9D">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textAlignment w:val="baseline"/>
        <w:rPr>
          <w:rFonts w:hint="eastAsia" w:ascii="宋体" w:hAnsi="宋体" w:eastAsia="宋体" w:cs="宋体"/>
          <w:color w:val="000000" w:themeColor="text1"/>
          <w:sz w:val="20"/>
          <w:szCs w:val="20"/>
          <w14:textFill>
            <w14:solidFill>
              <w14:schemeClr w14:val="tx1"/>
            </w14:solidFill>
          </w14:textFill>
        </w:rPr>
      </w:pPr>
      <w:r>
        <w:rPr>
          <w:rFonts w:hint="default" w:ascii="宋体" w:hAnsi="宋体" w:eastAsia="宋体" w:cs="宋体"/>
          <w:color w:val="000000" w:themeColor="text1"/>
          <w:sz w:val="20"/>
          <w:szCs w:val="20"/>
          <w14:textFill>
            <w14:solidFill>
              <w14:schemeClr w14:val="tx1"/>
            </w14:solidFill>
          </w14:textFill>
        </w:rPr>
        <w:t>对考核不合格的</w:t>
      </w:r>
      <w:r>
        <w:rPr>
          <w:rFonts w:hint="eastAsia" w:ascii="宋体" w:hAnsi="宋体" w:eastAsia="宋体" w:cs="宋体"/>
          <w:color w:val="000000" w:themeColor="text1"/>
          <w:sz w:val="20"/>
          <w:szCs w:val="20"/>
          <w:lang w:eastAsia="zh-CN"/>
          <w14:textFill>
            <w14:solidFill>
              <w14:schemeClr w14:val="tx1"/>
            </w14:solidFill>
          </w14:textFill>
        </w:rPr>
        <w:t>教官</w:t>
      </w:r>
      <w:r>
        <w:rPr>
          <w:rFonts w:hint="default" w:ascii="宋体" w:hAnsi="宋体" w:eastAsia="宋体" w:cs="宋体"/>
          <w:color w:val="000000" w:themeColor="text1"/>
          <w:sz w:val="20"/>
          <w:szCs w:val="20"/>
          <w14:textFill>
            <w14:solidFill>
              <w14:schemeClr w14:val="tx1"/>
            </w14:solidFill>
          </w14:textFill>
        </w:rPr>
        <w:t>，由服务单位负责限期整改或更换人员。</w:t>
      </w:r>
    </w:p>
    <w:p w14:paraId="0F8D490E">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textAlignment w:val="baseline"/>
        <w:rPr>
          <w:rFonts w:hint="default" w:ascii="宋体" w:hAnsi="宋体" w:eastAsia="宋体" w:cs="宋体"/>
          <w:color w:val="000000" w:themeColor="text1"/>
          <w:sz w:val="20"/>
          <w:szCs w:val="20"/>
          <w14:textFill>
            <w14:solidFill>
              <w14:schemeClr w14:val="tx1"/>
            </w14:solidFill>
          </w14:textFill>
        </w:rPr>
      </w:pPr>
      <w:r>
        <w:rPr>
          <w:rFonts w:hint="default" w:ascii="宋体" w:hAnsi="宋体" w:eastAsia="宋体" w:cs="宋体"/>
          <w:color w:val="000000" w:themeColor="text1"/>
          <w:sz w:val="20"/>
          <w:szCs w:val="20"/>
          <w14:textFill>
            <w14:solidFill>
              <w14:schemeClr w14:val="tx1"/>
            </w14:solidFill>
          </w14:textFill>
        </w:rPr>
        <w:t>总结：</w:t>
      </w:r>
    </w:p>
    <w:p w14:paraId="3A39C072">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textAlignment w:val="baseline"/>
        <w:rPr>
          <w:rFonts w:hint="default" w:asciiTheme="minorEastAsia" w:hAnsiTheme="minorEastAsia" w:eastAsiaTheme="minorEastAsia" w:cstheme="minorEastAsia"/>
          <w:color w:val="000000" w:themeColor="text1"/>
          <w:sz w:val="24"/>
          <w:szCs w:val="24"/>
          <w14:textFill>
            <w14:solidFill>
              <w14:schemeClr w14:val="tx1"/>
            </w14:solidFill>
          </w14:textFill>
        </w:rPr>
      </w:pPr>
      <w:r>
        <w:rPr>
          <w:rFonts w:hint="default" w:ascii="宋体" w:hAnsi="宋体" w:eastAsia="宋体" w:cs="宋体"/>
          <w:color w:val="000000" w:themeColor="text1"/>
          <w:sz w:val="20"/>
          <w:szCs w:val="20"/>
          <w14:textFill>
            <w14:solidFill>
              <w14:schemeClr w14:val="tx1"/>
            </w14:solidFill>
          </w14:textFill>
        </w:rPr>
        <w:t>此考核办法的核心是将“软性”的育人要求转化为“硬性”的、可量化的数据指标，并通过与服务费、个人薪酬的强关联，形成有效的管理闭环。它驱使服务单位和</w:t>
      </w:r>
      <w:r>
        <w:rPr>
          <w:rFonts w:hint="eastAsia" w:ascii="宋体" w:hAnsi="宋体" w:eastAsia="宋体" w:cs="宋体"/>
          <w:color w:val="000000" w:themeColor="text1"/>
          <w:sz w:val="20"/>
          <w:szCs w:val="20"/>
          <w:lang w:eastAsia="zh-CN"/>
          <w14:textFill>
            <w14:solidFill>
              <w14:schemeClr w14:val="tx1"/>
            </w14:solidFill>
          </w14:textFill>
        </w:rPr>
        <w:t>教官</w:t>
      </w:r>
      <w:r>
        <w:rPr>
          <w:rFonts w:hint="default" w:ascii="宋体" w:hAnsi="宋体" w:eastAsia="宋体" w:cs="宋体"/>
          <w:color w:val="000000" w:themeColor="text1"/>
          <w:sz w:val="20"/>
          <w:szCs w:val="20"/>
          <w14:textFill>
            <w14:solidFill>
              <w14:schemeClr w14:val="tx1"/>
            </w14:solidFill>
          </w14:textFill>
        </w:rPr>
        <w:t>个人必须将工作重心从“看门扫地”彻底转向“立德树人”，从而确保学校“三全育人”的战略投资能获得实实在在的回报。</w:t>
      </w:r>
    </w:p>
    <w:p w14:paraId="2BB87393">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textAlignment w:val="baseline"/>
        <w:rPr>
          <w:rFonts w:hint="eastAsia" w:ascii="宋体" w:hAnsi="宋体" w:eastAsia="宋体" w:cs="宋体"/>
          <w:color w:val="FF0000"/>
          <w:sz w:val="20"/>
          <w:szCs w:val="20"/>
        </w:rPr>
      </w:pPr>
    </w:p>
    <w:p w14:paraId="0EC2975D">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textAlignment w:val="baseline"/>
        <w:rPr>
          <w:rFonts w:hint="eastAsia" w:ascii="宋体" w:hAnsi="宋体" w:eastAsia="宋体" w:cs="宋体"/>
          <w:sz w:val="20"/>
          <w:szCs w:val="20"/>
        </w:rPr>
      </w:pPr>
    </w:p>
    <w:p w14:paraId="6AE5CB2C">
      <w:pPr>
        <w:keepNext w:val="0"/>
        <w:keepLines w:val="0"/>
        <w:pageBreakBefore w:val="0"/>
        <w:widowControl/>
        <w:kinsoku/>
        <w:wordWrap/>
        <w:overflowPunct/>
        <w:topLinePunct w:val="0"/>
        <w:autoSpaceDE w:val="0"/>
        <w:autoSpaceDN w:val="0"/>
        <w:bidi w:val="0"/>
        <w:adjustRightInd w:val="0"/>
        <w:snapToGrid w:val="0"/>
        <w:spacing w:line="480" w:lineRule="auto"/>
        <w:ind w:firstLine="400" w:firstLineChars="200"/>
        <w:textAlignment w:val="baseline"/>
        <w:rPr>
          <w:rFonts w:hint="eastAsia" w:ascii="宋体" w:hAnsi="宋体" w:eastAsia="宋体" w:cs="宋体"/>
          <w:sz w:val="20"/>
          <w:szCs w:val="20"/>
        </w:rPr>
      </w:pPr>
    </w:p>
    <w:p w14:paraId="27ED618A">
      <w:pPr>
        <w:keepNext w:val="0"/>
        <w:keepLines w:val="0"/>
        <w:pageBreakBefore w:val="0"/>
        <w:kinsoku/>
        <w:wordWrap/>
        <w:overflowPunct/>
        <w:topLinePunct w:val="0"/>
        <w:bidi w:val="0"/>
        <w:spacing w:before="90" w:line="224" w:lineRule="auto"/>
        <w:ind w:left="2637"/>
        <w:outlineLvl w:val="0"/>
        <w:rPr>
          <w:rFonts w:ascii="宋体" w:hAnsi="宋体" w:eastAsia="宋体" w:cs="宋体"/>
          <w:sz w:val="31"/>
          <w:szCs w:val="31"/>
        </w:rPr>
      </w:pPr>
      <w:bookmarkStart w:id="37" w:name="_Toc26602"/>
      <w:r>
        <w:rPr>
          <w:rFonts w:ascii="宋体" w:hAnsi="宋体" w:eastAsia="宋体" w:cs="宋体"/>
          <w:b/>
          <w:bCs/>
          <w:spacing w:val="8"/>
          <w:sz w:val="31"/>
          <w:szCs w:val="31"/>
        </w:rPr>
        <w:br w:type="page"/>
      </w:r>
      <w:r>
        <w:rPr>
          <w:rFonts w:ascii="宋体" w:hAnsi="宋体" w:eastAsia="宋体" w:cs="宋体"/>
          <w:b/>
          <w:bCs/>
          <w:spacing w:val="8"/>
          <w:sz w:val="31"/>
          <w:szCs w:val="31"/>
        </w:rPr>
        <w:t>第六章</w:t>
      </w:r>
      <w:r>
        <w:rPr>
          <w:rFonts w:ascii="宋体" w:hAnsi="宋体" w:eastAsia="宋体" w:cs="宋体"/>
          <w:spacing w:val="8"/>
          <w:sz w:val="31"/>
          <w:szCs w:val="31"/>
        </w:rPr>
        <w:t xml:space="preserve"> </w:t>
      </w:r>
      <w:r>
        <w:rPr>
          <w:rFonts w:ascii="宋体" w:hAnsi="宋体" w:eastAsia="宋体" w:cs="宋体"/>
          <w:b/>
          <w:bCs/>
          <w:spacing w:val="8"/>
          <w:sz w:val="31"/>
          <w:szCs w:val="31"/>
        </w:rPr>
        <w:t>投标文件格式</w:t>
      </w:r>
      <w:bookmarkEnd w:id="37"/>
    </w:p>
    <w:p w14:paraId="3783D802">
      <w:pPr>
        <w:pStyle w:val="4"/>
        <w:keepNext w:val="0"/>
        <w:keepLines w:val="0"/>
        <w:pageBreakBefore w:val="0"/>
        <w:kinsoku/>
        <w:wordWrap/>
        <w:overflowPunct/>
        <w:topLinePunct w:val="0"/>
        <w:bidi w:val="0"/>
        <w:spacing w:line="282" w:lineRule="auto"/>
      </w:pPr>
    </w:p>
    <w:p w14:paraId="2713BB26">
      <w:pPr>
        <w:keepNext w:val="0"/>
        <w:keepLines w:val="0"/>
        <w:pageBreakBefore w:val="0"/>
        <w:kinsoku/>
        <w:wordWrap/>
        <w:overflowPunct/>
        <w:topLinePunct w:val="0"/>
        <w:bidi w:val="0"/>
        <w:spacing w:before="91" w:line="221" w:lineRule="auto"/>
        <w:ind w:right="36"/>
        <w:jc w:val="right"/>
        <w:rPr>
          <w:rFonts w:ascii="宋体" w:hAnsi="宋体" w:eastAsia="宋体" w:cs="宋体"/>
          <w:sz w:val="28"/>
          <w:szCs w:val="28"/>
        </w:rPr>
      </w:pPr>
      <w:r>
        <w:rPr>
          <w:rFonts w:ascii="宋体" w:hAnsi="宋体" w:eastAsia="宋体" w:cs="宋体"/>
          <w:spacing w:val="-5"/>
          <w:sz w:val="28"/>
          <w:szCs w:val="28"/>
        </w:rPr>
        <w:t>封面</w:t>
      </w:r>
    </w:p>
    <w:p w14:paraId="34B779E5">
      <w:pPr>
        <w:pStyle w:val="4"/>
        <w:keepNext w:val="0"/>
        <w:keepLines w:val="0"/>
        <w:pageBreakBefore w:val="0"/>
        <w:kinsoku/>
        <w:wordWrap/>
        <w:overflowPunct/>
        <w:topLinePunct w:val="0"/>
        <w:bidi w:val="0"/>
        <w:spacing w:line="326" w:lineRule="auto"/>
      </w:pPr>
    </w:p>
    <w:p w14:paraId="26C9A58C">
      <w:pPr>
        <w:pStyle w:val="4"/>
        <w:keepNext w:val="0"/>
        <w:keepLines w:val="0"/>
        <w:pageBreakBefore w:val="0"/>
        <w:kinsoku/>
        <w:wordWrap/>
        <w:overflowPunct/>
        <w:topLinePunct w:val="0"/>
        <w:bidi w:val="0"/>
        <w:spacing w:line="327" w:lineRule="auto"/>
      </w:pPr>
    </w:p>
    <w:p w14:paraId="1BEFE955">
      <w:pPr>
        <w:keepNext w:val="0"/>
        <w:keepLines w:val="0"/>
        <w:pageBreakBefore w:val="0"/>
        <w:tabs>
          <w:tab w:val="left" w:pos="5994"/>
        </w:tabs>
        <w:kinsoku/>
        <w:wordWrap/>
        <w:overflowPunct/>
        <w:topLinePunct w:val="0"/>
        <w:bidi w:val="0"/>
        <w:spacing w:before="100" w:line="225" w:lineRule="auto"/>
        <w:ind w:left="1674"/>
        <w:rPr>
          <w:rFonts w:ascii="宋体" w:hAnsi="宋体" w:eastAsia="宋体" w:cs="宋体"/>
          <w:sz w:val="31"/>
          <w:szCs w:val="31"/>
        </w:rPr>
      </w:pPr>
      <w:r>
        <w:rPr>
          <w:rFonts w:ascii="宋体" w:hAnsi="宋体" w:eastAsia="宋体" w:cs="宋体"/>
          <w:sz w:val="31"/>
          <w:szCs w:val="31"/>
          <w:u w:val="single" w:color="auto"/>
        </w:rPr>
        <w:tab/>
      </w:r>
      <w:r>
        <w:rPr>
          <w:rFonts w:ascii="宋体" w:hAnsi="宋体" w:eastAsia="宋体" w:cs="宋体"/>
          <w:spacing w:val="-137"/>
          <w:sz w:val="31"/>
          <w:szCs w:val="31"/>
        </w:rPr>
        <w:t xml:space="preserve"> </w:t>
      </w:r>
      <w:r>
        <w:rPr>
          <w:rFonts w:ascii="宋体" w:hAnsi="宋体" w:eastAsia="宋体" w:cs="宋体"/>
          <w:sz w:val="31"/>
          <w:szCs w:val="31"/>
        </w:rPr>
        <w:t>项目</w:t>
      </w:r>
    </w:p>
    <w:p w14:paraId="03AE7C30">
      <w:pPr>
        <w:pStyle w:val="4"/>
        <w:keepNext w:val="0"/>
        <w:keepLines w:val="0"/>
        <w:pageBreakBefore w:val="0"/>
        <w:kinsoku/>
        <w:wordWrap/>
        <w:overflowPunct/>
        <w:topLinePunct w:val="0"/>
        <w:bidi w:val="0"/>
        <w:spacing w:line="273" w:lineRule="auto"/>
      </w:pPr>
    </w:p>
    <w:p w14:paraId="04E4F8CD">
      <w:pPr>
        <w:pStyle w:val="4"/>
        <w:keepNext w:val="0"/>
        <w:keepLines w:val="0"/>
        <w:pageBreakBefore w:val="0"/>
        <w:kinsoku/>
        <w:wordWrap/>
        <w:overflowPunct/>
        <w:topLinePunct w:val="0"/>
        <w:bidi w:val="0"/>
        <w:spacing w:line="273" w:lineRule="auto"/>
      </w:pPr>
    </w:p>
    <w:p w14:paraId="6234309A">
      <w:pPr>
        <w:pStyle w:val="4"/>
        <w:keepNext w:val="0"/>
        <w:keepLines w:val="0"/>
        <w:pageBreakBefore w:val="0"/>
        <w:kinsoku/>
        <w:wordWrap/>
        <w:overflowPunct/>
        <w:topLinePunct w:val="0"/>
        <w:bidi w:val="0"/>
        <w:spacing w:line="273" w:lineRule="auto"/>
      </w:pPr>
    </w:p>
    <w:p w14:paraId="1439D5B3">
      <w:pPr>
        <w:pStyle w:val="4"/>
        <w:keepNext w:val="0"/>
        <w:keepLines w:val="0"/>
        <w:pageBreakBefore w:val="0"/>
        <w:kinsoku/>
        <w:wordWrap/>
        <w:overflowPunct/>
        <w:topLinePunct w:val="0"/>
        <w:bidi w:val="0"/>
        <w:spacing w:line="273" w:lineRule="auto"/>
      </w:pPr>
    </w:p>
    <w:p w14:paraId="7E992154">
      <w:pPr>
        <w:pStyle w:val="4"/>
        <w:keepNext w:val="0"/>
        <w:keepLines w:val="0"/>
        <w:pageBreakBefore w:val="0"/>
        <w:kinsoku/>
        <w:wordWrap/>
        <w:overflowPunct/>
        <w:topLinePunct w:val="0"/>
        <w:bidi w:val="0"/>
        <w:spacing w:line="273" w:lineRule="auto"/>
      </w:pPr>
    </w:p>
    <w:p w14:paraId="408788BB">
      <w:pPr>
        <w:pStyle w:val="4"/>
        <w:keepNext w:val="0"/>
        <w:keepLines w:val="0"/>
        <w:pageBreakBefore w:val="0"/>
        <w:kinsoku/>
        <w:wordWrap/>
        <w:overflowPunct/>
        <w:topLinePunct w:val="0"/>
        <w:bidi w:val="0"/>
        <w:spacing w:line="274" w:lineRule="auto"/>
      </w:pPr>
    </w:p>
    <w:p w14:paraId="7493622E">
      <w:pPr>
        <w:pStyle w:val="4"/>
        <w:keepNext w:val="0"/>
        <w:keepLines w:val="0"/>
        <w:pageBreakBefore w:val="0"/>
        <w:kinsoku/>
        <w:wordWrap/>
        <w:overflowPunct/>
        <w:topLinePunct w:val="0"/>
        <w:bidi w:val="0"/>
        <w:spacing w:line="274" w:lineRule="auto"/>
      </w:pPr>
    </w:p>
    <w:p w14:paraId="55C76CB5">
      <w:pPr>
        <w:keepNext w:val="0"/>
        <w:keepLines w:val="0"/>
        <w:pageBreakBefore w:val="0"/>
        <w:kinsoku/>
        <w:wordWrap/>
        <w:overflowPunct/>
        <w:topLinePunct w:val="0"/>
        <w:bidi w:val="0"/>
        <w:spacing w:before="153" w:line="223" w:lineRule="auto"/>
        <w:ind w:left="3218"/>
        <w:rPr>
          <w:rFonts w:ascii="宋体" w:hAnsi="宋体" w:eastAsia="宋体" w:cs="宋体"/>
          <w:sz w:val="47"/>
          <w:szCs w:val="47"/>
        </w:rPr>
      </w:pPr>
      <w:r>
        <w:rPr>
          <w:rFonts w:ascii="宋体" w:hAnsi="宋体" w:eastAsia="宋体" w:cs="宋体"/>
          <w:spacing w:val="3"/>
          <w:sz w:val="47"/>
          <w:szCs w:val="47"/>
        </w:rPr>
        <w:t>投标文件</w:t>
      </w:r>
    </w:p>
    <w:p w14:paraId="0024790D">
      <w:pPr>
        <w:keepNext w:val="0"/>
        <w:keepLines w:val="0"/>
        <w:pageBreakBefore w:val="0"/>
        <w:kinsoku/>
        <w:wordWrap/>
        <w:overflowPunct/>
        <w:topLinePunct w:val="0"/>
        <w:bidi w:val="0"/>
        <w:spacing w:before="166" w:line="220" w:lineRule="auto"/>
        <w:ind w:left="3471"/>
        <w:rPr>
          <w:rFonts w:ascii="宋体" w:hAnsi="宋体" w:eastAsia="宋体" w:cs="宋体"/>
          <w:sz w:val="28"/>
          <w:szCs w:val="28"/>
        </w:rPr>
      </w:pPr>
      <w:r>
        <w:rPr>
          <w:rFonts w:ascii="宋体" w:hAnsi="宋体" w:eastAsia="宋体" w:cs="宋体"/>
          <w:spacing w:val="-3"/>
          <w:sz w:val="28"/>
          <w:szCs w:val="28"/>
        </w:rPr>
        <w:t>项目编号：</w:t>
      </w:r>
    </w:p>
    <w:p w14:paraId="438D5CE0">
      <w:pPr>
        <w:pStyle w:val="4"/>
        <w:keepNext w:val="0"/>
        <w:keepLines w:val="0"/>
        <w:pageBreakBefore w:val="0"/>
        <w:kinsoku/>
        <w:wordWrap/>
        <w:overflowPunct/>
        <w:topLinePunct w:val="0"/>
        <w:bidi w:val="0"/>
        <w:spacing w:line="245" w:lineRule="auto"/>
      </w:pPr>
    </w:p>
    <w:p w14:paraId="557C7E27">
      <w:pPr>
        <w:pStyle w:val="4"/>
        <w:keepNext w:val="0"/>
        <w:keepLines w:val="0"/>
        <w:pageBreakBefore w:val="0"/>
        <w:kinsoku/>
        <w:wordWrap/>
        <w:overflowPunct/>
        <w:topLinePunct w:val="0"/>
        <w:bidi w:val="0"/>
        <w:spacing w:line="245" w:lineRule="auto"/>
      </w:pPr>
    </w:p>
    <w:p w14:paraId="7FD824F2">
      <w:pPr>
        <w:pStyle w:val="4"/>
        <w:keepNext w:val="0"/>
        <w:keepLines w:val="0"/>
        <w:pageBreakBefore w:val="0"/>
        <w:kinsoku/>
        <w:wordWrap/>
        <w:overflowPunct/>
        <w:topLinePunct w:val="0"/>
        <w:bidi w:val="0"/>
        <w:spacing w:line="245" w:lineRule="auto"/>
      </w:pPr>
    </w:p>
    <w:p w14:paraId="69A1D03E">
      <w:pPr>
        <w:pStyle w:val="4"/>
        <w:keepNext w:val="0"/>
        <w:keepLines w:val="0"/>
        <w:pageBreakBefore w:val="0"/>
        <w:kinsoku/>
        <w:wordWrap/>
        <w:overflowPunct/>
        <w:topLinePunct w:val="0"/>
        <w:bidi w:val="0"/>
        <w:spacing w:line="245" w:lineRule="auto"/>
      </w:pPr>
    </w:p>
    <w:p w14:paraId="6FEE22F5">
      <w:pPr>
        <w:pStyle w:val="4"/>
        <w:keepNext w:val="0"/>
        <w:keepLines w:val="0"/>
        <w:pageBreakBefore w:val="0"/>
        <w:kinsoku/>
        <w:wordWrap/>
        <w:overflowPunct/>
        <w:topLinePunct w:val="0"/>
        <w:bidi w:val="0"/>
        <w:spacing w:line="245" w:lineRule="auto"/>
      </w:pPr>
    </w:p>
    <w:p w14:paraId="67525700">
      <w:pPr>
        <w:pStyle w:val="4"/>
        <w:keepNext w:val="0"/>
        <w:keepLines w:val="0"/>
        <w:pageBreakBefore w:val="0"/>
        <w:kinsoku/>
        <w:wordWrap/>
        <w:overflowPunct/>
        <w:topLinePunct w:val="0"/>
        <w:bidi w:val="0"/>
        <w:spacing w:line="245" w:lineRule="auto"/>
      </w:pPr>
    </w:p>
    <w:p w14:paraId="60E4CB81">
      <w:pPr>
        <w:pStyle w:val="4"/>
        <w:keepNext w:val="0"/>
        <w:keepLines w:val="0"/>
        <w:pageBreakBefore w:val="0"/>
        <w:kinsoku/>
        <w:wordWrap/>
        <w:overflowPunct/>
        <w:topLinePunct w:val="0"/>
        <w:bidi w:val="0"/>
        <w:spacing w:line="245" w:lineRule="auto"/>
      </w:pPr>
    </w:p>
    <w:p w14:paraId="4EEA4B8A">
      <w:pPr>
        <w:pStyle w:val="4"/>
        <w:keepNext w:val="0"/>
        <w:keepLines w:val="0"/>
        <w:pageBreakBefore w:val="0"/>
        <w:kinsoku/>
        <w:wordWrap/>
        <w:overflowPunct/>
        <w:topLinePunct w:val="0"/>
        <w:bidi w:val="0"/>
        <w:spacing w:line="245" w:lineRule="auto"/>
      </w:pPr>
    </w:p>
    <w:p w14:paraId="04CCEA50">
      <w:pPr>
        <w:pStyle w:val="4"/>
        <w:keepNext w:val="0"/>
        <w:keepLines w:val="0"/>
        <w:pageBreakBefore w:val="0"/>
        <w:kinsoku/>
        <w:wordWrap/>
        <w:overflowPunct/>
        <w:topLinePunct w:val="0"/>
        <w:bidi w:val="0"/>
        <w:spacing w:line="245" w:lineRule="auto"/>
      </w:pPr>
    </w:p>
    <w:p w14:paraId="497BB4A5">
      <w:pPr>
        <w:pStyle w:val="4"/>
        <w:keepNext w:val="0"/>
        <w:keepLines w:val="0"/>
        <w:pageBreakBefore w:val="0"/>
        <w:kinsoku/>
        <w:wordWrap/>
        <w:overflowPunct/>
        <w:topLinePunct w:val="0"/>
        <w:bidi w:val="0"/>
        <w:spacing w:line="245" w:lineRule="auto"/>
      </w:pPr>
    </w:p>
    <w:p w14:paraId="682D8594">
      <w:pPr>
        <w:pStyle w:val="4"/>
        <w:keepNext w:val="0"/>
        <w:keepLines w:val="0"/>
        <w:pageBreakBefore w:val="0"/>
        <w:kinsoku/>
        <w:wordWrap/>
        <w:overflowPunct/>
        <w:topLinePunct w:val="0"/>
        <w:bidi w:val="0"/>
        <w:spacing w:line="245" w:lineRule="auto"/>
      </w:pPr>
    </w:p>
    <w:p w14:paraId="2B512505">
      <w:pPr>
        <w:pStyle w:val="4"/>
        <w:keepNext w:val="0"/>
        <w:keepLines w:val="0"/>
        <w:pageBreakBefore w:val="0"/>
        <w:kinsoku/>
        <w:wordWrap/>
        <w:overflowPunct/>
        <w:topLinePunct w:val="0"/>
        <w:bidi w:val="0"/>
        <w:spacing w:line="246" w:lineRule="auto"/>
      </w:pPr>
    </w:p>
    <w:p w14:paraId="18563998">
      <w:pPr>
        <w:pStyle w:val="4"/>
        <w:keepNext w:val="0"/>
        <w:keepLines w:val="0"/>
        <w:pageBreakBefore w:val="0"/>
        <w:kinsoku/>
        <w:wordWrap/>
        <w:overflowPunct/>
        <w:topLinePunct w:val="0"/>
        <w:bidi w:val="0"/>
        <w:spacing w:line="246" w:lineRule="auto"/>
      </w:pPr>
    </w:p>
    <w:p w14:paraId="52FB4722">
      <w:pPr>
        <w:pStyle w:val="4"/>
        <w:keepNext w:val="0"/>
        <w:keepLines w:val="0"/>
        <w:pageBreakBefore w:val="0"/>
        <w:kinsoku/>
        <w:wordWrap/>
        <w:overflowPunct/>
        <w:topLinePunct w:val="0"/>
        <w:bidi w:val="0"/>
        <w:spacing w:line="246" w:lineRule="auto"/>
      </w:pPr>
    </w:p>
    <w:p w14:paraId="021FE48F">
      <w:pPr>
        <w:pStyle w:val="4"/>
        <w:keepNext w:val="0"/>
        <w:keepLines w:val="0"/>
        <w:pageBreakBefore w:val="0"/>
        <w:kinsoku/>
        <w:wordWrap/>
        <w:overflowPunct/>
        <w:topLinePunct w:val="0"/>
        <w:bidi w:val="0"/>
        <w:spacing w:line="246" w:lineRule="auto"/>
      </w:pPr>
    </w:p>
    <w:p w14:paraId="506A2971">
      <w:pPr>
        <w:pStyle w:val="4"/>
        <w:keepNext w:val="0"/>
        <w:keepLines w:val="0"/>
        <w:pageBreakBefore w:val="0"/>
        <w:kinsoku/>
        <w:wordWrap/>
        <w:overflowPunct/>
        <w:topLinePunct w:val="0"/>
        <w:bidi w:val="0"/>
        <w:spacing w:line="246" w:lineRule="auto"/>
      </w:pPr>
    </w:p>
    <w:p w14:paraId="69B5AF14">
      <w:pPr>
        <w:pStyle w:val="4"/>
        <w:keepNext w:val="0"/>
        <w:keepLines w:val="0"/>
        <w:pageBreakBefore w:val="0"/>
        <w:kinsoku/>
        <w:wordWrap/>
        <w:overflowPunct/>
        <w:topLinePunct w:val="0"/>
        <w:bidi w:val="0"/>
        <w:spacing w:line="246" w:lineRule="auto"/>
      </w:pPr>
    </w:p>
    <w:p w14:paraId="2388F2C6">
      <w:pPr>
        <w:pStyle w:val="4"/>
        <w:keepNext w:val="0"/>
        <w:keepLines w:val="0"/>
        <w:pageBreakBefore w:val="0"/>
        <w:kinsoku/>
        <w:wordWrap/>
        <w:overflowPunct/>
        <w:topLinePunct w:val="0"/>
        <w:bidi w:val="0"/>
        <w:spacing w:line="246" w:lineRule="auto"/>
      </w:pPr>
    </w:p>
    <w:p w14:paraId="2A1BA101">
      <w:pPr>
        <w:keepNext w:val="0"/>
        <w:keepLines w:val="0"/>
        <w:pageBreakBefore w:val="0"/>
        <w:kinsoku/>
        <w:wordWrap/>
        <w:overflowPunct/>
        <w:topLinePunct w:val="0"/>
        <w:bidi w:val="0"/>
        <w:spacing w:before="79" w:line="219" w:lineRule="auto"/>
        <w:ind w:left="801"/>
        <w:rPr>
          <w:rFonts w:ascii="宋体" w:hAnsi="宋体" w:eastAsia="宋体" w:cs="宋体"/>
          <w:sz w:val="24"/>
          <w:szCs w:val="24"/>
        </w:rPr>
      </w:pPr>
      <w:r>
        <w:rPr>
          <w:rFonts w:ascii="宋体" w:hAnsi="宋体" w:eastAsia="宋体" w:cs="宋体"/>
          <w:spacing w:val="2"/>
          <w:sz w:val="24"/>
          <w:szCs w:val="24"/>
        </w:rPr>
        <w:t>投标人</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pacing w:val="2"/>
          <w:sz w:val="24"/>
          <w:szCs w:val="24"/>
        </w:rPr>
        <w:t>盖电子签章）</w:t>
      </w:r>
    </w:p>
    <w:p w14:paraId="15BCC50A">
      <w:pPr>
        <w:keepNext w:val="0"/>
        <w:keepLines w:val="0"/>
        <w:pageBreakBefore w:val="0"/>
        <w:kinsoku/>
        <w:wordWrap/>
        <w:overflowPunct/>
        <w:topLinePunct w:val="0"/>
        <w:bidi w:val="0"/>
        <w:spacing w:before="190" w:line="219" w:lineRule="auto"/>
        <w:ind w:left="799"/>
        <w:rPr>
          <w:rFonts w:ascii="宋体" w:hAnsi="宋体" w:eastAsia="宋体" w:cs="宋体"/>
          <w:sz w:val="24"/>
          <w:szCs w:val="24"/>
        </w:rPr>
      </w:pPr>
      <w:r>
        <w:rPr>
          <w:rFonts w:ascii="宋体" w:hAnsi="宋体" w:eastAsia="宋体" w:cs="宋体"/>
          <w:spacing w:val="1"/>
          <w:sz w:val="24"/>
          <w:szCs w:val="24"/>
        </w:rPr>
        <w:t>法定代表人（或其委托代理人</w:t>
      </w:r>
      <w:r>
        <w:rPr>
          <w:rFonts w:ascii="宋体" w:hAnsi="宋体" w:eastAsia="宋体" w:cs="宋体"/>
          <w:spacing w:val="-11"/>
          <w:sz w:val="24"/>
          <w:szCs w:val="24"/>
        </w:rPr>
        <w:t>）：</w:t>
      </w:r>
      <w:r>
        <w:rPr>
          <w:rFonts w:ascii="宋体" w:hAnsi="宋体" w:eastAsia="宋体" w:cs="宋体"/>
          <w:sz w:val="24"/>
          <w:szCs w:val="24"/>
          <w:u w:val="single" w:color="auto"/>
        </w:rPr>
        <w:t xml:space="preserve">           </w:t>
      </w:r>
      <w:r>
        <w:rPr>
          <w:rFonts w:ascii="宋体" w:hAnsi="宋体" w:eastAsia="宋体" w:cs="宋体"/>
          <w:spacing w:val="-11"/>
          <w:sz w:val="24"/>
          <w:szCs w:val="24"/>
        </w:rPr>
        <w:t>（</w:t>
      </w:r>
      <w:r>
        <w:rPr>
          <w:rFonts w:ascii="宋体" w:hAnsi="宋体" w:eastAsia="宋体" w:cs="宋体"/>
          <w:spacing w:val="1"/>
          <w:sz w:val="24"/>
          <w:szCs w:val="24"/>
        </w:rPr>
        <w:t>签字或盖章）</w:t>
      </w:r>
    </w:p>
    <w:p w14:paraId="13E740FE">
      <w:pPr>
        <w:keepNext w:val="0"/>
        <w:keepLines w:val="0"/>
        <w:pageBreakBefore w:val="0"/>
        <w:kinsoku/>
        <w:wordWrap/>
        <w:overflowPunct/>
        <w:topLinePunct w:val="0"/>
        <w:bidi w:val="0"/>
        <w:spacing w:before="192" w:line="219" w:lineRule="auto"/>
        <w:ind w:left="840"/>
        <w:rPr>
          <w:rFonts w:ascii="宋体" w:hAnsi="宋体" w:eastAsia="宋体" w:cs="宋体"/>
          <w:sz w:val="24"/>
          <w:szCs w:val="24"/>
        </w:rPr>
      </w:pPr>
      <w:r>
        <w:rPr>
          <w:rFonts w:ascii="宋体" w:hAnsi="宋体" w:eastAsia="宋体" w:cs="宋体"/>
          <w:spacing w:val="-15"/>
          <w:sz w:val="24"/>
          <w:szCs w:val="24"/>
        </w:rPr>
        <w:t>日</w:t>
      </w:r>
      <w:r>
        <w:rPr>
          <w:rFonts w:ascii="宋体" w:hAnsi="宋体" w:eastAsia="宋体" w:cs="宋体"/>
          <w:spacing w:val="3"/>
          <w:sz w:val="24"/>
          <w:szCs w:val="24"/>
        </w:rPr>
        <w:t xml:space="preserve">    </w:t>
      </w:r>
      <w:r>
        <w:rPr>
          <w:rFonts w:ascii="宋体" w:hAnsi="宋体" w:eastAsia="宋体" w:cs="宋体"/>
          <w:spacing w:val="-15"/>
          <w:sz w:val="24"/>
          <w:szCs w:val="24"/>
        </w:rPr>
        <w:t>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5"/>
          <w:sz w:val="24"/>
          <w:szCs w:val="24"/>
        </w:rPr>
        <w:t>年</w:t>
      </w:r>
      <w:r>
        <w:rPr>
          <w:rFonts w:ascii="宋体" w:hAnsi="宋体" w:eastAsia="宋体" w:cs="宋体"/>
          <w:spacing w:val="24"/>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5"/>
          <w:sz w:val="24"/>
          <w:szCs w:val="24"/>
        </w:rPr>
        <w:t>月</w:t>
      </w:r>
      <w:r>
        <w:rPr>
          <w:rFonts w:ascii="宋体" w:hAnsi="宋体" w:eastAsia="宋体" w:cs="宋体"/>
          <w:spacing w:val="2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5"/>
          <w:sz w:val="24"/>
          <w:szCs w:val="24"/>
        </w:rPr>
        <w:t>日</w:t>
      </w:r>
    </w:p>
    <w:p w14:paraId="4959F6FB">
      <w:pPr>
        <w:keepNext w:val="0"/>
        <w:keepLines w:val="0"/>
        <w:pageBreakBefore w:val="0"/>
        <w:kinsoku/>
        <w:wordWrap/>
        <w:overflowPunct/>
        <w:topLinePunct w:val="0"/>
        <w:bidi w:val="0"/>
        <w:spacing w:before="219" w:line="222" w:lineRule="auto"/>
        <w:ind w:left="4209"/>
        <w:rPr>
          <w:rFonts w:ascii="宋体" w:hAnsi="宋体" w:eastAsia="宋体" w:cs="宋体"/>
          <w:sz w:val="28"/>
          <w:szCs w:val="28"/>
        </w:rPr>
      </w:pPr>
      <w:r>
        <w:rPr>
          <w:rFonts w:ascii="宋体" w:hAnsi="宋体" w:eastAsia="宋体" w:cs="宋体"/>
          <w:sz w:val="28"/>
          <w:szCs w:val="28"/>
        </w:rPr>
        <w:br w:type="page"/>
      </w:r>
    </w:p>
    <w:sdt>
      <w:sdtPr>
        <w:rPr>
          <w:rFonts w:ascii="宋体" w:hAnsi="宋体" w:eastAsia="宋体" w:cs="宋体"/>
          <w:sz w:val="28"/>
          <w:szCs w:val="28"/>
        </w:rPr>
        <w:id w:val="147455624"/>
        <w:docPartObj>
          <w:docPartGallery w:val="Table of Contents"/>
          <w:docPartUnique/>
        </w:docPartObj>
      </w:sdtPr>
      <w:sdtEndPr>
        <w:rPr>
          <w:rFonts w:ascii="Times New Roman" w:hAnsi="Times New Roman" w:eastAsia="Times New Roman" w:cs="Times New Roman"/>
          <w:sz w:val="20"/>
          <w:szCs w:val="20"/>
        </w:rPr>
      </w:sdtEndPr>
      <w:sdtContent>
        <w:p w14:paraId="35618CB4">
          <w:pPr>
            <w:keepNext w:val="0"/>
            <w:keepLines w:val="0"/>
            <w:pageBreakBefore w:val="0"/>
            <w:kinsoku/>
            <w:wordWrap/>
            <w:overflowPunct/>
            <w:topLinePunct w:val="0"/>
            <w:bidi w:val="0"/>
            <w:spacing w:before="219" w:line="222" w:lineRule="auto"/>
            <w:ind w:left="4209"/>
            <w:rPr>
              <w:rFonts w:ascii="宋体" w:hAnsi="宋体" w:eastAsia="宋体" w:cs="宋体"/>
              <w:sz w:val="28"/>
              <w:szCs w:val="28"/>
            </w:rPr>
          </w:pPr>
          <w:r>
            <w:rPr>
              <w:rFonts w:ascii="宋体" w:hAnsi="宋体" w:eastAsia="宋体" w:cs="宋体"/>
              <w:b/>
              <w:bCs/>
              <w:spacing w:val="-35"/>
              <w:sz w:val="28"/>
              <w:szCs w:val="28"/>
            </w:rPr>
            <w:t>目</w:t>
          </w:r>
          <w:r>
            <w:rPr>
              <w:rFonts w:ascii="宋体" w:hAnsi="宋体" w:eastAsia="宋体" w:cs="宋体"/>
              <w:spacing w:val="9"/>
              <w:sz w:val="28"/>
              <w:szCs w:val="28"/>
            </w:rPr>
            <w:t xml:space="preserve">  </w:t>
          </w:r>
          <w:r>
            <w:rPr>
              <w:rFonts w:ascii="宋体" w:hAnsi="宋体" w:eastAsia="宋体" w:cs="宋体"/>
              <w:b/>
              <w:bCs/>
              <w:spacing w:val="-35"/>
              <w:sz w:val="28"/>
              <w:szCs w:val="28"/>
            </w:rPr>
            <w:t>录</w:t>
          </w:r>
        </w:p>
        <w:p w14:paraId="5D8580B8">
          <w:pPr>
            <w:keepNext w:val="0"/>
            <w:keepLines w:val="0"/>
            <w:pageBreakBefore w:val="0"/>
            <w:tabs>
              <w:tab w:val="right" w:leader="dot" w:pos="9170"/>
            </w:tabs>
            <w:kinsoku/>
            <w:wordWrap/>
            <w:overflowPunct/>
            <w:topLinePunct w:val="0"/>
            <w:bidi w:val="0"/>
            <w:spacing w:before="238" w:line="184" w:lineRule="auto"/>
          </w:pPr>
        </w:p>
      </w:sdtContent>
    </w:sdt>
    <w:p w14:paraId="59E45ABF">
      <w:pPr>
        <w:keepNext w:val="0"/>
        <w:keepLines w:val="0"/>
        <w:pageBreakBefore w:val="0"/>
        <w:kinsoku/>
        <w:wordWrap/>
        <w:overflowPunct/>
        <w:topLinePunct w:val="0"/>
        <w:bidi w:val="0"/>
        <w:spacing w:before="214" w:line="219" w:lineRule="auto"/>
        <w:ind w:left="15"/>
        <w:outlineLvl w:val="9"/>
        <w:rPr>
          <w:rFonts w:ascii="宋体" w:hAnsi="宋体" w:eastAsia="宋体" w:cs="宋体"/>
          <w:sz w:val="24"/>
          <w:szCs w:val="24"/>
        </w:rPr>
      </w:pPr>
      <w:r>
        <w:rPr>
          <w:rFonts w:ascii="宋体" w:hAnsi="宋体" w:eastAsia="宋体" w:cs="宋体"/>
          <w:spacing w:val="1"/>
          <w:sz w:val="24"/>
          <w:szCs w:val="24"/>
        </w:rPr>
        <w:t>一、投标函及投标函附录</w:t>
      </w:r>
    </w:p>
    <w:p w14:paraId="5A1AEDAB">
      <w:pPr>
        <w:keepNext w:val="0"/>
        <w:keepLines w:val="0"/>
        <w:pageBreakBefore w:val="0"/>
        <w:kinsoku/>
        <w:wordWrap/>
        <w:overflowPunct/>
        <w:topLinePunct w:val="0"/>
        <w:bidi w:val="0"/>
        <w:spacing w:before="190" w:line="219" w:lineRule="auto"/>
        <w:ind w:left="75"/>
        <w:rPr>
          <w:rFonts w:ascii="宋体" w:hAnsi="宋体" w:eastAsia="宋体" w:cs="宋体"/>
          <w:sz w:val="24"/>
          <w:szCs w:val="24"/>
        </w:rPr>
      </w:pPr>
      <w:r>
        <w:rPr>
          <w:rFonts w:ascii="宋体" w:hAnsi="宋体" w:eastAsia="宋体" w:cs="宋体"/>
          <w:spacing w:val="2"/>
          <w:sz w:val="24"/>
          <w:szCs w:val="24"/>
        </w:rPr>
        <w:t>二、法定代表人（单位负责人）身份证明或授权委托书</w:t>
      </w:r>
    </w:p>
    <w:p w14:paraId="7DF55721">
      <w:pPr>
        <w:keepNext w:val="0"/>
        <w:keepLines w:val="0"/>
        <w:pageBreakBefore w:val="0"/>
        <w:kinsoku/>
        <w:wordWrap/>
        <w:overflowPunct/>
        <w:topLinePunct w:val="0"/>
        <w:bidi w:val="0"/>
        <w:spacing w:before="194" w:line="219" w:lineRule="auto"/>
        <w:ind w:left="71"/>
        <w:rPr>
          <w:rFonts w:ascii="宋体" w:hAnsi="宋体" w:eastAsia="宋体" w:cs="宋体"/>
          <w:sz w:val="24"/>
          <w:szCs w:val="24"/>
        </w:rPr>
      </w:pPr>
      <w:r>
        <w:rPr>
          <w:rFonts w:ascii="宋体" w:hAnsi="宋体" w:eastAsia="宋体" w:cs="宋体"/>
          <w:spacing w:val="1"/>
          <w:sz w:val="24"/>
          <w:szCs w:val="24"/>
        </w:rPr>
        <w:t>三、投标承诺函</w:t>
      </w:r>
    </w:p>
    <w:p w14:paraId="4100C064">
      <w:pPr>
        <w:keepNext w:val="0"/>
        <w:keepLines w:val="0"/>
        <w:pageBreakBefore w:val="0"/>
        <w:kinsoku/>
        <w:wordWrap/>
        <w:overflowPunct/>
        <w:topLinePunct w:val="0"/>
        <w:bidi w:val="0"/>
        <w:spacing w:before="187" w:line="219" w:lineRule="auto"/>
        <w:ind w:left="94"/>
        <w:rPr>
          <w:rFonts w:ascii="宋体" w:hAnsi="宋体" w:eastAsia="宋体" w:cs="宋体"/>
          <w:sz w:val="24"/>
          <w:szCs w:val="24"/>
        </w:rPr>
      </w:pPr>
      <w:r>
        <w:rPr>
          <w:rFonts w:ascii="宋体" w:hAnsi="宋体" w:eastAsia="宋体" w:cs="宋体"/>
          <w:sz w:val="24"/>
          <w:szCs w:val="24"/>
        </w:rPr>
        <w:t>四、商务和采购需求响应表</w:t>
      </w:r>
    </w:p>
    <w:p w14:paraId="36344197">
      <w:pPr>
        <w:keepNext w:val="0"/>
        <w:keepLines w:val="0"/>
        <w:pageBreakBefore w:val="0"/>
        <w:kinsoku/>
        <w:wordWrap/>
        <w:overflowPunct/>
        <w:topLinePunct w:val="0"/>
        <w:bidi w:val="0"/>
        <w:spacing w:before="194" w:line="219" w:lineRule="auto"/>
        <w:ind w:left="75"/>
        <w:rPr>
          <w:rFonts w:ascii="宋体" w:hAnsi="宋体" w:eastAsia="宋体" w:cs="宋体"/>
          <w:sz w:val="24"/>
          <w:szCs w:val="24"/>
        </w:rPr>
      </w:pPr>
      <w:r>
        <w:rPr>
          <w:rFonts w:ascii="宋体" w:hAnsi="宋体" w:eastAsia="宋体" w:cs="宋体"/>
          <w:spacing w:val="1"/>
          <w:sz w:val="24"/>
          <w:szCs w:val="24"/>
        </w:rPr>
        <w:t>五、资格证明文件</w:t>
      </w:r>
    </w:p>
    <w:p w14:paraId="5860A825">
      <w:pPr>
        <w:keepNext w:val="0"/>
        <w:keepLines w:val="0"/>
        <w:pageBreakBefore w:val="0"/>
        <w:kinsoku/>
        <w:wordWrap/>
        <w:overflowPunct/>
        <w:topLinePunct w:val="0"/>
        <w:bidi w:val="0"/>
        <w:spacing w:before="190" w:line="219" w:lineRule="auto"/>
        <w:ind w:left="73"/>
        <w:rPr>
          <w:rFonts w:ascii="宋体" w:hAnsi="宋体" w:eastAsia="宋体" w:cs="宋体"/>
          <w:sz w:val="24"/>
          <w:szCs w:val="24"/>
        </w:rPr>
      </w:pPr>
      <w:r>
        <w:rPr>
          <w:rFonts w:ascii="宋体" w:hAnsi="宋体" w:eastAsia="宋体" w:cs="宋体"/>
          <w:spacing w:val="1"/>
          <w:sz w:val="24"/>
          <w:szCs w:val="24"/>
        </w:rPr>
        <w:t>六、技术标部分证明材料</w:t>
      </w:r>
    </w:p>
    <w:p w14:paraId="25C5FA4F">
      <w:pPr>
        <w:keepNext w:val="0"/>
        <w:keepLines w:val="0"/>
        <w:pageBreakBefore w:val="0"/>
        <w:kinsoku/>
        <w:wordWrap/>
        <w:overflowPunct/>
        <w:topLinePunct w:val="0"/>
        <w:bidi w:val="0"/>
        <w:spacing w:before="190" w:line="219" w:lineRule="auto"/>
        <w:ind w:left="70"/>
        <w:rPr>
          <w:rFonts w:ascii="宋体" w:hAnsi="宋体" w:eastAsia="宋体" w:cs="宋体"/>
          <w:sz w:val="24"/>
          <w:szCs w:val="24"/>
        </w:rPr>
      </w:pPr>
      <w:r>
        <w:rPr>
          <w:rFonts w:ascii="宋体" w:hAnsi="宋体" w:eastAsia="宋体" w:cs="宋体"/>
          <w:spacing w:val="1"/>
          <w:sz w:val="24"/>
          <w:szCs w:val="24"/>
        </w:rPr>
        <w:t>七、综合标部分证明材料</w:t>
      </w:r>
    </w:p>
    <w:p w14:paraId="6E925268">
      <w:pPr>
        <w:keepNext w:val="0"/>
        <w:keepLines w:val="0"/>
        <w:pageBreakBefore w:val="0"/>
        <w:kinsoku/>
        <w:wordWrap/>
        <w:overflowPunct/>
        <w:topLinePunct w:val="0"/>
        <w:bidi w:val="0"/>
        <w:spacing w:before="191" w:line="219" w:lineRule="auto"/>
        <w:ind w:left="75"/>
        <w:rPr>
          <w:rFonts w:ascii="宋体" w:hAnsi="宋体" w:eastAsia="宋体" w:cs="宋体"/>
          <w:sz w:val="24"/>
          <w:szCs w:val="24"/>
        </w:rPr>
      </w:pPr>
      <w:r>
        <w:rPr>
          <w:rFonts w:ascii="宋体" w:hAnsi="宋体" w:eastAsia="宋体" w:cs="宋体"/>
          <w:spacing w:val="1"/>
          <w:sz w:val="24"/>
          <w:szCs w:val="24"/>
        </w:rPr>
        <w:t>八、反商业贿赂承诺书</w:t>
      </w:r>
    </w:p>
    <w:p w14:paraId="527E931C">
      <w:pPr>
        <w:keepNext w:val="0"/>
        <w:keepLines w:val="0"/>
        <w:pageBreakBefore w:val="0"/>
        <w:kinsoku/>
        <w:wordWrap/>
        <w:overflowPunct/>
        <w:topLinePunct w:val="0"/>
        <w:bidi w:val="0"/>
        <w:spacing w:before="190" w:line="219" w:lineRule="auto"/>
        <w:ind w:left="77"/>
        <w:rPr>
          <w:rFonts w:ascii="宋体" w:hAnsi="宋体" w:eastAsia="宋体" w:cs="宋体"/>
          <w:sz w:val="24"/>
          <w:szCs w:val="24"/>
        </w:rPr>
      </w:pPr>
      <w:r>
        <w:rPr>
          <w:rFonts w:ascii="宋体" w:hAnsi="宋体" w:eastAsia="宋体" w:cs="宋体"/>
          <w:spacing w:val="1"/>
          <w:sz w:val="24"/>
          <w:szCs w:val="24"/>
        </w:rPr>
        <w:t>九、投标人认为需要提交的其他证明材料</w:t>
      </w:r>
    </w:p>
    <w:p w14:paraId="37178618">
      <w:pPr>
        <w:keepNext w:val="0"/>
        <w:keepLines w:val="0"/>
        <w:pageBreakBefore w:val="0"/>
        <w:kinsoku/>
        <w:wordWrap/>
        <w:overflowPunct/>
        <w:topLinePunct w:val="0"/>
        <w:bidi w:val="0"/>
        <w:spacing w:before="219" w:line="219" w:lineRule="auto"/>
        <w:ind w:left="3024"/>
        <w:outlineLvl w:val="1"/>
        <w:rPr>
          <w:rFonts w:ascii="宋体" w:hAnsi="宋体" w:eastAsia="宋体" w:cs="宋体"/>
          <w:sz w:val="28"/>
          <w:szCs w:val="28"/>
        </w:rPr>
      </w:pPr>
      <w:bookmarkStart w:id="38" w:name="bookmark30"/>
      <w:bookmarkEnd w:id="38"/>
      <w:bookmarkStart w:id="39" w:name="bookmark29"/>
      <w:bookmarkEnd w:id="39"/>
      <w:bookmarkStart w:id="40" w:name="_Toc7911"/>
      <w:r>
        <w:rPr>
          <w:rFonts w:ascii="宋体" w:hAnsi="宋体" w:eastAsia="宋体" w:cs="宋体"/>
          <w:b/>
          <w:bCs/>
          <w:spacing w:val="-1"/>
          <w:sz w:val="28"/>
          <w:szCs w:val="28"/>
        </w:rPr>
        <w:br w:type="page"/>
      </w:r>
      <w:r>
        <w:rPr>
          <w:rFonts w:ascii="宋体" w:hAnsi="宋体" w:eastAsia="宋体" w:cs="宋体"/>
          <w:b/>
          <w:bCs/>
          <w:spacing w:val="-1"/>
          <w:sz w:val="28"/>
          <w:szCs w:val="28"/>
        </w:rPr>
        <w:t>一、投标函及投标函附录</w:t>
      </w:r>
      <w:bookmarkEnd w:id="40"/>
    </w:p>
    <w:p w14:paraId="4A431C91">
      <w:pPr>
        <w:keepNext w:val="0"/>
        <w:keepLines w:val="0"/>
        <w:pageBreakBefore w:val="0"/>
        <w:kinsoku/>
        <w:wordWrap/>
        <w:overflowPunct/>
        <w:topLinePunct w:val="0"/>
        <w:bidi w:val="0"/>
        <w:spacing w:before="242" w:line="220" w:lineRule="auto"/>
        <w:ind w:left="3871"/>
        <w:outlineLvl w:val="2"/>
        <w:rPr>
          <w:rFonts w:ascii="宋体" w:hAnsi="宋体" w:eastAsia="宋体" w:cs="宋体"/>
          <w:sz w:val="24"/>
          <w:szCs w:val="24"/>
        </w:rPr>
      </w:pPr>
      <w:bookmarkStart w:id="41" w:name="_Toc17316"/>
      <w:r>
        <w:rPr>
          <w:rFonts w:ascii="宋体" w:hAnsi="宋体" w:eastAsia="宋体" w:cs="宋体"/>
          <w:b/>
          <w:bCs/>
          <w:spacing w:val="-3"/>
          <w:sz w:val="24"/>
          <w:szCs w:val="24"/>
        </w:rPr>
        <w:t>（一）投标函</w:t>
      </w:r>
      <w:bookmarkEnd w:id="41"/>
    </w:p>
    <w:p w14:paraId="441B8038">
      <w:pPr>
        <w:keepNext w:val="0"/>
        <w:keepLines w:val="0"/>
        <w:pageBreakBefore w:val="0"/>
        <w:kinsoku/>
        <w:wordWrap/>
        <w:overflowPunct/>
        <w:topLinePunct w:val="0"/>
        <w:bidi w:val="0"/>
        <w:spacing w:before="203" w:line="227" w:lineRule="auto"/>
        <w:rPr>
          <w:rFonts w:ascii="宋体" w:hAnsi="宋体" w:eastAsia="宋体" w:cs="宋体"/>
          <w:sz w:val="20"/>
          <w:szCs w:val="20"/>
        </w:rPr>
      </w:pPr>
      <w:r>
        <w:rPr>
          <w:rFonts w:ascii="宋体" w:hAnsi="宋体" w:eastAsia="宋体" w:cs="宋体"/>
          <w:spacing w:val="15"/>
          <w:sz w:val="20"/>
          <w:szCs w:val="20"/>
        </w:rPr>
        <w:t>致</w:t>
      </w:r>
      <w:r>
        <w:rPr>
          <w:rFonts w:ascii="宋体" w:hAnsi="宋体" w:eastAsia="宋体" w:cs="宋体"/>
          <w:spacing w:val="-19"/>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19"/>
          <w:sz w:val="20"/>
          <w:szCs w:val="20"/>
        </w:rPr>
        <w:t>（</w:t>
      </w:r>
      <w:r>
        <w:rPr>
          <w:rFonts w:ascii="宋体" w:hAnsi="宋体" w:eastAsia="宋体" w:cs="宋体"/>
          <w:spacing w:val="15"/>
          <w:sz w:val="20"/>
          <w:szCs w:val="20"/>
        </w:rPr>
        <w:t>采购人名称）</w:t>
      </w:r>
    </w:p>
    <w:p w14:paraId="7529C115">
      <w:pPr>
        <w:keepNext w:val="0"/>
        <w:keepLines w:val="0"/>
        <w:pageBreakBefore w:val="0"/>
        <w:kinsoku/>
        <w:wordWrap/>
        <w:overflowPunct/>
        <w:topLinePunct w:val="0"/>
        <w:bidi w:val="0"/>
        <w:spacing w:before="231" w:line="439" w:lineRule="auto"/>
        <w:ind w:firstLine="442"/>
        <w:rPr>
          <w:rFonts w:ascii="宋体" w:hAnsi="宋体" w:eastAsia="宋体" w:cs="宋体"/>
          <w:sz w:val="20"/>
          <w:szCs w:val="20"/>
        </w:rPr>
      </w:pPr>
      <w:r>
        <w:rPr>
          <w:rFonts w:ascii="宋体" w:hAnsi="宋体" w:eastAsia="宋体" w:cs="宋体"/>
          <w:spacing w:val="7"/>
          <w:sz w:val="20"/>
          <w:szCs w:val="20"/>
        </w:rPr>
        <w:t>1、我方已仔细研究了</w:t>
      </w:r>
      <w:r>
        <w:rPr>
          <w:rFonts w:ascii="宋体" w:hAnsi="宋体" w:eastAsia="宋体" w:cs="宋体"/>
          <w:spacing w:val="4"/>
          <w:sz w:val="20"/>
          <w:szCs w:val="20"/>
          <w:u w:val="single" w:color="auto"/>
        </w:rPr>
        <w:t xml:space="preserve">           </w:t>
      </w:r>
      <w:r>
        <w:rPr>
          <w:rFonts w:ascii="宋体" w:hAnsi="宋体" w:eastAsia="宋体" w:cs="宋体"/>
          <w:spacing w:val="7"/>
          <w:sz w:val="20"/>
          <w:szCs w:val="20"/>
          <w:u w:val="single" w:color="auto"/>
        </w:rPr>
        <w:t>（项目名称）</w:t>
      </w:r>
      <w:r>
        <w:rPr>
          <w:rFonts w:ascii="宋体" w:hAnsi="宋体" w:eastAsia="宋体" w:cs="宋体"/>
          <w:spacing w:val="7"/>
          <w:sz w:val="20"/>
          <w:szCs w:val="20"/>
        </w:rPr>
        <w:t>招标文件的全部内容，愿按照招标文件中规定的</w:t>
      </w:r>
      <w:r>
        <w:rPr>
          <w:rFonts w:ascii="宋体" w:hAnsi="宋体" w:eastAsia="宋体" w:cs="宋体"/>
          <w:spacing w:val="4"/>
          <w:sz w:val="20"/>
          <w:szCs w:val="20"/>
        </w:rPr>
        <w:t>条款和要求，提供采购文件要求的相关服务，投标总报价为（大写）</w:t>
      </w:r>
      <w:r>
        <w:rPr>
          <w:rFonts w:ascii="宋体" w:hAnsi="宋体" w:eastAsia="宋体" w:cs="宋体"/>
          <w:spacing w:val="4"/>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4"/>
          <w:sz w:val="20"/>
          <w:szCs w:val="20"/>
        </w:rPr>
        <w:t xml:space="preserve">元 </w:t>
      </w:r>
      <w:r>
        <w:rPr>
          <w:rFonts w:ascii="宋体" w:hAnsi="宋体" w:eastAsia="宋体" w:cs="宋体"/>
          <w:spacing w:val="3"/>
          <w:sz w:val="20"/>
          <w:szCs w:val="20"/>
        </w:rPr>
        <w:t>(¥</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70"/>
          <w:sz w:val="20"/>
          <w:szCs w:val="20"/>
        </w:rPr>
        <w:t xml:space="preserve"> </w:t>
      </w:r>
      <w:r>
        <w:rPr>
          <w:rFonts w:ascii="宋体" w:hAnsi="宋体" w:eastAsia="宋体" w:cs="宋体"/>
          <w:spacing w:val="3"/>
          <w:sz w:val="20"/>
          <w:szCs w:val="20"/>
        </w:rPr>
        <w:t>)</w:t>
      </w:r>
      <w:r>
        <w:rPr>
          <w:rFonts w:ascii="宋体" w:hAnsi="宋体" w:eastAsia="宋体" w:cs="宋体"/>
          <w:spacing w:val="31"/>
          <w:sz w:val="20"/>
          <w:szCs w:val="20"/>
        </w:rPr>
        <w:t xml:space="preserve"> </w:t>
      </w:r>
      <w:r>
        <w:rPr>
          <w:rFonts w:ascii="宋体" w:hAnsi="宋体" w:eastAsia="宋体" w:cs="宋体"/>
          <w:spacing w:val="3"/>
          <w:sz w:val="20"/>
          <w:szCs w:val="20"/>
        </w:rPr>
        <w:t>,</w:t>
      </w:r>
      <w:r>
        <w:rPr>
          <w:rFonts w:ascii="宋体" w:hAnsi="宋体" w:eastAsia="宋体" w:cs="宋体"/>
          <w:spacing w:val="5"/>
          <w:sz w:val="20"/>
          <w:szCs w:val="20"/>
        </w:rPr>
        <w:t>服务期限为</w:t>
      </w:r>
      <w:r>
        <w:rPr>
          <w:rFonts w:ascii="宋体" w:hAnsi="宋体" w:eastAsia="宋体" w:cs="宋体"/>
          <w:spacing w:val="-90"/>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62"/>
          <w:sz w:val="20"/>
          <w:szCs w:val="20"/>
        </w:rPr>
        <w:t xml:space="preserve"> </w:t>
      </w:r>
      <w:r>
        <w:rPr>
          <w:rFonts w:ascii="宋体" w:hAnsi="宋体" w:eastAsia="宋体" w:cs="宋体"/>
          <w:spacing w:val="5"/>
          <w:sz w:val="20"/>
          <w:szCs w:val="20"/>
        </w:rPr>
        <w:t>，质量要求</w:t>
      </w:r>
      <w:r>
        <w:rPr>
          <w:rFonts w:ascii="宋体" w:hAnsi="宋体" w:eastAsia="宋体" w:cs="宋体"/>
          <w:spacing w:val="-97"/>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14:paraId="4AB780FB">
      <w:pPr>
        <w:keepNext w:val="0"/>
        <w:keepLines w:val="0"/>
        <w:pageBreakBefore w:val="0"/>
        <w:kinsoku/>
        <w:wordWrap/>
        <w:overflowPunct/>
        <w:topLinePunct w:val="0"/>
        <w:bidi w:val="0"/>
        <w:spacing w:line="227" w:lineRule="auto"/>
        <w:ind w:left="429"/>
        <w:rPr>
          <w:rFonts w:ascii="宋体" w:hAnsi="宋体" w:eastAsia="宋体" w:cs="宋体"/>
          <w:sz w:val="20"/>
          <w:szCs w:val="20"/>
        </w:rPr>
      </w:pPr>
      <w:r>
        <w:rPr>
          <w:rFonts w:ascii="宋体" w:hAnsi="宋体" w:eastAsia="宋体" w:cs="宋体"/>
          <w:spacing w:val="8"/>
          <w:sz w:val="20"/>
          <w:szCs w:val="20"/>
        </w:rPr>
        <w:t>2、我方承诺在投标有效期内不修改、撤销投标文件。</w:t>
      </w:r>
    </w:p>
    <w:p w14:paraId="1EF94775">
      <w:pPr>
        <w:keepNext w:val="0"/>
        <w:keepLines w:val="0"/>
        <w:pageBreakBefore w:val="0"/>
        <w:kinsoku/>
        <w:wordWrap/>
        <w:overflowPunct/>
        <w:topLinePunct w:val="0"/>
        <w:bidi w:val="0"/>
        <w:spacing w:before="229" w:line="228" w:lineRule="auto"/>
        <w:ind w:left="431"/>
        <w:rPr>
          <w:rFonts w:ascii="宋体" w:hAnsi="宋体" w:eastAsia="宋体" w:cs="宋体"/>
          <w:sz w:val="20"/>
          <w:szCs w:val="20"/>
        </w:rPr>
      </w:pPr>
      <w:r>
        <w:rPr>
          <w:rFonts w:ascii="宋体" w:hAnsi="宋体" w:eastAsia="宋体" w:cs="宋体"/>
          <w:spacing w:val="6"/>
          <w:sz w:val="20"/>
          <w:szCs w:val="20"/>
        </w:rPr>
        <w:t>3、如我方中标：</w:t>
      </w:r>
    </w:p>
    <w:p w14:paraId="23207319">
      <w:pPr>
        <w:keepNext w:val="0"/>
        <w:keepLines w:val="0"/>
        <w:pageBreakBefore w:val="0"/>
        <w:kinsoku/>
        <w:wordWrap/>
        <w:overflowPunct/>
        <w:topLinePunct w:val="0"/>
        <w:bidi w:val="0"/>
        <w:spacing w:before="228" w:line="227" w:lineRule="auto"/>
        <w:ind w:left="437"/>
        <w:rPr>
          <w:rFonts w:ascii="宋体" w:hAnsi="宋体" w:eastAsia="宋体" w:cs="宋体"/>
          <w:sz w:val="20"/>
          <w:szCs w:val="20"/>
        </w:rPr>
      </w:pPr>
      <w:r>
        <w:rPr>
          <w:rFonts w:ascii="宋体" w:hAnsi="宋体" w:eastAsia="宋体" w:cs="宋体"/>
          <w:spacing w:val="9"/>
          <w:sz w:val="20"/>
          <w:szCs w:val="20"/>
        </w:rPr>
        <w:t>（1）我方承诺在收到中标通知书后，在中标通知书规定的期限内与你方签订合同。</w:t>
      </w:r>
    </w:p>
    <w:p w14:paraId="1F83E491">
      <w:pPr>
        <w:keepNext w:val="0"/>
        <w:keepLines w:val="0"/>
        <w:pageBreakBefore w:val="0"/>
        <w:kinsoku/>
        <w:wordWrap/>
        <w:overflowPunct/>
        <w:topLinePunct w:val="0"/>
        <w:bidi w:val="0"/>
        <w:spacing w:before="229" w:line="227" w:lineRule="auto"/>
        <w:ind w:left="437"/>
        <w:rPr>
          <w:rFonts w:ascii="宋体" w:hAnsi="宋体" w:eastAsia="宋体" w:cs="宋体"/>
          <w:sz w:val="20"/>
          <w:szCs w:val="20"/>
        </w:rPr>
      </w:pPr>
      <w:r>
        <w:rPr>
          <w:rFonts w:ascii="宋体" w:hAnsi="宋体" w:eastAsia="宋体" w:cs="宋体"/>
          <w:spacing w:val="9"/>
          <w:sz w:val="20"/>
          <w:szCs w:val="20"/>
        </w:rPr>
        <w:t>（2）随同本投标函递交的投标函附录属于合</w:t>
      </w:r>
      <w:r>
        <w:rPr>
          <w:rFonts w:ascii="宋体" w:hAnsi="宋体" w:eastAsia="宋体" w:cs="宋体"/>
          <w:spacing w:val="8"/>
          <w:sz w:val="20"/>
          <w:szCs w:val="20"/>
        </w:rPr>
        <w:t>同文件的组成部分。</w:t>
      </w:r>
    </w:p>
    <w:p w14:paraId="68433542">
      <w:pPr>
        <w:keepNext w:val="0"/>
        <w:keepLines w:val="0"/>
        <w:pageBreakBefore w:val="0"/>
        <w:kinsoku/>
        <w:wordWrap/>
        <w:overflowPunct/>
        <w:topLinePunct w:val="0"/>
        <w:bidi w:val="0"/>
        <w:spacing w:before="229" w:line="227" w:lineRule="auto"/>
        <w:ind w:left="437"/>
        <w:rPr>
          <w:rFonts w:ascii="宋体" w:hAnsi="宋体" w:eastAsia="宋体" w:cs="宋体"/>
          <w:sz w:val="20"/>
          <w:szCs w:val="20"/>
        </w:rPr>
      </w:pPr>
      <w:r>
        <w:rPr>
          <w:rFonts w:ascii="宋体" w:hAnsi="宋体" w:eastAsia="宋体" w:cs="宋体"/>
          <w:spacing w:val="8"/>
          <w:sz w:val="20"/>
          <w:szCs w:val="20"/>
        </w:rPr>
        <w:t>（3）我方承诺在签订合同时不向你方提出附加条件。</w:t>
      </w:r>
    </w:p>
    <w:p w14:paraId="07304C9F">
      <w:pPr>
        <w:keepNext w:val="0"/>
        <w:keepLines w:val="0"/>
        <w:pageBreakBefore w:val="0"/>
        <w:kinsoku/>
        <w:wordWrap/>
        <w:overflowPunct/>
        <w:topLinePunct w:val="0"/>
        <w:bidi w:val="0"/>
        <w:spacing w:before="232" w:line="227" w:lineRule="auto"/>
        <w:ind w:left="437"/>
        <w:rPr>
          <w:rFonts w:ascii="宋体" w:hAnsi="宋体" w:eastAsia="宋体" w:cs="宋体"/>
          <w:sz w:val="20"/>
          <w:szCs w:val="20"/>
        </w:rPr>
      </w:pPr>
      <w:r>
        <w:rPr>
          <w:rFonts w:ascii="宋体" w:hAnsi="宋体" w:eastAsia="宋体" w:cs="宋体"/>
          <w:spacing w:val="8"/>
          <w:sz w:val="20"/>
          <w:szCs w:val="20"/>
        </w:rPr>
        <w:t>（4）我方承诺在合同约定的期限内完成本项目。</w:t>
      </w:r>
    </w:p>
    <w:p w14:paraId="1691B774">
      <w:pPr>
        <w:keepNext w:val="0"/>
        <w:keepLines w:val="0"/>
        <w:pageBreakBefore w:val="0"/>
        <w:kinsoku/>
        <w:wordWrap/>
        <w:overflowPunct/>
        <w:topLinePunct w:val="0"/>
        <w:bidi w:val="0"/>
        <w:spacing w:before="227" w:line="228" w:lineRule="auto"/>
        <w:ind w:left="437"/>
        <w:rPr>
          <w:rFonts w:ascii="宋体" w:hAnsi="宋体" w:eastAsia="宋体" w:cs="宋体"/>
          <w:sz w:val="20"/>
          <w:szCs w:val="20"/>
        </w:rPr>
      </w:pPr>
      <w:r>
        <w:rPr>
          <w:rFonts w:ascii="宋体" w:hAnsi="宋体" w:eastAsia="宋体" w:cs="宋体"/>
          <w:spacing w:val="8"/>
          <w:sz w:val="20"/>
          <w:szCs w:val="20"/>
        </w:rPr>
        <w:t>（5）我方承诺按招标文件要求支付代理服务费。</w:t>
      </w:r>
    </w:p>
    <w:p w14:paraId="330CB61B">
      <w:pPr>
        <w:keepNext w:val="0"/>
        <w:keepLines w:val="0"/>
        <w:pageBreakBefore w:val="0"/>
        <w:kinsoku/>
        <w:wordWrap/>
        <w:overflowPunct/>
        <w:topLinePunct w:val="0"/>
        <w:bidi w:val="0"/>
        <w:spacing w:before="230" w:line="228" w:lineRule="auto"/>
        <w:ind w:left="426"/>
        <w:rPr>
          <w:rFonts w:ascii="宋体" w:hAnsi="宋体" w:eastAsia="宋体" w:cs="宋体"/>
          <w:sz w:val="20"/>
          <w:szCs w:val="20"/>
        </w:rPr>
      </w:pPr>
      <w:r>
        <w:rPr>
          <w:rFonts w:ascii="宋体" w:hAnsi="宋体" w:eastAsia="宋体" w:cs="宋体"/>
          <w:spacing w:val="9"/>
          <w:sz w:val="20"/>
          <w:szCs w:val="20"/>
        </w:rPr>
        <w:t>4、我方在此声明，所递交的投标文件及有关资料内容完整、真实和准确。</w:t>
      </w:r>
    </w:p>
    <w:p w14:paraId="23CAC646">
      <w:pPr>
        <w:keepNext w:val="0"/>
        <w:keepLines w:val="0"/>
        <w:pageBreakBefore w:val="0"/>
        <w:kinsoku/>
        <w:wordWrap/>
        <w:overflowPunct/>
        <w:topLinePunct w:val="0"/>
        <w:bidi w:val="0"/>
        <w:spacing w:before="229" w:line="228" w:lineRule="auto"/>
        <w:ind w:left="431"/>
        <w:rPr>
          <w:rFonts w:ascii="宋体" w:hAnsi="宋体" w:eastAsia="宋体" w:cs="宋体"/>
          <w:sz w:val="20"/>
          <w:szCs w:val="20"/>
        </w:rPr>
      </w:pPr>
      <w:r>
        <w:rPr>
          <w:rFonts w:ascii="宋体" w:hAnsi="宋体" w:eastAsia="宋体" w:cs="宋体"/>
          <w:spacing w:val="6"/>
          <w:sz w:val="20"/>
          <w:szCs w:val="20"/>
        </w:rPr>
        <w:t>5、</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6"/>
          <w:sz w:val="20"/>
          <w:szCs w:val="20"/>
        </w:rPr>
        <w:t>（其他补充说明）。</w:t>
      </w:r>
    </w:p>
    <w:p w14:paraId="5A89C6FA">
      <w:pPr>
        <w:pStyle w:val="4"/>
        <w:keepNext w:val="0"/>
        <w:keepLines w:val="0"/>
        <w:pageBreakBefore w:val="0"/>
        <w:kinsoku/>
        <w:wordWrap/>
        <w:overflowPunct/>
        <w:topLinePunct w:val="0"/>
        <w:bidi w:val="0"/>
        <w:spacing w:line="317" w:lineRule="auto"/>
      </w:pPr>
    </w:p>
    <w:p w14:paraId="0BEFA2D2">
      <w:pPr>
        <w:pStyle w:val="4"/>
        <w:keepNext w:val="0"/>
        <w:keepLines w:val="0"/>
        <w:pageBreakBefore w:val="0"/>
        <w:kinsoku/>
        <w:wordWrap/>
        <w:overflowPunct/>
        <w:topLinePunct w:val="0"/>
        <w:bidi w:val="0"/>
        <w:spacing w:line="317" w:lineRule="auto"/>
      </w:pPr>
    </w:p>
    <w:p w14:paraId="0DBD7309">
      <w:pPr>
        <w:keepNext w:val="0"/>
        <w:keepLines w:val="0"/>
        <w:pageBreakBefore w:val="0"/>
        <w:kinsoku/>
        <w:wordWrap/>
        <w:overflowPunct/>
        <w:topLinePunct w:val="0"/>
        <w:bidi w:val="0"/>
        <w:spacing w:before="65" w:line="227" w:lineRule="auto"/>
        <w:ind w:left="2"/>
        <w:rPr>
          <w:rFonts w:ascii="宋体" w:hAnsi="宋体" w:eastAsia="宋体" w:cs="宋体"/>
          <w:sz w:val="20"/>
          <w:szCs w:val="20"/>
        </w:rPr>
      </w:pPr>
      <w:r>
        <w:rPr>
          <w:rFonts w:ascii="宋体" w:hAnsi="宋体" w:eastAsia="宋体" w:cs="宋体"/>
          <w:spacing w:val="11"/>
          <w:sz w:val="20"/>
          <w:szCs w:val="20"/>
        </w:rPr>
        <w:t>投标人（盖电子签章</w:t>
      </w:r>
      <w:r>
        <w:rPr>
          <w:rFonts w:ascii="宋体" w:hAnsi="宋体" w:eastAsia="宋体" w:cs="宋体"/>
          <w:spacing w:val="-6"/>
          <w:sz w:val="20"/>
          <w:szCs w:val="20"/>
        </w:rPr>
        <w:t>）</w:t>
      </w:r>
      <w:r>
        <w:rPr>
          <w:rFonts w:ascii="宋体" w:hAnsi="宋体" w:eastAsia="宋体" w:cs="宋体"/>
          <w:spacing w:val="-57"/>
          <w:sz w:val="20"/>
          <w:szCs w:val="20"/>
        </w:rPr>
        <w:t xml:space="preserve"> </w:t>
      </w:r>
      <w:r>
        <w:rPr>
          <w:rFonts w:ascii="宋体" w:hAnsi="宋体" w:eastAsia="宋体" w:cs="宋体"/>
          <w:spacing w:val="-6"/>
          <w:sz w:val="20"/>
          <w:szCs w:val="20"/>
        </w:rPr>
        <w:t>：</w:t>
      </w:r>
      <w:r>
        <w:rPr>
          <w:rFonts w:ascii="宋体" w:hAnsi="宋体" w:eastAsia="宋体" w:cs="宋体"/>
          <w:sz w:val="20"/>
          <w:szCs w:val="20"/>
          <w:u w:val="single" w:color="auto"/>
        </w:rPr>
        <w:t xml:space="preserve">                  </w:t>
      </w:r>
    </w:p>
    <w:p w14:paraId="3FC64DA9">
      <w:pPr>
        <w:keepNext w:val="0"/>
        <w:keepLines w:val="0"/>
        <w:pageBreakBefore w:val="0"/>
        <w:kinsoku/>
        <w:wordWrap/>
        <w:overflowPunct/>
        <w:topLinePunct w:val="0"/>
        <w:bidi w:val="0"/>
        <w:spacing w:before="230" w:line="227" w:lineRule="auto"/>
        <w:rPr>
          <w:rFonts w:ascii="宋体" w:hAnsi="宋体" w:eastAsia="宋体" w:cs="宋体"/>
          <w:sz w:val="20"/>
          <w:szCs w:val="20"/>
        </w:rPr>
      </w:pPr>
      <w:r>
        <w:rPr>
          <w:rFonts w:ascii="宋体" w:hAnsi="宋体" w:eastAsia="宋体" w:cs="宋体"/>
          <w:spacing w:val="9"/>
          <w:sz w:val="20"/>
          <w:szCs w:val="20"/>
        </w:rPr>
        <w:t>法定代表人或其委托代理人（签字或盖章</w:t>
      </w:r>
      <w:r>
        <w:rPr>
          <w:rFonts w:ascii="宋体" w:hAnsi="宋体" w:eastAsia="宋体" w:cs="宋体"/>
          <w:spacing w:val="13"/>
          <w:sz w:val="20"/>
          <w:szCs w:val="20"/>
        </w:rPr>
        <w:t>）：</w:t>
      </w:r>
      <w:r>
        <w:rPr>
          <w:rFonts w:ascii="宋体" w:hAnsi="宋体" w:eastAsia="宋体" w:cs="宋体"/>
          <w:sz w:val="20"/>
          <w:szCs w:val="20"/>
          <w:u w:val="single" w:color="auto"/>
        </w:rPr>
        <w:t xml:space="preserve">                </w:t>
      </w:r>
    </w:p>
    <w:p w14:paraId="542F28CE">
      <w:pPr>
        <w:keepNext w:val="0"/>
        <w:keepLines w:val="0"/>
        <w:pageBreakBefore w:val="0"/>
        <w:kinsoku/>
        <w:wordWrap/>
        <w:overflowPunct/>
        <w:topLinePunct w:val="0"/>
        <w:bidi w:val="0"/>
        <w:spacing w:before="230" w:line="228" w:lineRule="auto"/>
        <w:rPr>
          <w:rFonts w:ascii="宋体" w:hAnsi="宋体" w:eastAsia="宋体" w:cs="宋体"/>
          <w:sz w:val="20"/>
          <w:szCs w:val="20"/>
        </w:rPr>
      </w:pPr>
      <w:r>
        <w:rPr>
          <w:rFonts w:ascii="宋体" w:hAnsi="宋体" w:eastAsia="宋体" w:cs="宋体"/>
          <w:spacing w:val="10"/>
          <w:sz w:val="20"/>
          <w:szCs w:val="20"/>
        </w:rPr>
        <w:t>法定代表人或其委托代理人移动电话：</w:t>
      </w:r>
      <w:r>
        <w:rPr>
          <w:rFonts w:ascii="宋体" w:hAnsi="宋体" w:eastAsia="宋体" w:cs="宋体"/>
          <w:sz w:val="20"/>
          <w:szCs w:val="20"/>
          <w:u w:val="single" w:color="auto"/>
        </w:rPr>
        <w:t xml:space="preserve">                     </w:t>
      </w:r>
    </w:p>
    <w:p w14:paraId="65C93F4D">
      <w:pPr>
        <w:keepNext w:val="0"/>
        <w:keepLines w:val="0"/>
        <w:pageBreakBefore w:val="0"/>
        <w:kinsoku/>
        <w:wordWrap/>
        <w:overflowPunct/>
        <w:topLinePunct w:val="0"/>
        <w:bidi w:val="0"/>
        <w:spacing w:before="227" w:line="228" w:lineRule="auto"/>
        <w:ind w:left="24"/>
        <w:rPr>
          <w:rFonts w:ascii="宋体" w:hAnsi="宋体" w:eastAsia="宋体" w:cs="宋体"/>
          <w:sz w:val="20"/>
          <w:szCs w:val="20"/>
        </w:rPr>
      </w:pPr>
      <w:r>
        <w:rPr>
          <w:rFonts w:ascii="宋体" w:hAnsi="宋体" w:eastAsia="宋体" w:cs="宋体"/>
          <w:spacing w:val="3"/>
          <w:sz w:val="20"/>
          <w:szCs w:val="20"/>
        </w:rPr>
        <w:t>电子邮箱：</w:t>
      </w:r>
      <w:r>
        <w:rPr>
          <w:rFonts w:ascii="宋体" w:hAnsi="宋体" w:eastAsia="宋体" w:cs="宋体"/>
          <w:sz w:val="20"/>
          <w:szCs w:val="20"/>
          <w:u w:val="single" w:color="auto"/>
        </w:rPr>
        <w:t xml:space="preserve">                                            </w:t>
      </w:r>
    </w:p>
    <w:p w14:paraId="0ADF3EEB">
      <w:pPr>
        <w:keepNext w:val="0"/>
        <w:keepLines w:val="0"/>
        <w:pageBreakBefore w:val="0"/>
        <w:kinsoku/>
        <w:wordWrap/>
        <w:overflowPunct/>
        <w:topLinePunct w:val="0"/>
        <w:bidi w:val="0"/>
        <w:spacing w:before="230" w:line="228" w:lineRule="auto"/>
        <w:ind w:left="35"/>
        <w:outlineLvl w:val="9"/>
        <w:rPr>
          <w:rFonts w:ascii="宋体" w:hAnsi="宋体" w:eastAsia="宋体" w:cs="宋体"/>
          <w:sz w:val="20"/>
          <w:szCs w:val="20"/>
        </w:rPr>
      </w:pPr>
      <w:r>
        <w:rPr>
          <w:rFonts w:ascii="宋体" w:hAnsi="宋体" w:eastAsia="宋体" w:cs="宋体"/>
          <w:spacing w:val="-3"/>
          <w:sz w:val="20"/>
          <w:szCs w:val="20"/>
        </w:rPr>
        <w:t>日期：</w:t>
      </w:r>
      <w:r>
        <w:rPr>
          <w:rFonts w:ascii="宋体" w:hAnsi="宋体" w:eastAsia="宋体" w:cs="宋体"/>
          <w:spacing w:val="5"/>
          <w:sz w:val="20"/>
          <w:szCs w:val="20"/>
          <w:u w:val="single" w:color="auto"/>
        </w:rPr>
        <w:t xml:space="preserve">        </w:t>
      </w:r>
      <w:r>
        <w:rPr>
          <w:rFonts w:ascii="宋体" w:hAnsi="宋体" w:eastAsia="宋体" w:cs="宋体"/>
          <w:spacing w:val="-92"/>
          <w:sz w:val="20"/>
          <w:szCs w:val="20"/>
        </w:rPr>
        <w:t xml:space="preserve"> </w:t>
      </w:r>
      <w:r>
        <w:rPr>
          <w:rFonts w:ascii="宋体" w:hAnsi="宋体" w:eastAsia="宋体" w:cs="宋体"/>
          <w:spacing w:val="-3"/>
          <w:sz w:val="20"/>
          <w:szCs w:val="20"/>
        </w:rPr>
        <w:t>年</w:t>
      </w:r>
      <w:r>
        <w:rPr>
          <w:rFonts w:ascii="宋体" w:hAnsi="宋体" w:eastAsia="宋体" w:cs="宋体"/>
          <w:spacing w:val="4"/>
          <w:sz w:val="20"/>
          <w:szCs w:val="20"/>
          <w:u w:val="single" w:color="auto"/>
        </w:rPr>
        <w:t xml:space="preserve">    </w:t>
      </w:r>
      <w:r>
        <w:rPr>
          <w:rFonts w:ascii="宋体" w:hAnsi="宋体" w:eastAsia="宋体" w:cs="宋体"/>
          <w:spacing w:val="-83"/>
          <w:sz w:val="20"/>
          <w:szCs w:val="20"/>
        </w:rPr>
        <w:t xml:space="preserve"> </w:t>
      </w:r>
      <w:r>
        <w:rPr>
          <w:rFonts w:ascii="宋体" w:hAnsi="宋体" w:eastAsia="宋体" w:cs="宋体"/>
          <w:spacing w:val="-3"/>
          <w:sz w:val="20"/>
          <w:szCs w:val="20"/>
        </w:rPr>
        <w:t>月</w:t>
      </w:r>
      <w:r>
        <w:rPr>
          <w:rFonts w:ascii="宋体" w:hAnsi="宋体" w:eastAsia="宋体" w:cs="宋体"/>
          <w:spacing w:val="-97"/>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3"/>
          <w:sz w:val="20"/>
          <w:szCs w:val="20"/>
        </w:rPr>
        <w:t>日</w:t>
      </w:r>
    </w:p>
    <w:p w14:paraId="6C666D85">
      <w:pPr>
        <w:keepNext w:val="0"/>
        <w:keepLines w:val="0"/>
        <w:pageBreakBefore w:val="0"/>
        <w:kinsoku/>
        <w:wordWrap/>
        <w:overflowPunct/>
        <w:topLinePunct w:val="0"/>
        <w:bidi w:val="0"/>
        <w:spacing w:before="160" w:line="219" w:lineRule="auto"/>
        <w:ind w:left="3628"/>
        <w:outlineLvl w:val="2"/>
        <w:rPr>
          <w:rFonts w:ascii="宋体" w:hAnsi="宋体" w:eastAsia="宋体" w:cs="宋体"/>
          <w:sz w:val="24"/>
          <w:szCs w:val="24"/>
        </w:rPr>
      </w:pPr>
      <w:bookmarkStart w:id="42" w:name="bookmark31"/>
      <w:bookmarkEnd w:id="42"/>
      <w:bookmarkStart w:id="43" w:name="_Toc19842"/>
      <w:r>
        <w:rPr>
          <w:rFonts w:ascii="宋体" w:hAnsi="宋体" w:eastAsia="宋体" w:cs="宋体"/>
          <w:b/>
          <w:bCs/>
          <w:spacing w:val="-2"/>
          <w:sz w:val="24"/>
          <w:szCs w:val="24"/>
        </w:rPr>
        <w:br w:type="page"/>
      </w:r>
      <w:r>
        <w:rPr>
          <w:rFonts w:ascii="宋体" w:hAnsi="宋体" w:eastAsia="宋体" w:cs="宋体"/>
          <w:b/>
          <w:bCs/>
          <w:spacing w:val="-2"/>
          <w:sz w:val="24"/>
          <w:szCs w:val="24"/>
        </w:rPr>
        <w:t>（二）投标函附录</w:t>
      </w:r>
      <w:bookmarkEnd w:id="43"/>
    </w:p>
    <w:p w14:paraId="1079250E">
      <w:pPr>
        <w:keepNext w:val="0"/>
        <w:keepLines w:val="0"/>
        <w:pageBreakBefore w:val="0"/>
        <w:kinsoku/>
        <w:wordWrap/>
        <w:overflowPunct/>
        <w:topLinePunct w:val="0"/>
        <w:bidi w:val="0"/>
        <w:spacing w:line="73" w:lineRule="exact"/>
      </w:pPr>
    </w:p>
    <w:tbl>
      <w:tblPr>
        <w:tblStyle w:val="30"/>
        <w:tblW w:w="9075" w:type="dxa"/>
        <w:tblInd w:w="4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89"/>
        <w:gridCol w:w="6386"/>
      </w:tblGrid>
      <w:tr w14:paraId="22DF4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2689" w:type="dxa"/>
            <w:vAlign w:val="top"/>
          </w:tcPr>
          <w:p w14:paraId="3EA58705">
            <w:pPr>
              <w:pStyle w:val="31"/>
              <w:keepNext w:val="0"/>
              <w:keepLines w:val="0"/>
              <w:pageBreakBefore w:val="0"/>
              <w:kinsoku/>
              <w:wordWrap/>
              <w:overflowPunct/>
              <w:topLinePunct w:val="0"/>
              <w:bidi w:val="0"/>
              <w:spacing w:before="240" w:line="228" w:lineRule="auto"/>
              <w:ind w:left="825"/>
            </w:pPr>
            <w:r>
              <w:rPr>
                <w:b/>
                <w:bCs/>
                <w:spacing w:val="6"/>
              </w:rPr>
              <w:t>投标人名称</w:t>
            </w:r>
          </w:p>
        </w:tc>
        <w:tc>
          <w:tcPr>
            <w:tcW w:w="6386" w:type="dxa"/>
            <w:vAlign w:val="top"/>
          </w:tcPr>
          <w:p w14:paraId="1C493B8F">
            <w:pPr>
              <w:keepNext w:val="0"/>
              <w:keepLines w:val="0"/>
              <w:pageBreakBefore w:val="0"/>
              <w:kinsoku/>
              <w:wordWrap/>
              <w:overflowPunct/>
              <w:topLinePunct w:val="0"/>
              <w:bidi w:val="0"/>
              <w:rPr>
                <w:rFonts w:ascii="Arial"/>
                <w:sz w:val="21"/>
              </w:rPr>
            </w:pPr>
          </w:p>
        </w:tc>
      </w:tr>
      <w:tr w14:paraId="28CBA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689" w:type="dxa"/>
            <w:vAlign w:val="top"/>
          </w:tcPr>
          <w:p w14:paraId="07F5493E">
            <w:pPr>
              <w:pStyle w:val="31"/>
              <w:keepNext w:val="0"/>
              <w:keepLines w:val="0"/>
              <w:pageBreakBefore w:val="0"/>
              <w:kinsoku/>
              <w:wordWrap/>
              <w:overflowPunct/>
              <w:topLinePunct w:val="0"/>
              <w:bidi w:val="0"/>
              <w:spacing w:before="234" w:line="228" w:lineRule="auto"/>
              <w:ind w:left="931"/>
              <w:rPr>
                <w:rFonts w:hint="eastAsia" w:eastAsia="宋体"/>
                <w:lang w:val="en-US" w:eastAsia="zh-CN"/>
              </w:rPr>
            </w:pPr>
            <w:r>
              <w:rPr>
                <w:rFonts w:hint="eastAsia"/>
                <w:b/>
                <w:bCs/>
                <w:highlight w:val="none"/>
                <w:lang w:val="en-US" w:eastAsia="zh-CN"/>
              </w:rPr>
              <w:t>投标内容</w:t>
            </w:r>
          </w:p>
        </w:tc>
        <w:tc>
          <w:tcPr>
            <w:tcW w:w="6386" w:type="dxa"/>
            <w:vAlign w:val="top"/>
          </w:tcPr>
          <w:p w14:paraId="76847895">
            <w:pPr>
              <w:keepNext w:val="0"/>
              <w:keepLines w:val="0"/>
              <w:pageBreakBefore w:val="0"/>
              <w:kinsoku/>
              <w:wordWrap/>
              <w:overflowPunct/>
              <w:topLinePunct w:val="0"/>
              <w:bidi w:val="0"/>
              <w:rPr>
                <w:rFonts w:ascii="Arial"/>
                <w:sz w:val="21"/>
              </w:rPr>
            </w:pPr>
          </w:p>
        </w:tc>
      </w:tr>
      <w:tr w14:paraId="2F9FE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2689" w:type="dxa"/>
            <w:vAlign w:val="top"/>
          </w:tcPr>
          <w:p w14:paraId="0DDB894C">
            <w:pPr>
              <w:keepNext w:val="0"/>
              <w:keepLines w:val="0"/>
              <w:pageBreakBefore w:val="0"/>
              <w:kinsoku/>
              <w:wordWrap/>
              <w:overflowPunct/>
              <w:topLinePunct w:val="0"/>
              <w:bidi w:val="0"/>
              <w:spacing w:line="304" w:lineRule="auto"/>
              <w:rPr>
                <w:rFonts w:ascii="Arial"/>
                <w:sz w:val="21"/>
              </w:rPr>
            </w:pPr>
          </w:p>
          <w:p w14:paraId="4D27FE12">
            <w:pPr>
              <w:pStyle w:val="31"/>
              <w:keepNext w:val="0"/>
              <w:keepLines w:val="0"/>
              <w:pageBreakBefore w:val="0"/>
              <w:kinsoku/>
              <w:wordWrap/>
              <w:overflowPunct/>
              <w:topLinePunct w:val="0"/>
              <w:bidi w:val="0"/>
              <w:spacing w:before="65" w:line="226" w:lineRule="auto"/>
              <w:ind w:left="825"/>
            </w:pPr>
            <w:r>
              <w:rPr>
                <w:b/>
                <w:bCs/>
                <w:spacing w:val="6"/>
              </w:rPr>
              <w:t>投标总报价</w:t>
            </w:r>
          </w:p>
        </w:tc>
        <w:tc>
          <w:tcPr>
            <w:tcW w:w="6386" w:type="dxa"/>
            <w:vAlign w:val="top"/>
          </w:tcPr>
          <w:p w14:paraId="5C802E22">
            <w:pPr>
              <w:pStyle w:val="31"/>
              <w:keepNext w:val="0"/>
              <w:keepLines w:val="0"/>
              <w:pageBreakBefore w:val="0"/>
              <w:kinsoku/>
              <w:wordWrap/>
              <w:overflowPunct/>
              <w:topLinePunct w:val="0"/>
              <w:bidi w:val="0"/>
              <w:spacing w:before="133" w:line="227" w:lineRule="auto"/>
              <w:ind w:left="115"/>
            </w:pPr>
            <w:r>
              <w:rPr>
                <w:spacing w:val="7"/>
              </w:rPr>
              <w:t>人民币（大写</w:t>
            </w:r>
            <w:r>
              <w:rPr>
                <w:spacing w:val="13"/>
              </w:rPr>
              <w:t>）：</w:t>
            </w:r>
            <w:r>
              <w:rPr>
                <w:u w:val="single" w:color="auto"/>
              </w:rPr>
              <w:t xml:space="preserve">                     </w:t>
            </w:r>
          </w:p>
          <w:p w14:paraId="01D4A801">
            <w:pPr>
              <w:pStyle w:val="31"/>
              <w:keepNext w:val="0"/>
              <w:keepLines w:val="0"/>
              <w:pageBreakBefore w:val="0"/>
              <w:kinsoku/>
              <w:wordWrap/>
              <w:overflowPunct/>
              <w:topLinePunct w:val="0"/>
              <w:bidi w:val="0"/>
              <w:spacing w:before="229" w:line="227" w:lineRule="auto"/>
              <w:ind w:left="115"/>
            </w:pPr>
            <w:r>
              <w:rPr>
                <w:spacing w:val="-1"/>
              </w:rPr>
              <w:t>人民币（小写）</w:t>
            </w:r>
            <w:r>
              <w:rPr>
                <w:spacing w:val="-63"/>
              </w:rPr>
              <w:t xml:space="preserve"> </w:t>
            </w:r>
            <w:r>
              <w:rPr>
                <w:spacing w:val="-1"/>
              </w:rPr>
              <w:t>￥</w:t>
            </w:r>
            <w:r>
              <w:rPr>
                <w:spacing w:val="-50"/>
              </w:rPr>
              <w:t xml:space="preserve"> </w:t>
            </w:r>
            <w:r>
              <w:rPr>
                <w:spacing w:val="-1"/>
              </w:rPr>
              <w:t>：</w:t>
            </w:r>
            <w:r>
              <w:rPr>
                <w:spacing w:val="5"/>
                <w:u w:val="single" w:color="auto"/>
              </w:rPr>
              <w:t xml:space="preserve">                  </w:t>
            </w:r>
            <w:r>
              <w:rPr>
                <w:spacing w:val="-89"/>
              </w:rPr>
              <w:t xml:space="preserve"> </w:t>
            </w:r>
            <w:r>
              <w:rPr>
                <w:spacing w:val="-1"/>
              </w:rPr>
              <w:t>元</w:t>
            </w:r>
          </w:p>
        </w:tc>
      </w:tr>
      <w:tr w14:paraId="7A29C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689" w:type="dxa"/>
            <w:vAlign w:val="top"/>
          </w:tcPr>
          <w:p w14:paraId="2928EF74">
            <w:pPr>
              <w:pStyle w:val="31"/>
              <w:keepNext w:val="0"/>
              <w:keepLines w:val="0"/>
              <w:pageBreakBefore w:val="0"/>
              <w:kinsoku/>
              <w:wordWrap/>
              <w:overflowPunct/>
              <w:topLinePunct w:val="0"/>
              <w:bidi w:val="0"/>
              <w:spacing w:before="236" w:line="228" w:lineRule="auto"/>
              <w:ind w:left="928"/>
            </w:pPr>
            <w:r>
              <w:rPr>
                <w:b/>
                <w:bCs/>
                <w:spacing w:val="6"/>
              </w:rPr>
              <w:t>服务期限</w:t>
            </w:r>
          </w:p>
        </w:tc>
        <w:tc>
          <w:tcPr>
            <w:tcW w:w="6386" w:type="dxa"/>
            <w:vAlign w:val="top"/>
          </w:tcPr>
          <w:p w14:paraId="2D28500C">
            <w:pPr>
              <w:keepNext w:val="0"/>
              <w:keepLines w:val="0"/>
              <w:pageBreakBefore w:val="0"/>
              <w:kinsoku/>
              <w:wordWrap/>
              <w:overflowPunct/>
              <w:topLinePunct w:val="0"/>
              <w:bidi w:val="0"/>
              <w:rPr>
                <w:rFonts w:ascii="Arial"/>
                <w:sz w:val="21"/>
              </w:rPr>
            </w:pPr>
          </w:p>
        </w:tc>
      </w:tr>
      <w:tr w14:paraId="2D5E1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689" w:type="dxa"/>
            <w:vAlign w:val="top"/>
          </w:tcPr>
          <w:p w14:paraId="314B3B31">
            <w:pPr>
              <w:pStyle w:val="31"/>
              <w:keepNext w:val="0"/>
              <w:keepLines w:val="0"/>
              <w:pageBreakBefore w:val="0"/>
              <w:kinsoku/>
              <w:wordWrap/>
              <w:overflowPunct/>
              <w:topLinePunct w:val="0"/>
              <w:bidi w:val="0"/>
              <w:spacing w:before="239" w:line="228" w:lineRule="auto"/>
              <w:ind w:left="825"/>
            </w:pPr>
            <w:r>
              <w:rPr>
                <w:b/>
                <w:bCs/>
                <w:spacing w:val="6"/>
              </w:rPr>
              <w:t>投标有效期</w:t>
            </w:r>
          </w:p>
        </w:tc>
        <w:tc>
          <w:tcPr>
            <w:tcW w:w="6386" w:type="dxa"/>
            <w:vAlign w:val="top"/>
          </w:tcPr>
          <w:p w14:paraId="008ACB08">
            <w:pPr>
              <w:keepNext w:val="0"/>
              <w:keepLines w:val="0"/>
              <w:pageBreakBefore w:val="0"/>
              <w:kinsoku/>
              <w:wordWrap/>
              <w:overflowPunct/>
              <w:topLinePunct w:val="0"/>
              <w:bidi w:val="0"/>
              <w:rPr>
                <w:rFonts w:ascii="Arial"/>
                <w:sz w:val="21"/>
              </w:rPr>
            </w:pPr>
          </w:p>
        </w:tc>
      </w:tr>
      <w:tr w14:paraId="2D44A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689" w:type="dxa"/>
            <w:vAlign w:val="top"/>
          </w:tcPr>
          <w:p w14:paraId="4E33ECE5">
            <w:pPr>
              <w:pStyle w:val="31"/>
              <w:keepNext w:val="0"/>
              <w:keepLines w:val="0"/>
              <w:pageBreakBefore w:val="0"/>
              <w:kinsoku/>
              <w:wordWrap/>
              <w:overflowPunct/>
              <w:topLinePunct w:val="0"/>
              <w:bidi w:val="0"/>
              <w:spacing w:before="237" w:line="228" w:lineRule="auto"/>
              <w:ind w:left="928"/>
            </w:pPr>
            <w:r>
              <w:rPr>
                <w:b/>
                <w:bCs/>
                <w:spacing w:val="6"/>
              </w:rPr>
              <w:t>服务地点</w:t>
            </w:r>
          </w:p>
        </w:tc>
        <w:tc>
          <w:tcPr>
            <w:tcW w:w="6386" w:type="dxa"/>
            <w:vAlign w:val="top"/>
          </w:tcPr>
          <w:p w14:paraId="29F845BF">
            <w:pPr>
              <w:keepNext w:val="0"/>
              <w:keepLines w:val="0"/>
              <w:pageBreakBefore w:val="0"/>
              <w:kinsoku/>
              <w:wordWrap/>
              <w:overflowPunct/>
              <w:topLinePunct w:val="0"/>
              <w:bidi w:val="0"/>
              <w:rPr>
                <w:rFonts w:ascii="Arial"/>
                <w:sz w:val="21"/>
              </w:rPr>
            </w:pPr>
          </w:p>
        </w:tc>
      </w:tr>
      <w:tr w14:paraId="712D8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689" w:type="dxa"/>
            <w:vAlign w:val="top"/>
          </w:tcPr>
          <w:p w14:paraId="71993855">
            <w:pPr>
              <w:pStyle w:val="31"/>
              <w:keepNext w:val="0"/>
              <w:keepLines w:val="0"/>
              <w:pageBreakBefore w:val="0"/>
              <w:kinsoku/>
              <w:wordWrap/>
              <w:overflowPunct/>
              <w:topLinePunct w:val="0"/>
              <w:bidi w:val="0"/>
              <w:spacing w:before="238" w:line="228" w:lineRule="auto"/>
              <w:jc w:val="center"/>
            </w:pPr>
            <w:r>
              <w:rPr>
                <w:b/>
                <w:bCs/>
                <w:color w:val="000000" w:themeColor="text1"/>
                <w:spacing w:val="6"/>
                <w14:textFill>
                  <w14:solidFill>
                    <w14:schemeClr w14:val="tx1"/>
                  </w14:solidFill>
                </w14:textFill>
              </w:rPr>
              <w:t>质量要求</w:t>
            </w:r>
          </w:p>
        </w:tc>
        <w:tc>
          <w:tcPr>
            <w:tcW w:w="6386" w:type="dxa"/>
            <w:vAlign w:val="top"/>
          </w:tcPr>
          <w:p w14:paraId="18D6DF2C">
            <w:pPr>
              <w:keepNext w:val="0"/>
              <w:keepLines w:val="0"/>
              <w:pageBreakBefore w:val="0"/>
              <w:kinsoku/>
              <w:wordWrap/>
              <w:overflowPunct/>
              <w:topLinePunct w:val="0"/>
              <w:bidi w:val="0"/>
              <w:rPr>
                <w:rFonts w:ascii="Arial"/>
                <w:sz w:val="21"/>
              </w:rPr>
            </w:pPr>
          </w:p>
        </w:tc>
      </w:tr>
      <w:tr w14:paraId="1766C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2689" w:type="dxa"/>
            <w:vAlign w:val="top"/>
          </w:tcPr>
          <w:p w14:paraId="5E9B6554">
            <w:pPr>
              <w:pStyle w:val="31"/>
              <w:keepNext w:val="0"/>
              <w:keepLines w:val="0"/>
              <w:pageBreakBefore w:val="0"/>
              <w:kinsoku/>
              <w:wordWrap/>
              <w:overflowPunct/>
              <w:topLinePunct w:val="0"/>
              <w:bidi w:val="0"/>
              <w:spacing w:before="238" w:line="228" w:lineRule="auto"/>
              <w:ind w:left="929"/>
            </w:pPr>
            <w:r>
              <w:rPr>
                <w:b/>
                <w:bCs/>
                <w:spacing w:val="6"/>
              </w:rPr>
              <w:t>其他说明</w:t>
            </w:r>
          </w:p>
        </w:tc>
        <w:tc>
          <w:tcPr>
            <w:tcW w:w="6386" w:type="dxa"/>
            <w:vAlign w:val="top"/>
          </w:tcPr>
          <w:p w14:paraId="130F5F88">
            <w:pPr>
              <w:keepNext w:val="0"/>
              <w:keepLines w:val="0"/>
              <w:pageBreakBefore w:val="0"/>
              <w:kinsoku/>
              <w:wordWrap/>
              <w:overflowPunct/>
              <w:topLinePunct w:val="0"/>
              <w:bidi w:val="0"/>
              <w:rPr>
                <w:rFonts w:ascii="Arial"/>
                <w:sz w:val="21"/>
              </w:rPr>
            </w:pPr>
          </w:p>
        </w:tc>
      </w:tr>
    </w:tbl>
    <w:p w14:paraId="2ED3094F">
      <w:pPr>
        <w:pStyle w:val="4"/>
        <w:keepNext w:val="0"/>
        <w:keepLines w:val="0"/>
        <w:pageBreakBefore w:val="0"/>
        <w:kinsoku/>
        <w:wordWrap/>
        <w:overflowPunct/>
        <w:topLinePunct w:val="0"/>
        <w:bidi w:val="0"/>
        <w:spacing w:line="269" w:lineRule="auto"/>
      </w:pPr>
    </w:p>
    <w:p w14:paraId="6FB92669">
      <w:pPr>
        <w:pStyle w:val="4"/>
        <w:keepNext w:val="0"/>
        <w:keepLines w:val="0"/>
        <w:pageBreakBefore w:val="0"/>
        <w:kinsoku/>
        <w:wordWrap/>
        <w:overflowPunct/>
        <w:topLinePunct w:val="0"/>
        <w:bidi w:val="0"/>
        <w:spacing w:line="270" w:lineRule="auto"/>
      </w:pPr>
    </w:p>
    <w:p w14:paraId="5C3BED26">
      <w:pPr>
        <w:keepNext w:val="0"/>
        <w:keepLines w:val="0"/>
        <w:pageBreakBefore w:val="0"/>
        <w:kinsoku/>
        <w:wordWrap/>
        <w:overflowPunct/>
        <w:topLinePunct w:val="0"/>
        <w:bidi w:val="0"/>
        <w:spacing w:before="65" w:line="227" w:lineRule="auto"/>
        <w:ind w:left="1"/>
        <w:rPr>
          <w:rFonts w:ascii="宋体" w:hAnsi="宋体" w:eastAsia="宋体" w:cs="宋体"/>
          <w:sz w:val="20"/>
          <w:szCs w:val="20"/>
        </w:rPr>
      </w:pPr>
      <w:r>
        <w:rPr>
          <w:rFonts w:ascii="宋体" w:hAnsi="宋体" w:eastAsia="宋体" w:cs="宋体"/>
          <w:spacing w:val="11"/>
          <w:sz w:val="20"/>
          <w:szCs w:val="20"/>
        </w:rPr>
        <w:t>投标人（盖电子签章</w:t>
      </w:r>
      <w:r>
        <w:rPr>
          <w:rFonts w:ascii="宋体" w:hAnsi="宋体" w:eastAsia="宋体" w:cs="宋体"/>
          <w:spacing w:val="-6"/>
          <w:sz w:val="20"/>
          <w:szCs w:val="20"/>
        </w:rPr>
        <w:t>）</w:t>
      </w:r>
      <w:r>
        <w:rPr>
          <w:rFonts w:ascii="宋体" w:hAnsi="宋体" w:eastAsia="宋体" w:cs="宋体"/>
          <w:spacing w:val="-57"/>
          <w:sz w:val="20"/>
          <w:szCs w:val="20"/>
        </w:rPr>
        <w:t xml:space="preserve"> </w:t>
      </w:r>
      <w:r>
        <w:rPr>
          <w:rFonts w:ascii="宋体" w:hAnsi="宋体" w:eastAsia="宋体" w:cs="宋体"/>
          <w:spacing w:val="-6"/>
          <w:sz w:val="20"/>
          <w:szCs w:val="20"/>
        </w:rPr>
        <w:t>：</w:t>
      </w:r>
      <w:r>
        <w:rPr>
          <w:rFonts w:ascii="宋体" w:hAnsi="宋体" w:eastAsia="宋体" w:cs="宋体"/>
          <w:sz w:val="20"/>
          <w:szCs w:val="20"/>
          <w:u w:val="single" w:color="auto"/>
        </w:rPr>
        <w:t xml:space="preserve">                  </w:t>
      </w:r>
    </w:p>
    <w:p w14:paraId="04A05825">
      <w:pPr>
        <w:keepNext w:val="0"/>
        <w:keepLines w:val="0"/>
        <w:pageBreakBefore w:val="0"/>
        <w:kinsoku/>
        <w:wordWrap/>
        <w:overflowPunct/>
        <w:topLinePunct w:val="0"/>
        <w:bidi w:val="0"/>
        <w:spacing w:before="229" w:line="227" w:lineRule="auto"/>
        <w:rPr>
          <w:rFonts w:ascii="宋体" w:hAnsi="宋体" w:eastAsia="宋体" w:cs="宋体"/>
          <w:sz w:val="20"/>
          <w:szCs w:val="20"/>
        </w:rPr>
      </w:pPr>
      <w:r>
        <w:rPr>
          <w:rFonts w:ascii="宋体" w:hAnsi="宋体" w:eastAsia="宋体" w:cs="宋体"/>
          <w:spacing w:val="9"/>
          <w:sz w:val="20"/>
          <w:szCs w:val="20"/>
        </w:rPr>
        <w:t>法定代表人或其委托代理人（签字或盖章</w:t>
      </w:r>
      <w:r>
        <w:rPr>
          <w:rFonts w:ascii="宋体" w:hAnsi="宋体" w:eastAsia="宋体" w:cs="宋体"/>
          <w:spacing w:val="13"/>
          <w:sz w:val="20"/>
          <w:szCs w:val="20"/>
        </w:rPr>
        <w:t>）：</w:t>
      </w:r>
      <w:r>
        <w:rPr>
          <w:rFonts w:ascii="宋体" w:hAnsi="宋体" w:eastAsia="宋体" w:cs="宋体"/>
          <w:sz w:val="20"/>
          <w:szCs w:val="20"/>
          <w:u w:val="single" w:color="auto"/>
        </w:rPr>
        <w:t xml:space="preserve">                </w:t>
      </w:r>
    </w:p>
    <w:p w14:paraId="14E73C3D">
      <w:pPr>
        <w:keepNext w:val="0"/>
        <w:keepLines w:val="0"/>
        <w:pageBreakBefore w:val="0"/>
        <w:kinsoku/>
        <w:wordWrap/>
        <w:overflowPunct/>
        <w:topLinePunct w:val="0"/>
        <w:bidi w:val="0"/>
        <w:spacing w:before="231" w:line="228" w:lineRule="auto"/>
        <w:ind w:left="35"/>
        <w:outlineLvl w:val="9"/>
        <w:rPr>
          <w:rFonts w:ascii="宋体" w:hAnsi="宋体" w:eastAsia="宋体" w:cs="宋体"/>
          <w:sz w:val="20"/>
          <w:szCs w:val="20"/>
        </w:rPr>
      </w:pPr>
      <w:r>
        <w:rPr>
          <w:rFonts w:ascii="宋体" w:hAnsi="宋体" w:eastAsia="宋体" w:cs="宋体"/>
          <w:spacing w:val="-3"/>
          <w:sz w:val="20"/>
          <w:szCs w:val="20"/>
        </w:rPr>
        <w:t>日期：</w:t>
      </w:r>
      <w:r>
        <w:rPr>
          <w:rFonts w:ascii="宋体" w:hAnsi="宋体" w:eastAsia="宋体" w:cs="宋体"/>
          <w:spacing w:val="5"/>
          <w:sz w:val="20"/>
          <w:szCs w:val="20"/>
          <w:u w:val="single" w:color="auto"/>
        </w:rPr>
        <w:t xml:space="preserve">        </w:t>
      </w:r>
      <w:r>
        <w:rPr>
          <w:rFonts w:ascii="宋体" w:hAnsi="宋体" w:eastAsia="宋体" w:cs="宋体"/>
          <w:spacing w:val="-92"/>
          <w:sz w:val="20"/>
          <w:szCs w:val="20"/>
        </w:rPr>
        <w:t xml:space="preserve"> </w:t>
      </w:r>
      <w:r>
        <w:rPr>
          <w:rFonts w:ascii="宋体" w:hAnsi="宋体" w:eastAsia="宋体" w:cs="宋体"/>
          <w:spacing w:val="-3"/>
          <w:sz w:val="20"/>
          <w:szCs w:val="20"/>
        </w:rPr>
        <w:t>年</w:t>
      </w:r>
      <w:r>
        <w:rPr>
          <w:rFonts w:ascii="宋体" w:hAnsi="宋体" w:eastAsia="宋体" w:cs="宋体"/>
          <w:spacing w:val="4"/>
          <w:sz w:val="20"/>
          <w:szCs w:val="20"/>
          <w:u w:val="single" w:color="auto"/>
        </w:rPr>
        <w:t xml:space="preserve">    </w:t>
      </w:r>
      <w:r>
        <w:rPr>
          <w:rFonts w:ascii="宋体" w:hAnsi="宋体" w:eastAsia="宋体" w:cs="宋体"/>
          <w:spacing w:val="-83"/>
          <w:sz w:val="20"/>
          <w:szCs w:val="20"/>
        </w:rPr>
        <w:t xml:space="preserve"> </w:t>
      </w:r>
      <w:r>
        <w:rPr>
          <w:rFonts w:ascii="宋体" w:hAnsi="宋体" w:eastAsia="宋体" w:cs="宋体"/>
          <w:spacing w:val="-3"/>
          <w:sz w:val="20"/>
          <w:szCs w:val="20"/>
        </w:rPr>
        <w:t>月</w:t>
      </w:r>
      <w:r>
        <w:rPr>
          <w:rFonts w:ascii="宋体" w:hAnsi="宋体" w:eastAsia="宋体" w:cs="宋体"/>
          <w:spacing w:val="-97"/>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3"/>
          <w:sz w:val="20"/>
          <w:szCs w:val="20"/>
        </w:rPr>
        <w:t>日</w:t>
      </w:r>
    </w:p>
    <w:p w14:paraId="568F44ED">
      <w:pPr>
        <w:keepNext w:val="0"/>
        <w:keepLines w:val="0"/>
        <w:pageBreakBefore w:val="0"/>
        <w:kinsoku/>
        <w:wordWrap/>
        <w:overflowPunct/>
        <w:topLinePunct w:val="0"/>
        <w:bidi w:val="0"/>
        <w:spacing w:before="219" w:line="219" w:lineRule="auto"/>
        <w:ind w:left="1178"/>
        <w:outlineLvl w:val="1"/>
        <w:rPr>
          <w:rFonts w:ascii="宋体" w:hAnsi="宋体" w:eastAsia="宋体" w:cs="宋体"/>
          <w:sz w:val="28"/>
          <w:szCs w:val="28"/>
        </w:rPr>
      </w:pPr>
      <w:bookmarkStart w:id="44" w:name="bookmark32"/>
      <w:bookmarkEnd w:id="44"/>
      <w:bookmarkStart w:id="45" w:name="bookmark33"/>
      <w:bookmarkEnd w:id="45"/>
      <w:bookmarkStart w:id="46" w:name="_Toc2071"/>
      <w:r>
        <w:rPr>
          <w:rFonts w:ascii="宋体" w:hAnsi="宋体" w:eastAsia="宋体" w:cs="宋体"/>
          <w:b/>
          <w:bCs/>
          <w:sz w:val="28"/>
          <w:szCs w:val="28"/>
        </w:rPr>
        <w:br w:type="page"/>
      </w:r>
      <w:r>
        <w:rPr>
          <w:rFonts w:ascii="宋体" w:hAnsi="宋体" w:eastAsia="宋体" w:cs="宋体"/>
          <w:b/>
          <w:bCs/>
          <w:sz w:val="28"/>
          <w:szCs w:val="28"/>
        </w:rPr>
        <w:t>二、法定代表人（单位负责人）身份证明或授权委托书</w:t>
      </w:r>
      <w:bookmarkEnd w:id="46"/>
    </w:p>
    <w:p w14:paraId="5B324FA1">
      <w:pPr>
        <w:keepNext w:val="0"/>
        <w:keepLines w:val="0"/>
        <w:pageBreakBefore w:val="0"/>
        <w:kinsoku/>
        <w:wordWrap/>
        <w:overflowPunct/>
        <w:topLinePunct w:val="0"/>
        <w:bidi w:val="0"/>
        <w:spacing w:before="243" w:line="219" w:lineRule="auto"/>
        <w:ind w:left="2287"/>
        <w:outlineLvl w:val="2"/>
        <w:rPr>
          <w:rFonts w:ascii="宋体" w:hAnsi="宋体" w:eastAsia="宋体" w:cs="宋体"/>
          <w:sz w:val="24"/>
          <w:szCs w:val="24"/>
        </w:rPr>
      </w:pPr>
      <w:bookmarkStart w:id="47" w:name="_Toc20090"/>
      <w:r>
        <w:rPr>
          <w:rFonts w:ascii="宋体" w:hAnsi="宋体" w:eastAsia="宋体" w:cs="宋体"/>
          <w:b/>
          <w:bCs/>
          <w:sz w:val="24"/>
          <w:szCs w:val="24"/>
        </w:rPr>
        <w:t>（一）法定代表人（单位负责人）身份证明</w:t>
      </w:r>
      <w:bookmarkEnd w:id="47"/>
    </w:p>
    <w:p w14:paraId="1288ADDF">
      <w:pPr>
        <w:keepNext w:val="0"/>
        <w:keepLines w:val="0"/>
        <w:pageBreakBefore w:val="0"/>
        <w:kinsoku/>
        <w:wordWrap/>
        <w:overflowPunct/>
        <w:topLinePunct w:val="0"/>
        <w:bidi w:val="0"/>
        <w:spacing w:before="205" w:line="228" w:lineRule="auto"/>
        <w:ind w:left="103"/>
        <w:rPr>
          <w:rFonts w:ascii="宋体" w:hAnsi="宋体" w:eastAsia="宋体" w:cs="宋体"/>
          <w:sz w:val="20"/>
          <w:szCs w:val="20"/>
        </w:rPr>
      </w:pPr>
      <w:r>
        <w:rPr>
          <w:rFonts w:ascii="宋体" w:hAnsi="宋体" w:eastAsia="宋体" w:cs="宋体"/>
          <w:spacing w:val="10"/>
          <w:sz w:val="20"/>
          <w:szCs w:val="20"/>
        </w:rPr>
        <w:t>投标人名称：</w:t>
      </w:r>
      <w:r>
        <w:rPr>
          <w:rFonts w:ascii="宋体" w:hAnsi="宋体" w:eastAsia="宋体" w:cs="宋体"/>
          <w:sz w:val="20"/>
          <w:szCs w:val="20"/>
          <w:u w:val="single" w:color="auto"/>
        </w:rPr>
        <w:t xml:space="preserve">                          </w:t>
      </w:r>
    </w:p>
    <w:p w14:paraId="7821E8DE">
      <w:pPr>
        <w:keepNext w:val="0"/>
        <w:keepLines w:val="0"/>
        <w:pageBreakBefore w:val="0"/>
        <w:kinsoku/>
        <w:wordWrap/>
        <w:overflowPunct/>
        <w:topLinePunct w:val="0"/>
        <w:bidi w:val="0"/>
        <w:spacing w:before="230" w:line="228" w:lineRule="auto"/>
        <w:ind w:left="102"/>
        <w:rPr>
          <w:rFonts w:ascii="宋体" w:hAnsi="宋体" w:eastAsia="宋体" w:cs="宋体"/>
          <w:sz w:val="20"/>
          <w:szCs w:val="20"/>
        </w:rPr>
      </w:pPr>
      <w:r>
        <w:rPr>
          <w:rFonts w:ascii="宋体" w:hAnsi="宋体" w:eastAsia="宋体" w:cs="宋体"/>
          <w:spacing w:val="10"/>
          <w:sz w:val="20"/>
          <w:szCs w:val="20"/>
        </w:rPr>
        <w:t>单位性质：</w:t>
      </w:r>
      <w:r>
        <w:rPr>
          <w:rFonts w:ascii="宋体" w:hAnsi="宋体" w:eastAsia="宋体" w:cs="宋体"/>
          <w:sz w:val="20"/>
          <w:szCs w:val="20"/>
          <w:u w:val="single" w:color="auto"/>
        </w:rPr>
        <w:t xml:space="preserve">                               </w:t>
      </w:r>
    </w:p>
    <w:p w14:paraId="4C44A710">
      <w:pPr>
        <w:keepNext w:val="0"/>
        <w:keepLines w:val="0"/>
        <w:pageBreakBefore w:val="0"/>
        <w:kinsoku/>
        <w:wordWrap/>
        <w:overflowPunct/>
        <w:topLinePunct w:val="0"/>
        <w:bidi w:val="0"/>
        <w:spacing w:before="225" w:line="228" w:lineRule="auto"/>
        <w:ind w:left="102"/>
        <w:rPr>
          <w:rFonts w:ascii="宋体" w:hAnsi="宋体" w:eastAsia="宋体" w:cs="宋体"/>
          <w:sz w:val="20"/>
          <w:szCs w:val="20"/>
        </w:rPr>
      </w:pPr>
      <w:r>
        <w:rPr>
          <w:rFonts w:ascii="宋体" w:hAnsi="宋体" w:eastAsia="宋体" w:cs="宋体"/>
          <w:spacing w:val="6"/>
          <w:sz w:val="20"/>
          <w:szCs w:val="20"/>
        </w:rPr>
        <w:t>成立时间：</w:t>
      </w:r>
      <w:r>
        <w:rPr>
          <w:rFonts w:ascii="宋体" w:hAnsi="宋体" w:eastAsia="宋体" w:cs="宋体"/>
          <w:spacing w:val="6"/>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6"/>
          <w:sz w:val="20"/>
          <w:szCs w:val="20"/>
        </w:rPr>
        <w:t>年</w:t>
      </w:r>
      <w:r>
        <w:rPr>
          <w:rFonts w:ascii="宋体" w:hAnsi="宋体" w:eastAsia="宋体" w:cs="宋体"/>
          <w:spacing w:val="-96"/>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6"/>
          <w:sz w:val="20"/>
          <w:szCs w:val="20"/>
        </w:rPr>
        <w:t>月</w:t>
      </w:r>
      <w:r>
        <w:rPr>
          <w:rFonts w:ascii="宋体" w:hAnsi="宋体" w:eastAsia="宋体" w:cs="宋体"/>
          <w:spacing w:val="-96"/>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51"/>
          <w:sz w:val="20"/>
          <w:szCs w:val="20"/>
        </w:rPr>
        <w:t xml:space="preserve"> </w:t>
      </w:r>
      <w:r>
        <w:rPr>
          <w:rFonts w:ascii="宋体" w:hAnsi="宋体" w:eastAsia="宋体" w:cs="宋体"/>
          <w:spacing w:val="6"/>
          <w:sz w:val="20"/>
          <w:szCs w:val="20"/>
        </w:rPr>
        <w:t>日</w:t>
      </w:r>
    </w:p>
    <w:p w14:paraId="6ED1E5F7">
      <w:pPr>
        <w:keepNext w:val="0"/>
        <w:keepLines w:val="0"/>
        <w:pageBreakBefore w:val="0"/>
        <w:kinsoku/>
        <w:wordWrap/>
        <w:overflowPunct/>
        <w:topLinePunct w:val="0"/>
        <w:bidi w:val="0"/>
        <w:spacing w:before="231" w:line="228" w:lineRule="auto"/>
        <w:ind w:left="102"/>
        <w:rPr>
          <w:rFonts w:ascii="宋体" w:hAnsi="宋体" w:eastAsia="宋体" w:cs="宋体"/>
          <w:sz w:val="20"/>
          <w:szCs w:val="20"/>
        </w:rPr>
      </w:pPr>
      <w:r>
        <w:rPr>
          <w:rFonts w:ascii="宋体" w:hAnsi="宋体" w:eastAsia="宋体" w:cs="宋体"/>
          <w:spacing w:val="10"/>
          <w:sz w:val="20"/>
          <w:szCs w:val="20"/>
        </w:rPr>
        <w:t>经营期限：</w:t>
      </w:r>
      <w:r>
        <w:rPr>
          <w:rFonts w:ascii="宋体" w:hAnsi="宋体" w:eastAsia="宋体" w:cs="宋体"/>
          <w:sz w:val="20"/>
          <w:szCs w:val="20"/>
          <w:u w:val="single" w:color="auto"/>
        </w:rPr>
        <w:t xml:space="preserve">                             </w:t>
      </w:r>
    </w:p>
    <w:p w14:paraId="69E90B3F">
      <w:pPr>
        <w:keepNext w:val="0"/>
        <w:keepLines w:val="0"/>
        <w:pageBreakBefore w:val="0"/>
        <w:kinsoku/>
        <w:wordWrap/>
        <w:overflowPunct/>
        <w:topLinePunct w:val="0"/>
        <w:bidi w:val="0"/>
        <w:spacing w:before="263" w:line="228" w:lineRule="auto"/>
        <w:ind w:left="100"/>
        <w:rPr>
          <w:rFonts w:ascii="宋体" w:hAnsi="宋体" w:eastAsia="宋体" w:cs="宋体"/>
          <w:sz w:val="20"/>
          <w:szCs w:val="20"/>
        </w:rPr>
      </w:pPr>
      <w:r>
        <w:rPr>
          <w:rFonts w:ascii="宋体" w:hAnsi="宋体" w:eastAsia="宋体" w:cs="宋体"/>
          <w:spacing w:val="9"/>
          <w:sz w:val="20"/>
          <w:szCs w:val="20"/>
        </w:rPr>
        <w:t>姓名：</w:t>
      </w:r>
      <w:r>
        <w:rPr>
          <w:rFonts w:ascii="宋体" w:hAnsi="宋体" w:eastAsia="宋体" w:cs="宋体"/>
          <w:spacing w:val="4"/>
          <w:sz w:val="20"/>
          <w:szCs w:val="20"/>
          <w:u w:val="single" w:color="auto"/>
        </w:rPr>
        <w:t xml:space="preserve">                </w:t>
      </w:r>
      <w:r>
        <w:rPr>
          <w:rFonts w:ascii="宋体" w:hAnsi="宋体" w:eastAsia="宋体" w:cs="宋体"/>
          <w:spacing w:val="-74"/>
          <w:sz w:val="20"/>
          <w:szCs w:val="20"/>
        </w:rPr>
        <w:t xml:space="preserve"> </w:t>
      </w:r>
      <w:r>
        <w:rPr>
          <w:rFonts w:ascii="宋体" w:hAnsi="宋体" w:eastAsia="宋体" w:cs="宋体"/>
          <w:spacing w:val="9"/>
          <w:sz w:val="20"/>
          <w:szCs w:val="20"/>
        </w:rPr>
        <w:t>性别：</w:t>
      </w:r>
      <w:r>
        <w:rPr>
          <w:rFonts w:ascii="宋体" w:hAnsi="宋体" w:eastAsia="宋体" w:cs="宋体"/>
          <w:spacing w:val="4"/>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9"/>
          <w:sz w:val="20"/>
          <w:szCs w:val="20"/>
        </w:rPr>
        <w:t>年龄：</w:t>
      </w:r>
      <w:r>
        <w:rPr>
          <w:rFonts w:ascii="宋体" w:hAnsi="宋体" w:eastAsia="宋体" w:cs="宋体"/>
          <w:spacing w:val="3"/>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9"/>
          <w:sz w:val="20"/>
          <w:szCs w:val="20"/>
        </w:rPr>
        <w:t>职务：</w:t>
      </w:r>
      <w:r>
        <w:rPr>
          <w:rFonts w:ascii="宋体" w:hAnsi="宋体" w:eastAsia="宋体" w:cs="宋体"/>
          <w:sz w:val="20"/>
          <w:szCs w:val="20"/>
          <w:u w:val="single" w:color="auto"/>
        </w:rPr>
        <w:t xml:space="preserve">         </w:t>
      </w:r>
    </w:p>
    <w:p w14:paraId="418D38C5">
      <w:pPr>
        <w:keepNext w:val="0"/>
        <w:keepLines w:val="0"/>
        <w:pageBreakBefore w:val="0"/>
        <w:kinsoku/>
        <w:wordWrap/>
        <w:overflowPunct/>
        <w:topLinePunct w:val="0"/>
        <w:bidi w:val="0"/>
        <w:spacing w:before="267" w:line="228" w:lineRule="auto"/>
        <w:ind w:left="104"/>
        <w:rPr>
          <w:rFonts w:ascii="宋体" w:hAnsi="宋体" w:eastAsia="宋体" w:cs="宋体"/>
          <w:sz w:val="20"/>
          <w:szCs w:val="20"/>
        </w:rPr>
      </w:pPr>
      <w:r>
        <w:rPr>
          <w:rFonts w:ascii="宋体" w:hAnsi="宋体" w:eastAsia="宋体" w:cs="宋体"/>
          <w:spacing w:val="7"/>
          <w:sz w:val="20"/>
          <w:szCs w:val="20"/>
        </w:rPr>
        <w:t>系</w:t>
      </w:r>
      <w:r>
        <w:rPr>
          <w:rFonts w:ascii="宋体" w:hAnsi="宋体" w:eastAsia="宋体" w:cs="宋体"/>
          <w:spacing w:val="-99"/>
          <w:sz w:val="20"/>
          <w:szCs w:val="20"/>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（投标人名称）</w:t>
      </w:r>
      <w:r>
        <w:rPr>
          <w:rFonts w:ascii="宋体" w:hAnsi="宋体" w:eastAsia="宋体" w:cs="宋体"/>
          <w:spacing w:val="-59"/>
          <w:sz w:val="20"/>
          <w:szCs w:val="20"/>
        </w:rPr>
        <w:t xml:space="preserve"> </w:t>
      </w:r>
      <w:r>
        <w:rPr>
          <w:rFonts w:ascii="宋体" w:hAnsi="宋体" w:eastAsia="宋体" w:cs="宋体"/>
          <w:spacing w:val="7"/>
          <w:sz w:val="20"/>
          <w:szCs w:val="20"/>
        </w:rPr>
        <w:t>的法定代表人（单位</w:t>
      </w:r>
      <w:r>
        <w:rPr>
          <w:rFonts w:ascii="宋体" w:hAnsi="宋体" w:eastAsia="宋体" w:cs="宋体"/>
          <w:spacing w:val="6"/>
          <w:sz w:val="20"/>
          <w:szCs w:val="20"/>
        </w:rPr>
        <w:t>负责人）。</w:t>
      </w:r>
    </w:p>
    <w:p w14:paraId="75AAC7AF">
      <w:pPr>
        <w:pStyle w:val="4"/>
        <w:keepNext w:val="0"/>
        <w:keepLines w:val="0"/>
        <w:pageBreakBefore w:val="0"/>
        <w:kinsoku/>
        <w:wordWrap/>
        <w:overflowPunct/>
        <w:topLinePunct w:val="0"/>
        <w:bidi w:val="0"/>
        <w:spacing w:line="339" w:lineRule="auto"/>
      </w:pPr>
    </w:p>
    <w:p w14:paraId="3D6AE9BB">
      <w:pPr>
        <w:pStyle w:val="4"/>
        <w:keepNext w:val="0"/>
        <w:keepLines w:val="0"/>
        <w:pageBreakBefore w:val="0"/>
        <w:kinsoku/>
        <w:wordWrap/>
        <w:overflowPunct/>
        <w:topLinePunct w:val="0"/>
        <w:bidi w:val="0"/>
        <w:spacing w:line="340" w:lineRule="auto"/>
      </w:pPr>
    </w:p>
    <w:p w14:paraId="5A4A0365">
      <w:pPr>
        <w:keepNext w:val="0"/>
        <w:keepLines w:val="0"/>
        <w:pageBreakBefore w:val="0"/>
        <w:kinsoku/>
        <w:wordWrap/>
        <w:overflowPunct/>
        <w:topLinePunct w:val="0"/>
        <w:bidi w:val="0"/>
        <w:spacing w:before="65" w:line="228" w:lineRule="auto"/>
        <w:ind w:left="520"/>
        <w:rPr>
          <w:rFonts w:ascii="宋体" w:hAnsi="宋体" w:eastAsia="宋体" w:cs="宋体"/>
          <w:sz w:val="20"/>
          <w:szCs w:val="20"/>
        </w:rPr>
      </w:pPr>
      <w:r>
        <w:rPr>
          <w:rFonts w:ascii="宋体" w:hAnsi="宋体" w:eastAsia="宋体" w:cs="宋体"/>
          <w:spacing w:val="7"/>
          <w:sz w:val="20"/>
          <w:szCs w:val="20"/>
        </w:rPr>
        <w:t>特此证明。</w:t>
      </w:r>
    </w:p>
    <w:p w14:paraId="3A657807">
      <w:pPr>
        <w:pStyle w:val="4"/>
        <w:keepNext w:val="0"/>
        <w:keepLines w:val="0"/>
        <w:pageBreakBefore w:val="0"/>
        <w:kinsoku/>
        <w:wordWrap/>
        <w:overflowPunct/>
        <w:topLinePunct w:val="0"/>
        <w:bidi w:val="0"/>
        <w:spacing w:line="277" w:lineRule="auto"/>
      </w:pPr>
    </w:p>
    <w:p w14:paraId="3AF5140F">
      <w:pPr>
        <w:pStyle w:val="4"/>
        <w:keepNext w:val="0"/>
        <w:keepLines w:val="0"/>
        <w:pageBreakBefore w:val="0"/>
        <w:kinsoku/>
        <w:wordWrap/>
        <w:overflowPunct/>
        <w:topLinePunct w:val="0"/>
        <w:bidi w:val="0"/>
        <w:spacing w:line="278" w:lineRule="auto"/>
      </w:pPr>
    </w:p>
    <w:p w14:paraId="0315EFA5">
      <w:pPr>
        <w:pStyle w:val="4"/>
        <w:keepNext w:val="0"/>
        <w:keepLines w:val="0"/>
        <w:pageBreakBefore w:val="0"/>
        <w:kinsoku/>
        <w:wordWrap/>
        <w:overflowPunct/>
        <w:topLinePunct w:val="0"/>
        <w:bidi w:val="0"/>
        <w:spacing w:line="278" w:lineRule="auto"/>
      </w:pPr>
    </w:p>
    <w:p w14:paraId="1269213D">
      <w:pPr>
        <w:pStyle w:val="4"/>
        <w:keepNext w:val="0"/>
        <w:keepLines w:val="0"/>
        <w:pageBreakBefore w:val="0"/>
        <w:kinsoku/>
        <w:wordWrap/>
        <w:overflowPunct/>
        <w:topLinePunct w:val="0"/>
        <w:bidi w:val="0"/>
        <w:spacing w:line="278" w:lineRule="auto"/>
      </w:pPr>
    </w:p>
    <w:p w14:paraId="19F1CD18">
      <w:pPr>
        <w:keepNext w:val="0"/>
        <w:keepLines w:val="0"/>
        <w:pageBreakBefore w:val="0"/>
        <w:kinsoku/>
        <w:wordWrap/>
        <w:overflowPunct/>
        <w:topLinePunct w:val="0"/>
        <w:bidi w:val="0"/>
        <w:spacing w:before="66" w:line="227" w:lineRule="auto"/>
        <w:ind w:left="117"/>
        <w:rPr>
          <w:rFonts w:ascii="宋体" w:hAnsi="宋体" w:eastAsia="宋体" w:cs="宋体"/>
          <w:sz w:val="20"/>
          <w:szCs w:val="20"/>
        </w:rPr>
      </w:pPr>
      <w:r>
        <w:rPr>
          <w:rFonts w:ascii="宋体" w:hAnsi="宋体" w:eastAsia="宋体" w:cs="宋体"/>
          <w:spacing w:val="11"/>
          <w:sz w:val="20"/>
          <w:szCs w:val="20"/>
        </w:rPr>
        <w:t>附：法定代表人（单位负责人）身份证复印</w:t>
      </w:r>
      <w:r>
        <w:rPr>
          <w:rFonts w:ascii="宋体" w:hAnsi="宋体" w:eastAsia="宋体" w:cs="宋体"/>
          <w:spacing w:val="10"/>
          <w:sz w:val="20"/>
          <w:szCs w:val="20"/>
        </w:rPr>
        <w:t>件。</w:t>
      </w:r>
    </w:p>
    <w:p w14:paraId="24F752DC">
      <w:pPr>
        <w:pStyle w:val="4"/>
        <w:keepNext w:val="0"/>
        <w:keepLines w:val="0"/>
        <w:pageBreakBefore w:val="0"/>
        <w:kinsoku/>
        <w:wordWrap/>
        <w:overflowPunct/>
        <w:topLinePunct w:val="0"/>
        <w:bidi w:val="0"/>
        <w:spacing w:line="255" w:lineRule="auto"/>
      </w:pPr>
    </w:p>
    <w:p w14:paraId="4A45E1FC">
      <w:pPr>
        <w:pStyle w:val="4"/>
        <w:keepNext w:val="0"/>
        <w:keepLines w:val="0"/>
        <w:pageBreakBefore w:val="0"/>
        <w:kinsoku/>
        <w:wordWrap/>
        <w:overflowPunct/>
        <w:topLinePunct w:val="0"/>
        <w:bidi w:val="0"/>
        <w:spacing w:line="255" w:lineRule="auto"/>
      </w:pPr>
    </w:p>
    <w:p w14:paraId="2F2897D6">
      <w:pPr>
        <w:pStyle w:val="4"/>
        <w:keepNext w:val="0"/>
        <w:keepLines w:val="0"/>
        <w:pageBreakBefore w:val="0"/>
        <w:kinsoku/>
        <w:wordWrap/>
        <w:overflowPunct/>
        <w:topLinePunct w:val="0"/>
        <w:bidi w:val="0"/>
        <w:spacing w:line="255" w:lineRule="auto"/>
      </w:pPr>
    </w:p>
    <w:p w14:paraId="0FBE7758">
      <w:pPr>
        <w:pStyle w:val="4"/>
        <w:keepNext w:val="0"/>
        <w:keepLines w:val="0"/>
        <w:pageBreakBefore w:val="0"/>
        <w:kinsoku/>
        <w:wordWrap/>
        <w:overflowPunct/>
        <w:topLinePunct w:val="0"/>
        <w:bidi w:val="0"/>
        <w:spacing w:line="255" w:lineRule="auto"/>
      </w:pPr>
    </w:p>
    <w:p w14:paraId="129A903E">
      <w:pPr>
        <w:pStyle w:val="4"/>
        <w:keepNext w:val="0"/>
        <w:keepLines w:val="0"/>
        <w:pageBreakBefore w:val="0"/>
        <w:kinsoku/>
        <w:wordWrap/>
        <w:overflowPunct/>
        <w:topLinePunct w:val="0"/>
        <w:bidi w:val="0"/>
        <w:spacing w:line="255" w:lineRule="auto"/>
      </w:pPr>
    </w:p>
    <w:p w14:paraId="22B5CDAE">
      <w:pPr>
        <w:pStyle w:val="4"/>
        <w:keepNext w:val="0"/>
        <w:keepLines w:val="0"/>
        <w:pageBreakBefore w:val="0"/>
        <w:kinsoku/>
        <w:wordWrap/>
        <w:overflowPunct/>
        <w:topLinePunct w:val="0"/>
        <w:bidi w:val="0"/>
        <w:spacing w:line="256" w:lineRule="auto"/>
      </w:pPr>
    </w:p>
    <w:p w14:paraId="48D57D77">
      <w:pPr>
        <w:pStyle w:val="4"/>
        <w:keepNext w:val="0"/>
        <w:keepLines w:val="0"/>
        <w:pageBreakBefore w:val="0"/>
        <w:kinsoku/>
        <w:wordWrap/>
        <w:overflowPunct/>
        <w:topLinePunct w:val="0"/>
        <w:bidi w:val="0"/>
        <w:spacing w:line="256" w:lineRule="auto"/>
      </w:pPr>
    </w:p>
    <w:p w14:paraId="57A071C6">
      <w:pPr>
        <w:pStyle w:val="4"/>
        <w:keepNext w:val="0"/>
        <w:keepLines w:val="0"/>
        <w:pageBreakBefore w:val="0"/>
        <w:kinsoku/>
        <w:wordWrap/>
        <w:overflowPunct/>
        <w:topLinePunct w:val="0"/>
        <w:bidi w:val="0"/>
        <w:spacing w:line="256" w:lineRule="auto"/>
      </w:pPr>
    </w:p>
    <w:p w14:paraId="38EC4631">
      <w:pPr>
        <w:pStyle w:val="4"/>
        <w:keepNext w:val="0"/>
        <w:keepLines w:val="0"/>
        <w:pageBreakBefore w:val="0"/>
        <w:kinsoku/>
        <w:wordWrap/>
        <w:overflowPunct/>
        <w:topLinePunct w:val="0"/>
        <w:bidi w:val="0"/>
        <w:spacing w:line="256" w:lineRule="auto"/>
      </w:pPr>
    </w:p>
    <w:p w14:paraId="08BB3A34">
      <w:pPr>
        <w:pStyle w:val="4"/>
        <w:keepNext w:val="0"/>
        <w:keepLines w:val="0"/>
        <w:pageBreakBefore w:val="0"/>
        <w:kinsoku/>
        <w:wordWrap/>
        <w:overflowPunct/>
        <w:topLinePunct w:val="0"/>
        <w:bidi w:val="0"/>
        <w:spacing w:line="256" w:lineRule="auto"/>
      </w:pPr>
    </w:p>
    <w:p w14:paraId="25B9348A">
      <w:pPr>
        <w:keepNext w:val="0"/>
        <w:keepLines w:val="0"/>
        <w:pageBreakBefore w:val="0"/>
        <w:kinsoku/>
        <w:wordWrap/>
        <w:overflowPunct/>
        <w:topLinePunct w:val="0"/>
        <w:bidi w:val="0"/>
        <w:spacing w:before="66" w:line="227" w:lineRule="auto"/>
        <w:ind w:left="4048"/>
        <w:rPr>
          <w:rFonts w:ascii="宋体" w:hAnsi="宋体" w:eastAsia="宋体" w:cs="宋体"/>
          <w:sz w:val="20"/>
          <w:szCs w:val="20"/>
        </w:rPr>
      </w:pPr>
      <w:r>
        <w:rPr>
          <w:rFonts w:ascii="宋体" w:hAnsi="宋体" w:eastAsia="宋体" w:cs="宋体"/>
          <w:spacing w:val="11"/>
          <w:sz w:val="20"/>
          <w:szCs w:val="20"/>
        </w:rPr>
        <w:t>投标人（盖电子签章</w:t>
      </w:r>
      <w:r>
        <w:rPr>
          <w:rFonts w:ascii="宋体" w:hAnsi="宋体" w:eastAsia="宋体" w:cs="宋体"/>
          <w:spacing w:val="-6"/>
          <w:sz w:val="20"/>
          <w:szCs w:val="20"/>
        </w:rPr>
        <w:t>）</w:t>
      </w:r>
      <w:r>
        <w:rPr>
          <w:rFonts w:ascii="宋体" w:hAnsi="宋体" w:eastAsia="宋体" w:cs="宋体"/>
          <w:spacing w:val="-57"/>
          <w:sz w:val="20"/>
          <w:szCs w:val="20"/>
        </w:rPr>
        <w:t xml:space="preserve"> </w:t>
      </w:r>
      <w:r>
        <w:rPr>
          <w:rFonts w:ascii="宋体" w:hAnsi="宋体" w:eastAsia="宋体" w:cs="宋体"/>
          <w:spacing w:val="-6"/>
          <w:sz w:val="20"/>
          <w:szCs w:val="20"/>
        </w:rPr>
        <w:t>：</w:t>
      </w:r>
      <w:r>
        <w:rPr>
          <w:rFonts w:ascii="宋体" w:hAnsi="宋体" w:eastAsia="宋体" w:cs="宋体"/>
          <w:sz w:val="20"/>
          <w:szCs w:val="20"/>
          <w:u w:val="single" w:color="auto"/>
        </w:rPr>
        <w:t xml:space="preserve">                  </w:t>
      </w:r>
    </w:p>
    <w:p w14:paraId="63571DD5">
      <w:pPr>
        <w:keepNext w:val="0"/>
        <w:keepLines w:val="0"/>
        <w:pageBreakBefore w:val="0"/>
        <w:tabs>
          <w:tab w:val="left" w:pos="5870"/>
        </w:tabs>
        <w:kinsoku/>
        <w:wordWrap/>
        <w:overflowPunct/>
        <w:topLinePunct w:val="0"/>
        <w:bidi w:val="0"/>
        <w:spacing w:before="229" w:line="228" w:lineRule="auto"/>
        <w:ind w:left="5031"/>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4"/>
          <w:sz w:val="20"/>
          <w:szCs w:val="20"/>
          <w:u w:val="single" w:color="auto"/>
        </w:rPr>
        <w:t xml:space="preserve">    </w:t>
      </w:r>
      <w:r>
        <w:rPr>
          <w:rFonts w:ascii="宋体" w:hAnsi="宋体" w:eastAsia="宋体" w:cs="宋体"/>
          <w:spacing w:val="-53"/>
          <w:sz w:val="20"/>
          <w:szCs w:val="20"/>
        </w:rPr>
        <w:t xml:space="preserve"> </w:t>
      </w:r>
      <w:r>
        <w:rPr>
          <w:rFonts w:ascii="宋体" w:hAnsi="宋体" w:eastAsia="宋体" w:cs="宋体"/>
          <w:spacing w:val="-2"/>
          <w:sz w:val="20"/>
          <w:szCs w:val="20"/>
        </w:rPr>
        <w:t>日</w:t>
      </w:r>
    </w:p>
    <w:p w14:paraId="72D6E316">
      <w:pPr>
        <w:keepNext w:val="0"/>
        <w:keepLines w:val="0"/>
        <w:pageBreakBefore w:val="0"/>
        <w:kinsoku/>
        <w:wordWrap/>
        <w:overflowPunct/>
        <w:topLinePunct w:val="0"/>
        <w:bidi w:val="0"/>
        <w:spacing w:before="149" w:line="227" w:lineRule="auto"/>
        <w:outlineLvl w:val="9"/>
        <w:rPr>
          <w:rFonts w:ascii="宋体" w:hAnsi="宋体" w:eastAsia="宋体" w:cs="宋体"/>
          <w:sz w:val="20"/>
          <w:szCs w:val="20"/>
        </w:rPr>
      </w:pPr>
      <w:r>
        <w:rPr>
          <w:rFonts w:ascii="宋体" w:hAnsi="宋体" w:eastAsia="宋体" w:cs="宋体"/>
          <w:spacing w:val="12"/>
          <w:sz w:val="20"/>
          <w:szCs w:val="20"/>
        </w:rPr>
        <w:t>注：法定代表人（单位负责人）参加投标的，仅需提供法定代表人（单位负责人）身份证明。</w:t>
      </w:r>
    </w:p>
    <w:p w14:paraId="6C5A7F98">
      <w:pPr>
        <w:keepNext w:val="0"/>
        <w:keepLines w:val="0"/>
        <w:pageBreakBefore w:val="0"/>
        <w:kinsoku/>
        <w:wordWrap/>
        <w:overflowPunct/>
        <w:topLinePunct w:val="0"/>
        <w:bidi w:val="0"/>
        <w:spacing w:before="160" w:line="219" w:lineRule="auto"/>
        <w:ind w:left="3403"/>
        <w:outlineLvl w:val="2"/>
        <w:rPr>
          <w:rFonts w:ascii="宋体" w:hAnsi="宋体" w:eastAsia="宋体" w:cs="宋体"/>
          <w:sz w:val="24"/>
          <w:szCs w:val="24"/>
        </w:rPr>
      </w:pPr>
      <w:bookmarkStart w:id="48" w:name="bookmark34"/>
      <w:bookmarkEnd w:id="48"/>
      <w:bookmarkStart w:id="49" w:name="_Toc23775"/>
      <w:r>
        <w:rPr>
          <w:rFonts w:ascii="宋体" w:hAnsi="宋体" w:eastAsia="宋体" w:cs="宋体"/>
          <w:b/>
          <w:bCs/>
          <w:spacing w:val="-2"/>
          <w:sz w:val="24"/>
          <w:szCs w:val="24"/>
        </w:rPr>
        <w:br w:type="page"/>
      </w:r>
      <w:r>
        <w:rPr>
          <w:rFonts w:ascii="宋体" w:hAnsi="宋体" w:eastAsia="宋体" w:cs="宋体"/>
          <w:b/>
          <w:bCs/>
          <w:spacing w:val="-2"/>
          <w:sz w:val="24"/>
          <w:szCs w:val="24"/>
        </w:rPr>
        <w:t>（二）授权委托书</w:t>
      </w:r>
      <w:bookmarkEnd w:id="49"/>
    </w:p>
    <w:p w14:paraId="591E19E5">
      <w:pPr>
        <w:pStyle w:val="4"/>
        <w:keepNext w:val="0"/>
        <w:keepLines w:val="0"/>
        <w:pageBreakBefore w:val="0"/>
        <w:kinsoku/>
        <w:wordWrap/>
        <w:overflowPunct/>
        <w:topLinePunct w:val="0"/>
        <w:bidi w:val="0"/>
        <w:spacing w:line="310" w:lineRule="auto"/>
      </w:pPr>
    </w:p>
    <w:p w14:paraId="1BAF4D3A">
      <w:pPr>
        <w:pStyle w:val="4"/>
        <w:keepNext w:val="0"/>
        <w:keepLines w:val="0"/>
        <w:pageBreakBefore w:val="0"/>
        <w:kinsoku/>
        <w:wordWrap/>
        <w:overflowPunct/>
        <w:topLinePunct w:val="0"/>
        <w:bidi w:val="0"/>
        <w:spacing w:line="310" w:lineRule="auto"/>
      </w:pPr>
    </w:p>
    <w:p w14:paraId="7DEEA306">
      <w:pPr>
        <w:keepNext w:val="0"/>
        <w:keepLines w:val="0"/>
        <w:pageBreakBefore w:val="0"/>
        <w:kinsoku/>
        <w:wordWrap/>
        <w:overflowPunct/>
        <w:topLinePunct w:val="0"/>
        <w:bidi w:val="0"/>
        <w:spacing w:before="65" w:line="440" w:lineRule="auto"/>
        <w:ind w:left="2" w:right="18" w:firstLine="425"/>
        <w:jc w:val="both"/>
        <w:rPr>
          <w:rFonts w:ascii="宋体" w:hAnsi="宋体" w:eastAsia="宋体" w:cs="宋体"/>
          <w:sz w:val="20"/>
          <w:szCs w:val="20"/>
        </w:rPr>
      </w:pPr>
      <w:r>
        <w:rPr>
          <w:rFonts w:ascii="宋体" w:hAnsi="宋体" w:eastAsia="宋体" w:cs="宋体"/>
          <w:spacing w:val="-3"/>
          <w:sz w:val="20"/>
          <w:szCs w:val="20"/>
        </w:rPr>
        <w:t>本人</w:t>
      </w:r>
      <w:r>
        <w:rPr>
          <w:rFonts w:ascii="宋体" w:hAnsi="宋体" w:eastAsia="宋体" w:cs="宋体"/>
          <w:spacing w:val="-96"/>
          <w:sz w:val="20"/>
          <w:szCs w:val="20"/>
        </w:rPr>
        <w:t xml:space="preserve"> </w:t>
      </w:r>
      <w:r>
        <w:rPr>
          <w:rFonts w:ascii="宋体" w:hAnsi="宋体" w:eastAsia="宋体" w:cs="宋体"/>
          <w:spacing w:val="-3"/>
          <w:sz w:val="20"/>
          <w:szCs w:val="20"/>
          <w:u w:val="single" w:color="auto"/>
        </w:rPr>
        <w:t xml:space="preserve">      </w:t>
      </w:r>
      <w:r>
        <w:rPr>
          <w:rFonts w:ascii="宋体" w:hAnsi="宋体" w:eastAsia="宋体" w:cs="宋体"/>
          <w:spacing w:val="-3"/>
          <w:sz w:val="20"/>
          <w:szCs w:val="20"/>
        </w:rPr>
        <w:t>（姓名）系</w:t>
      </w:r>
      <w:r>
        <w:rPr>
          <w:rFonts w:ascii="宋体" w:hAnsi="宋体" w:eastAsia="宋体" w:cs="宋体"/>
          <w:spacing w:val="-95"/>
          <w:sz w:val="20"/>
          <w:szCs w:val="20"/>
        </w:rPr>
        <w:t xml:space="preserve"> </w:t>
      </w:r>
      <w:r>
        <w:rPr>
          <w:rFonts w:ascii="宋体" w:hAnsi="宋体" w:eastAsia="宋体" w:cs="宋体"/>
          <w:spacing w:val="-3"/>
          <w:sz w:val="20"/>
          <w:szCs w:val="20"/>
          <w:u w:val="single" w:color="auto"/>
        </w:rPr>
        <w:t xml:space="preserve">        </w:t>
      </w:r>
      <w:r>
        <w:rPr>
          <w:rFonts w:ascii="宋体" w:hAnsi="宋体" w:eastAsia="宋体" w:cs="宋体"/>
          <w:spacing w:val="-3"/>
          <w:sz w:val="20"/>
          <w:szCs w:val="20"/>
        </w:rPr>
        <w:t>（投标人名称）的法定代表人（单位</w:t>
      </w:r>
      <w:r>
        <w:rPr>
          <w:rFonts w:ascii="宋体" w:hAnsi="宋体" w:eastAsia="宋体" w:cs="宋体"/>
          <w:spacing w:val="-4"/>
          <w:sz w:val="20"/>
          <w:szCs w:val="20"/>
        </w:rPr>
        <w:t>负责人</w:t>
      </w:r>
      <w:r>
        <w:rPr>
          <w:rFonts w:ascii="宋体" w:hAnsi="宋体" w:eastAsia="宋体" w:cs="宋体"/>
          <w:spacing w:val="-48"/>
          <w:w w:val="90"/>
          <w:sz w:val="20"/>
          <w:szCs w:val="20"/>
        </w:rPr>
        <w:t>），</w:t>
      </w:r>
      <w:r>
        <w:rPr>
          <w:rFonts w:ascii="宋体" w:hAnsi="宋体" w:eastAsia="宋体" w:cs="宋体"/>
          <w:spacing w:val="-4"/>
          <w:sz w:val="20"/>
          <w:szCs w:val="20"/>
        </w:rPr>
        <w:t>现委托</w:t>
      </w:r>
      <w:r>
        <w:rPr>
          <w:rFonts w:ascii="宋体" w:hAnsi="宋体" w:eastAsia="宋体" w:cs="宋体"/>
          <w:spacing w:val="-95"/>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4"/>
          <w:sz w:val="20"/>
          <w:szCs w:val="20"/>
        </w:rPr>
        <w:t>（姓</w:t>
      </w:r>
      <w:r>
        <w:rPr>
          <w:rFonts w:ascii="宋体" w:hAnsi="宋体" w:eastAsia="宋体" w:cs="宋体"/>
          <w:spacing w:val="3"/>
          <w:sz w:val="20"/>
          <w:szCs w:val="20"/>
        </w:rPr>
        <w:t>名）为我方代理人。代理人根据授权，以我方名</w:t>
      </w:r>
      <w:r>
        <w:rPr>
          <w:rFonts w:ascii="宋体" w:hAnsi="宋体" w:eastAsia="宋体" w:cs="宋体"/>
          <w:spacing w:val="2"/>
          <w:sz w:val="20"/>
          <w:szCs w:val="20"/>
        </w:rPr>
        <w:t>义签署、澄清确认、递交、撤回、修改</w:t>
      </w:r>
      <w:r>
        <w:rPr>
          <w:rFonts w:ascii="宋体" w:hAnsi="宋体" w:eastAsia="宋体" w:cs="宋体"/>
          <w:spacing w:val="-96"/>
          <w:sz w:val="20"/>
          <w:szCs w:val="20"/>
        </w:rPr>
        <w:t xml:space="preserve"> </w:t>
      </w:r>
      <w:r>
        <w:rPr>
          <w:rFonts w:ascii="宋体" w:hAnsi="宋体" w:eastAsia="宋体" w:cs="宋体"/>
          <w:spacing w:val="2"/>
          <w:sz w:val="20"/>
          <w:szCs w:val="20"/>
          <w:u w:val="single" w:color="auto"/>
        </w:rPr>
        <w:t xml:space="preserve">          （项</w:t>
      </w:r>
      <w:r>
        <w:rPr>
          <w:rFonts w:ascii="宋体" w:hAnsi="宋体" w:eastAsia="宋体" w:cs="宋体"/>
          <w:spacing w:val="11"/>
          <w:sz w:val="20"/>
          <w:szCs w:val="20"/>
          <w:u w:val="single" w:color="auto"/>
        </w:rPr>
        <w:t xml:space="preserve">目名称） </w:t>
      </w:r>
      <w:r>
        <w:rPr>
          <w:rFonts w:ascii="宋体" w:hAnsi="宋体" w:eastAsia="宋体" w:cs="宋体"/>
          <w:spacing w:val="-84"/>
          <w:sz w:val="20"/>
          <w:szCs w:val="20"/>
        </w:rPr>
        <w:t xml:space="preserve"> </w:t>
      </w:r>
      <w:r>
        <w:rPr>
          <w:rFonts w:ascii="宋体" w:hAnsi="宋体" w:eastAsia="宋体" w:cs="宋体"/>
          <w:spacing w:val="11"/>
          <w:sz w:val="20"/>
          <w:szCs w:val="20"/>
        </w:rPr>
        <w:t>投标文件、签订合同和处理有关事宜，其法律后果由我方承担。</w:t>
      </w:r>
    </w:p>
    <w:p w14:paraId="1F828A02">
      <w:pPr>
        <w:keepNext w:val="0"/>
        <w:keepLines w:val="0"/>
        <w:pageBreakBefore w:val="0"/>
        <w:kinsoku/>
        <w:wordWrap/>
        <w:overflowPunct/>
        <w:topLinePunct w:val="0"/>
        <w:bidi w:val="0"/>
        <w:spacing w:before="32" w:line="227" w:lineRule="auto"/>
        <w:ind w:left="524"/>
        <w:rPr>
          <w:rFonts w:ascii="宋体" w:hAnsi="宋体" w:eastAsia="宋体" w:cs="宋体"/>
          <w:sz w:val="20"/>
          <w:szCs w:val="20"/>
        </w:rPr>
      </w:pPr>
      <w:r>
        <w:rPr>
          <w:rFonts w:ascii="宋体" w:hAnsi="宋体" w:eastAsia="宋体" w:cs="宋体"/>
          <w:spacing w:val="12"/>
          <w:sz w:val="20"/>
          <w:szCs w:val="20"/>
        </w:rPr>
        <w:t>委托期限：</w:t>
      </w:r>
      <w:r>
        <w:rPr>
          <w:rFonts w:ascii="宋体" w:hAnsi="宋体" w:eastAsia="宋体" w:cs="宋体"/>
          <w:spacing w:val="12"/>
          <w:sz w:val="20"/>
          <w:szCs w:val="20"/>
          <w:u w:val="single" w:color="auto"/>
        </w:rPr>
        <w:t>本授权书自签署之日生效至投标有效期到期之日结束</w:t>
      </w:r>
      <w:r>
        <w:rPr>
          <w:rFonts w:ascii="宋体" w:hAnsi="宋体" w:eastAsia="宋体" w:cs="宋体"/>
          <w:spacing w:val="12"/>
          <w:sz w:val="20"/>
          <w:szCs w:val="20"/>
        </w:rPr>
        <w:t>。</w:t>
      </w:r>
    </w:p>
    <w:p w14:paraId="48A13139">
      <w:pPr>
        <w:keepNext w:val="0"/>
        <w:keepLines w:val="0"/>
        <w:pageBreakBefore w:val="0"/>
        <w:kinsoku/>
        <w:wordWrap/>
        <w:overflowPunct/>
        <w:topLinePunct w:val="0"/>
        <w:bidi w:val="0"/>
        <w:spacing w:before="265" w:line="228" w:lineRule="auto"/>
        <w:ind w:left="519"/>
        <w:rPr>
          <w:rFonts w:ascii="宋体" w:hAnsi="宋体" w:eastAsia="宋体" w:cs="宋体"/>
          <w:sz w:val="20"/>
          <w:szCs w:val="20"/>
        </w:rPr>
      </w:pPr>
      <w:r>
        <w:rPr>
          <w:rFonts w:ascii="宋体" w:hAnsi="宋体" w:eastAsia="宋体" w:cs="宋体"/>
          <w:spacing w:val="10"/>
          <w:sz w:val="20"/>
          <w:szCs w:val="20"/>
        </w:rPr>
        <w:t>代理人无转委托权。</w:t>
      </w:r>
    </w:p>
    <w:p w14:paraId="3AC5F520">
      <w:pPr>
        <w:keepNext w:val="0"/>
        <w:keepLines w:val="0"/>
        <w:pageBreakBefore w:val="0"/>
        <w:kinsoku/>
        <w:wordWrap/>
        <w:overflowPunct/>
        <w:topLinePunct w:val="0"/>
        <w:bidi w:val="0"/>
        <w:spacing w:before="300" w:line="227" w:lineRule="auto"/>
        <w:ind w:left="541"/>
        <w:rPr>
          <w:rFonts w:ascii="宋体" w:hAnsi="宋体" w:eastAsia="宋体" w:cs="宋体"/>
          <w:sz w:val="20"/>
          <w:szCs w:val="20"/>
        </w:rPr>
      </w:pPr>
      <w:r>
        <w:rPr>
          <w:rFonts w:ascii="宋体" w:hAnsi="宋体" w:eastAsia="宋体" w:cs="宋体"/>
          <w:spacing w:val="12"/>
          <w:sz w:val="20"/>
          <w:szCs w:val="20"/>
        </w:rPr>
        <w:t>附：法定代表人（单位负责人）身份证复印件及委托代理人身份证复印件</w:t>
      </w:r>
    </w:p>
    <w:p w14:paraId="1F24A2F5">
      <w:pPr>
        <w:pStyle w:val="4"/>
        <w:keepNext w:val="0"/>
        <w:keepLines w:val="0"/>
        <w:pageBreakBefore w:val="0"/>
        <w:kinsoku/>
        <w:wordWrap/>
        <w:overflowPunct/>
        <w:topLinePunct w:val="0"/>
        <w:bidi w:val="0"/>
        <w:spacing w:line="252" w:lineRule="auto"/>
      </w:pPr>
    </w:p>
    <w:p w14:paraId="4BFFD8D8">
      <w:pPr>
        <w:pStyle w:val="4"/>
        <w:keepNext w:val="0"/>
        <w:keepLines w:val="0"/>
        <w:pageBreakBefore w:val="0"/>
        <w:kinsoku/>
        <w:wordWrap/>
        <w:overflowPunct/>
        <w:topLinePunct w:val="0"/>
        <w:bidi w:val="0"/>
        <w:spacing w:line="252" w:lineRule="auto"/>
      </w:pPr>
    </w:p>
    <w:p w14:paraId="0E193C4A">
      <w:pPr>
        <w:pStyle w:val="4"/>
        <w:keepNext w:val="0"/>
        <w:keepLines w:val="0"/>
        <w:pageBreakBefore w:val="0"/>
        <w:kinsoku/>
        <w:wordWrap/>
        <w:overflowPunct/>
        <w:topLinePunct w:val="0"/>
        <w:bidi w:val="0"/>
        <w:spacing w:line="252" w:lineRule="auto"/>
      </w:pPr>
    </w:p>
    <w:p w14:paraId="5FE5F783">
      <w:pPr>
        <w:pStyle w:val="4"/>
        <w:keepNext w:val="0"/>
        <w:keepLines w:val="0"/>
        <w:pageBreakBefore w:val="0"/>
        <w:kinsoku/>
        <w:wordWrap/>
        <w:overflowPunct/>
        <w:topLinePunct w:val="0"/>
        <w:bidi w:val="0"/>
        <w:spacing w:line="252" w:lineRule="auto"/>
      </w:pPr>
    </w:p>
    <w:p w14:paraId="7EC3C4FA">
      <w:pPr>
        <w:pStyle w:val="4"/>
        <w:keepNext w:val="0"/>
        <w:keepLines w:val="0"/>
        <w:pageBreakBefore w:val="0"/>
        <w:kinsoku/>
        <w:wordWrap/>
        <w:overflowPunct/>
        <w:topLinePunct w:val="0"/>
        <w:bidi w:val="0"/>
        <w:spacing w:line="252" w:lineRule="auto"/>
      </w:pPr>
    </w:p>
    <w:p w14:paraId="3E3DEB3D">
      <w:pPr>
        <w:pStyle w:val="4"/>
        <w:keepNext w:val="0"/>
        <w:keepLines w:val="0"/>
        <w:pageBreakBefore w:val="0"/>
        <w:kinsoku/>
        <w:wordWrap/>
        <w:overflowPunct/>
        <w:topLinePunct w:val="0"/>
        <w:bidi w:val="0"/>
        <w:spacing w:line="253" w:lineRule="auto"/>
      </w:pPr>
    </w:p>
    <w:p w14:paraId="5A41E593">
      <w:pPr>
        <w:pStyle w:val="4"/>
        <w:keepNext w:val="0"/>
        <w:keepLines w:val="0"/>
        <w:pageBreakBefore w:val="0"/>
        <w:kinsoku/>
        <w:wordWrap/>
        <w:overflowPunct/>
        <w:topLinePunct w:val="0"/>
        <w:bidi w:val="0"/>
        <w:spacing w:line="253" w:lineRule="auto"/>
      </w:pPr>
    </w:p>
    <w:p w14:paraId="269F5476">
      <w:pPr>
        <w:pStyle w:val="4"/>
        <w:keepNext w:val="0"/>
        <w:keepLines w:val="0"/>
        <w:pageBreakBefore w:val="0"/>
        <w:kinsoku/>
        <w:wordWrap/>
        <w:overflowPunct/>
        <w:topLinePunct w:val="0"/>
        <w:bidi w:val="0"/>
        <w:spacing w:line="253" w:lineRule="auto"/>
      </w:pPr>
    </w:p>
    <w:p w14:paraId="1AC1526B">
      <w:pPr>
        <w:keepNext w:val="0"/>
        <w:keepLines w:val="0"/>
        <w:pageBreakBefore w:val="0"/>
        <w:kinsoku/>
        <w:wordWrap/>
        <w:overflowPunct/>
        <w:topLinePunct w:val="0"/>
        <w:bidi w:val="0"/>
        <w:spacing w:before="65" w:line="227" w:lineRule="auto"/>
        <w:ind w:left="3196"/>
        <w:rPr>
          <w:rFonts w:ascii="宋体" w:hAnsi="宋体" w:eastAsia="宋体" w:cs="宋体"/>
          <w:sz w:val="20"/>
          <w:szCs w:val="20"/>
        </w:rPr>
      </w:pPr>
      <w:r>
        <w:rPr>
          <w:rFonts w:ascii="宋体" w:hAnsi="宋体" w:eastAsia="宋体" w:cs="宋体"/>
          <w:spacing w:val="12"/>
          <w:sz w:val="20"/>
          <w:szCs w:val="20"/>
        </w:rPr>
        <w:t>投标人</w:t>
      </w:r>
      <w:r>
        <w:rPr>
          <w:rFonts w:ascii="宋体" w:hAnsi="宋体" w:eastAsia="宋体" w:cs="宋体"/>
          <w:spacing w:val="-2"/>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12"/>
          <w:sz w:val="20"/>
          <w:szCs w:val="20"/>
        </w:rPr>
        <w:t>盖电子签章）</w:t>
      </w:r>
    </w:p>
    <w:p w14:paraId="79B753C1">
      <w:pPr>
        <w:keepNext w:val="0"/>
        <w:keepLines w:val="0"/>
        <w:pageBreakBefore w:val="0"/>
        <w:kinsoku/>
        <w:wordWrap/>
        <w:overflowPunct/>
        <w:topLinePunct w:val="0"/>
        <w:bidi w:val="0"/>
        <w:spacing w:before="227" w:line="227" w:lineRule="auto"/>
        <w:ind w:left="3195"/>
        <w:rPr>
          <w:rFonts w:ascii="宋体" w:hAnsi="宋体" w:eastAsia="宋体" w:cs="宋体"/>
          <w:sz w:val="20"/>
          <w:szCs w:val="20"/>
        </w:rPr>
      </w:pPr>
      <w:r>
        <w:rPr>
          <w:rFonts w:ascii="宋体" w:hAnsi="宋体" w:eastAsia="宋体" w:cs="宋体"/>
          <w:spacing w:val="13"/>
          <w:sz w:val="20"/>
          <w:szCs w:val="20"/>
        </w:rPr>
        <w:t>法定代表人（单位负责人</w:t>
      </w:r>
      <w:r>
        <w:rPr>
          <w:rFonts w:ascii="宋体" w:hAnsi="宋体" w:eastAsia="宋体" w:cs="宋体"/>
          <w:spacing w:val="-11"/>
          <w:sz w:val="20"/>
          <w:szCs w:val="20"/>
        </w:rPr>
        <w:t>）</w:t>
      </w:r>
      <w:r>
        <w:rPr>
          <w:rFonts w:ascii="宋体" w:hAnsi="宋体" w:eastAsia="宋体" w:cs="宋体"/>
          <w:spacing w:val="-54"/>
          <w:sz w:val="20"/>
          <w:szCs w:val="20"/>
        </w:rPr>
        <w:t xml:space="preserve"> </w:t>
      </w:r>
      <w:r>
        <w:rPr>
          <w:rFonts w:ascii="宋体" w:hAnsi="宋体" w:eastAsia="宋体" w:cs="宋体"/>
          <w:spacing w:val="-11"/>
          <w:sz w:val="20"/>
          <w:szCs w:val="20"/>
        </w:rPr>
        <w:t>：</w:t>
      </w:r>
      <w:r>
        <w:rPr>
          <w:rFonts w:ascii="宋体" w:hAnsi="宋体" w:eastAsia="宋体" w:cs="宋体"/>
          <w:spacing w:val="6"/>
          <w:sz w:val="20"/>
          <w:szCs w:val="20"/>
          <w:u w:val="single" w:color="auto"/>
        </w:rPr>
        <w:t xml:space="preserve">               </w:t>
      </w:r>
      <w:r>
        <w:rPr>
          <w:rFonts w:ascii="宋体" w:hAnsi="宋体" w:eastAsia="宋体" w:cs="宋体"/>
          <w:spacing w:val="-11"/>
          <w:sz w:val="20"/>
          <w:szCs w:val="20"/>
        </w:rPr>
        <w:t>（</w:t>
      </w:r>
      <w:r>
        <w:rPr>
          <w:rFonts w:ascii="宋体" w:hAnsi="宋体" w:eastAsia="宋体" w:cs="宋体"/>
          <w:spacing w:val="13"/>
          <w:sz w:val="20"/>
          <w:szCs w:val="20"/>
        </w:rPr>
        <w:t>签字或盖章）</w:t>
      </w:r>
    </w:p>
    <w:p w14:paraId="46C9B005">
      <w:pPr>
        <w:keepNext w:val="0"/>
        <w:keepLines w:val="0"/>
        <w:pageBreakBefore w:val="0"/>
        <w:kinsoku/>
        <w:wordWrap/>
        <w:overflowPunct/>
        <w:topLinePunct w:val="0"/>
        <w:bidi w:val="0"/>
        <w:spacing w:before="231" w:line="228" w:lineRule="auto"/>
        <w:ind w:left="3200"/>
        <w:rPr>
          <w:rFonts w:ascii="宋体" w:hAnsi="宋体" w:eastAsia="宋体" w:cs="宋体"/>
          <w:sz w:val="20"/>
          <w:szCs w:val="20"/>
        </w:rPr>
      </w:pPr>
      <w:r>
        <w:rPr>
          <w:rFonts w:ascii="宋体" w:hAnsi="宋体" w:eastAsia="宋体" w:cs="宋体"/>
          <w:spacing w:val="10"/>
          <w:sz w:val="20"/>
          <w:szCs w:val="20"/>
        </w:rPr>
        <w:t>身份证号：</w:t>
      </w:r>
      <w:r>
        <w:rPr>
          <w:rFonts w:ascii="宋体" w:hAnsi="宋体" w:eastAsia="宋体" w:cs="宋体"/>
          <w:sz w:val="20"/>
          <w:szCs w:val="20"/>
          <w:u w:val="single" w:color="auto"/>
        </w:rPr>
        <w:t xml:space="preserve">                                      </w:t>
      </w:r>
    </w:p>
    <w:p w14:paraId="6DABB3AB">
      <w:pPr>
        <w:keepNext w:val="0"/>
        <w:keepLines w:val="0"/>
        <w:pageBreakBefore w:val="0"/>
        <w:kinsoku/>
        <w:wordWrap/>
        <w:overflowPunct/>
        <w:topLinePunct w:val="0"/>
        <w:bidi w:val="0"/>
        <w:spacing w:before="229" w:line="227" w:lineRule="auto"/>
        <w:ind w:left="3193"/>
        <w:rPr>
          <w:rFonts w:ascii="宋体" w:hAnsi="宋体" w:eastAsia="宋体" w:cs="宋体"/>
          <w:sz w:val="20"/>
          <w:szCs w:val="20"/>
        </w:rPr>
      </w:pPr>
      <w:r>
        <w:rPr>
          <w:rFonts w:ascii="宋体" w:hAnsi="宋体" w:eastAsia="宋体" w:cs="宋体"/>
          <w:spacing w:val="13"/>
          <w:sz w:val="20"/>
          <w:szCs w:val="20"/>
        </w:rPr>
        <w:t>委托代理人</w:t>
      </w:r>
      <w:r>
        <w:rPr>
          <w:rFonts w:ascii="宋体" w:hAnsi="宋体" w:eastAsia="宋体" w:cs="宋体"/>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rPr>
        <w:t>（</w:t>
      </w:r>
      <w:r>
        <w:rPr>
          <w:rFonts w:ascii="宋体" w:hAnsi="宋体" w:eastAsia="宋体" w:cs="宋体"/>
          <w:spacing w:val="13"/>
          <w:sz w:val="20"/>
          <w:szCs w:val="20"/>
        </w:rPr>
        <w:t>签字或盖章）</w:t>
      </w:r>
    </w:p>
    <w:p w14:paraId="132BEE88">
      <w:pPr>
        <w:keepNext w:val="0"/>
        <w:keepLines w:val="0"/>
        <w:pageBreakBefore w:val="0"/>
        <w:tabs>
          <w:tab w:val="left" w:pos="6380"/>
        </w:tabs>
        <w:kinsoku/>
        <w:wordWrap/>
        <w:overflowPunct/>
        <w:topLinePunct w:val="0"/>
        <w:bidi w:val="0"/>
        <w:spacing w:before="229" w:line="440" w:lineRule="auto"/>
        <w:ind w:left="5742" w:right="1063" w:hanging="2542"/>
        <w:rPr>
          <w:rFonts w:ascii="宋体" w:hAnsi="宋体" w:eastAsia="宋体" w:cs="宋体"/>
          <w:spacing w:val="1"/>
          <w:sz w:val="20"/>
          <w:szCs w:val="20"/>
          <w:u w:val="single" w:color="auto"/>
        </w:rPr>
      </w:pPr>
      <w:r>
        <w:rPr>
          <w:rFonts w:ascii="宋体" w:hAnsi="宋体" w:eastAsia="宋体" w:cs="宋体"/>
          <w:spacing w:val="10"/>
          <w:sz w:val="20"/>
          <w:szCs w:val="20"/>
        </w:rPr>
        <w:t>身份证号：</w:t>
      </w:r>
      <w:r>
        <w:rPr>
          <w:rFonts w:ascii="宋体" w:hAnsi="宋体" w:eastAsia="宋体" w:cs="宋体"/>
          <w:spacing w:val="1"/>
          <w:sz w:val="20"/>
          <w:szCs w:val="20"/>
          <w:u w:val="single" w:color="auto"/>
        </w:rPr>
        <w:t xml:space="preserve">                               </w:t>
      </w:r>
    </w:p>
    <w:p w14:paraId="2615725C">
      <w:pPr>
        <w:keepNext w:val="0"/>
        <w:keepLines w:val="0"/>
        <w:pageBreakBefore w:val="0"/>
        <w:tabs>
          <w:tab w:val="left" w:pos="6380"/>
        </w:tabs>
        <w:kinsoku/>
        <w:wordWrap/>
        <w:overflowPunct/>
        <w:topLinePunct w:val="0"/>
        <w:bidi w:val="0"/>
        <w:spacing w:before="229" w:line="440" w:lineRule="auto"/>
        <w:ind w:right="1063"/>
        <w:jc w:val="right"/>
        <w:rPr>
          <w:rFonts w:ascii="宋体" w:hAnsi="宋体" w:eastAsia="宋体" w:cs="宋体"/>
          <w:sz w:val="20"/>
          <w:szCs w:val="20"/>
        </w:rPr>
      </w:pPr>
      <w:r>
        <w:rPr>
          <w:rFonts w:ascii="宋体" w:hAnsi="宋体" w:eastAsia="宋体" w:cs="宋体"/>
          <w:spacing w:val="1"/>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96"/>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2"/>
          <w:sz w:val="20"/>
          <w:szCs w:val="20"/>
        </w:rPr>
        <w:t>月</w:t>
      </w:r>
      <w:r>
        <w:rPr>
          <w:rFonts w:ascii="宋体" w:hAnsi="宋体" w:eastAsia="宋体" w:cs="宋体"/>
          <w:spacing w:val="-95"/>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w:t>
      </w:r>
    </w:p>
    <w:p w14:paraId="1994C1D3">
      <w:pPr>
        <w:pStyle w:val="4"/>
        <w:keepNext w:val="0"/>
        <w:keepLines w:val="0"/>
        <w:pageBreakBefore w:val="0"/>
        <w:kinsoku/>
        <w:wordWrap/>
        <w:overflowPunct/>
        <w:topLinePunct w:val="0"/>
        <w:bidi w:val="0"/>
        <w:spacing w:line="246" w:lineRule="auto"/>
      </w:pPr>
    </w:p>
    <w:p w14:paraId="33D5CE4E">
      <w:pPr>
        <w:keepNext w:val="0"/>
        <w:keepLines w:val="0"/>
        <w:pageBreakBefore w:val="0"/>
        <w:kinsoku/>
        <w:wordWrap/>
        <w:overflowPunct/>
        <w:topLinePunct w:val="0"/>
        <w:bidi w:val="0"/>
        <w:spacing w:before="66" w:line="440" w:lineRule="auto"/>
        <w:rPr>
          <w:rFonts w:ascii="宋体" w:hAnsi="宋体" w:eastAsia="宋体" w:cs="宋体"/>
          <w:sz w:val="20"/>
          <w:szCs w:val="20"/>
        </w:rPr>
      </w:pPr>
      <w:r>
        <w:rPr>
          <w:rFonts w:ascii="宋体" w:hAnsi="宋体" w:eastAsia="宋体" w:cs="宋体"/>
          <w:spacing w:val="13"/>
          <w:sz w:val="20"/>
          <w:szCs w:val="20"/>
        </w:rPr>
        <w:t>注：授权委托人参加投标的，仅需提供含法定代表人（单位负责人）</w:t>
      </w:r>
      <w:r>
        <w:rPr>
          <w:rFonts w:ascii="宋体" w:hAnsi="宋体" w:eastAsia="宋体" w:cs="宋体"/>
          <w:spacing w:val="12"/>
          <w:sz w:val="20"/>
          <w:szCs w:val="20"/>
        </w:rPr>
        <w:t>身份证复印件及委托代理人身</w:t>
      </w:r>
      <w:r>
        <w:rPr>
          <w:rFonts w:ascii="宋体" w:hAnsi="宋体" w:eastAsia="宋体" w:cs="宋体"/>
          <w:spacing w:val="10"/>
          <w:sz w:val="20"/>
          <w:szCs w:val="20"/>
        </w:rPr>
        <w:t>份证复印件的授权委托书。</w:t>
      </w:r>
    </w:p>
    <w:p w14:paraId="01CB840C">
      <w:pPr>
        <w:keepNext w:val="0"/>
        <w:keepLines w:val="0"/>
        <w:pageBreakBefore w:val="0"/>
        <w:kinsoku/>
        <w:wordWrap/>
        <w:overflowPunct/>
        <w:topLinePunct w:val="0"/>
        <w:bidi w:val="0"/>
        <w:spacing w:before="219" w:line="220" w:lineRule="auto"/>
        <w:ind w:left="3590"/>
        <w:outlineLvl w:val="1"/>
        <w:rPr>
          <w:rFonts w:ascii="宋体" w:hAnsi="宋体" w:eastAsia="宋体" w:cs="宋体"/>
          <w:sz w:val="28"/>
          <w:szCs w:val="28"/>
        </w:rPr>
      </w:pPr>
      <w:bookmarkStart w:id="50" w:name="bookmark35"/>
      <w:bookmarkEnd w:id="50"/>
      <w:bookmarkStart w:id="51" w:name="_Toc308"/>
      <w:r>
        <w:rPr>
          <w:rFonts w:ascii="宋体" w:hAnsi="宋体" w:eastAsia="宋体" w:cs="宋体"/>
          <w:b/>
          <w:bCs/>
          <w:spacing w:val="-1"/>
          <w:sz w:val="28"/>
          <w:szCs w:val="28"/>
        </w:rPr>
        <w:br w:type="page"/>
      </w:r>
      <w:r>
        <w:rPr>
          <w:rFonts w:ascii="宋体" w:hAnsi="宋体" w:eastAsia="宋体" w:cs="宋体"/>
          <w:b/>
          <w:bCs/>
          <w:spacing w:val="-1"/>
          <w:sz w:val="28"/>
          <w:szCs w:val="28"/>
        </w:rPr>
        <w:t>三、投标承诺函</w:t>
      </w:r>
      <w:bookmarkEnd w:id="51"/>
    </w:p>
    <w:p w14:paraId="015545F5">
      <w:pPr>
        <w:keepNext w:val="0"/>
        <w:keepLines w:val="0"/>
        <w:pageBreakBefore w:val="0"/>
        <w:kinsoku/>
        <w:wordWrap/>
        <w:overflowPunct/>
        <w:topLinePunct w:val="0"/>
        <w:bidi w:val="0"/>
        <w:spacing w:before="256" w:line="227" w:lineRule="auto"/>
        <w:ind w:left="1"/>
        <w:rPr>
          <w:rFonts w:ascii="宋体" w:hAnsi="宋体" w:eastAsia="宋体" w:cs="宋体"/>
          <w:sz w:val="20"/>
          <w:szCs w:val="20"/>
        </w:rPr>
      </w:pPr>
      <w:r>
        <w:rPr>
          <w:rFonts w:ascii="宋体" w:hAnsi="宋体" w:eastAsia="宋体" w:cs="宋体"/>
          <w:spacing w:val="16"/>
          <w:sz w:val="20"/>
          <w:szCs w:val="20"/>
        </w:rPr>
        <w:t>致</w:t>
      </w:r>
      <w:r>
        <w:rPr>
          <w:rFonts w:ascii="宋体" w:hAnsi="宋体" w:eastAsia="宋体" w:cs="宋体"/>
          <w:spacing w:val="-13"/>
          <w:sz w:val="20"/>
          <w:szCs w:val="20"/>
        </w:rPr>
        <w:t>：</w:t>
      </w:r>
      <w:r>
        <w:rPr>
          <w:rFonts w:ascii="宋体" w:hAnsi="宋体" w:eastAsia="宋体" w:cs="宋体"/>
          <w:spacing w:val="-13"/>
          <w:sz w:val="20"/>
          <w:szCs w:val="20"/>
          <w:u w:val="single" w:color="auto"/>
        </w:rPr>
        <w:t>（</w:t>
      </w:r>
      <w:r>
        <w:rPr>
          <w:rFonts w:ascii="宋体" w:hAnsi="宋体" w:eastAsia="宋体" w:cs="宋体"/>
          <w:spacing w:val="16"/>
          <w:sz w:val="20"/>
          <w:szCs w:val="20"/>
          <w:u w:val="single" w:color="auto"/>
        </w:rPr>
        <w:t>采购人及采购代理机构名称）</w:t>
      </w:r>
    </w:p>
    <w:p w14:paraId="3D920AAC">
      <w:pPr>
        <w:keepNext w:val="0"/>
        <w:keepLines w:val="0"/>
        <w:pageBreakBefore w:val="0"/>
        <w:kinsoku/>
        <w:wordWrap/>
        <w:overflowPunct/>
        <w:topLinePunct w:val="0"/>
        <w:bidi w:val="0"/>
        <w:spacing w:before="228" w:line="439" w:lineRule="auto"/>
        <w:ind w:left="2" w:right="62" w:firstLine="600"/>
        <w:rPr>
          <w:rFonts w:ascii="宋体" w:hAnsi="宋体" w:eastAsia="宋体" w:cs="宋体"/>
          <w:sz w:val="20"/>
          <w:szCs w:val="20"/>
        </w:rPr>
      </w:pPr>
      <w:r>
        <w:rPr>
          <w:rFonts w:ascii="宋体" w:hAnsi="宋体" w:eastAsia="宋体" w:cs="宋体"/>
          <w:spacing w:val="7"/>
          <w:sz w:val="20"/>
          <w:szCs w:val="20"/>
        </w:rPr>
        <w:t>我（单位/本人，以下统称我单位）自愿参加</w:t>
      </w:r>
      <w:r>
        <w:rPr>
          <w:rFonts w:ascii="宋体" w:hAnsi="宋体" w:eastAsia="宋体" w:cs="宋体"/>
          <w:spacing w:val="-97"/>
          <w:sz w:val="20"/>
          <w:szCs w:val="20"/>
        </w:rPr>
        <w:t xml:space="preserve"> </w:t>
      </w:r>
      <w:r>
        <w:rPr>
          <w:rFonts w:ascii="宋体" w:hAnsi="宋体" w:eastAsia="宋体" w:cs="宋体"/>
          <w:spacing w:val="7"/>
          <w:sz w:val="20"/>
          <w:szCs w:val="20"/>
          <w:u w:val="single" w:color="auto"/>
        </w:rPr>
        <w:t xml:space="preserve">              （项目名称、项目编号）</w:t>
      </w:r>
      <w:r>
        <w:rPr>
          <w:rFonts w:ascii="宋体" w:hAnsi="宋体" w:eastAsia="宋体" w:cs="宋体"/>
          <w:spacing w:val="7"/>
          <w:sz w:val="20"/>
          <w:szCs w:val="20"/>
        </w:rPr>
        <w:t>的投标,</w:t>
      </w:r>
      <w:r>
        <w:rPr>
          <w:rFonts w:ascii="宋体" w:hAnsi="宋体" w:eastAsia="宋体" w:cs="宋体"/>
          <w:spacing w:val="20"/>
          <w:sz w:val="20"/>
          <w:szCs w:val="20"/>
        </w:rPr>
        <w:t>作为本次采购项</w:t>
      </w:r>
      <w:r>
        <w:rPr>
          <w:rFonts w:ascii="宋体" w:hAnsi="宋体" w:eastAsia="宋体" w:cs="宋体"/>
          <w:spacing w:val="-28"/>
          <w:sz w:val="20"/>
          <w:szCs w:val="20"/>
        </w:rPr>
        <w:t xml:space="preserve"> </w:t>
      </w:r>
      <w:r>
        <w:rPr>
          <w:rFonts w:ascii="宋体" w:hAnsi="宋体" w:eastAsia="宋体" w:cs="宋体"/>
          <w:spacing w:val="20"/>
          <w:sz w:val="20"/>
          <w:szCs w:val="20"/>
        </w:rPr>
        <w:t>目</w:t>
      </w:r>
      <w:r>
        <w:rPr>
          <w:rFonts w:ascii="宋体" w:hAnsi="宋体" w:eastAsia="宋体" w:cs="宋体"/>
          <w:spacing w:val="-55"/>
          <w:sz w:val="20"/>
          <w:szCs w:val="20"/>
        </w:rPr>
        <w:t xml:space="preserve"> </w:t>
      </w:r>
      <w:r>
        <w:rPr>
          <w:rFonts w:ascii="宋体" w:hAnsi="宋体" w:eastAsia="宋体" w:cs="宋体"/>
          <w:spacing w:val="20"/>
          <w:sz w:val="20"/>
          <w:szCs w:val="20"/>
        </w:rPr>
        <w:t>的投标人，根据招标文件要求</w:t>
      </w:r>
      <w:r>
        <w:rPr>
          <w:rFonts w:ascii="宋体" w:hAnsi="宋体" w:eastAsia="宋体" w:cs="宋体"/>
          <w:spacing w:val="-54"/>
          <w:sz w:val="20"/>
          <w:szCs w:val="20"/>
        </w:rPr>
        <w:t xml:space="preserve"> </w:t>
      </w:r>
      <w:r>
        <w:rPr>
          <w:rFonts w:ascii="宋体" w:hAnsi="宋体" w:eastAsia="宋体" w:cs="宋体"/>
          <w:spacing w:val="20"/>
          <w:sz w:val="20"/>
          <w:szCs w:val="20"/>
        </w:rPr>
        <w:t>，现郑重承诺如下：</w:t>
      </w:r>
    </w:p>
    <w:p w14:paraId="61825908">
      <w:pPr>
        <w:keepNext w:val="0"/>
        <w:keepLines w:val="0"/>
        <w:pageBreakBefore w:val="0"/>
        <w:kinsoku/>
        <w:wordWrap/>
        <w:overflowPunct/>
        <w:topLinePunct w:val="0"/>
        <w:bidi w:val="0"/>
        <w:spacing w:before="1" w:line="439" w:lineRule="auto"/>
        <w:ind w:right="80" w:firstLine="604"/>
        <w:rPr>
          <w:rFonts w:ascii="宋体" w:hAnsi="宋体" w:eastAsia="宋体" w:cs="宋体"/>
          <w:sz w:val="20"/>
          <w:szCs w:val="20"/>
        </w:rPr>
      </w:pPr>
      <w:r>
        <w:rPr>
          <w:rFonts w:ascii="宋体" w:hAnsi="宋体" w:eastAsia="宋体" w:cs="宋体"/>
          <w:spacing w:val="26"/>
          <w:sz w:val="20"/>
          <w:szCs w:val="20"/>
        </w:rPr>
        <w:t>一</w:t>
      </w:r>
      <w:r>
        <w:rPr>
          <w:rFonts w:ascii="宋体" w:hAnsi="宋体" w:eastAsia="宋体" w:cs="宋体"/>
          <w:spacing w:val="-56"/>
          <w:sz w:val="20"/>
          <w:szCs w:val="20"/>
        </w:rPr>
        <w:t xml:space="preserve"> </w:t>
      </w:r>
      <w:r>
        <w:rPr>
          <w:rFonts w:ascii="宋体" w:hAnsi="宋体" w:eastAsia="宋体" w:cs="宋体"/>
          <w:spacing w:val="26"/>
          <w:sz w:val="20"/>
          <w:szCs w:val="20"/>
        </w:rPr>
        <w:t>、我单位具备《中华人民共和国政府采购法》</w:t>
      </w:r>
      <w:r>
        <w:rPr>
          <w:rFonts w:ascii="宋体" w:hAnsi="宋体" w:eastAsia="宋体" w:cs="宋体"/>
          <w:spacing w:val="-38"/>
          <w:sz w:val="20"/>
          <w:szCs w:val="20"/>
        </w:rPr>
        <w:t xml:space="preserve"> </w:t>
      </w:r>
      <w:r>
        <w:rPr>
          <w:rFonts w:ascii="宋体" w:hAnsi="宋体" w:eastAsia="宋体" w:cs="宋体"/>
          <w:spacing w:val="26"/>
          <w:sz w:val="20"/>
          <w:szCs w:val="20"/>
        </w:rPr>
        <w:t>第二</w:t>
      </w:r>
      <w:r>
        <w:rPr>
          <w:rFonts w:ascii="宋体" w:hAnsi="宋体" w:eastAsia="宋体" w:cs="宋体"/>
          <w:spacing w:val="25"/>
          <w:sz w:val="20"/>
          <w:szCs w:val="20"/>
        </w:rPr>
        <w:t>十二条第一款和本项</w:t>
      </w:r>
      <w:r>
        <w:rPr>
          <w:rFonts w:ascii="宋体" w:hAnsi="宋体" w:eastAsia="宋体" w:cs="宋体"/>
          <w:spacing w:val="-28"/>
          <w:sz w:val="20"/>
          <w:szCs w:val="20"/>
        </w:rPr>
        <w:t xml:space="preserve"> </w:t>
      </w:r>
      <w:r>
        <w:rPr>
          <w:rFonts w:ascii="宋体" w:hAnsi="宋体" w:eastAsia="宋体" w:cs="宋体"/>
          <w:spacing w:val="25"/>
          <w:sz w:val="20"/>
          <w:szCs w:val="20"/>
        </w:rPr>
        <w:t>目规定的条</w:t>
      </w:r>
      <w:r>
        <w:rPr>
          <w:rFonts w:ascii="宋体" w:hAnsi="宋体" w:eastAsia="宋体" w:cs="宋体"/>
          <w:spacing w:val="10"/>
          <w:sz w:val="20"/>
          <w:szCs w:val="20"/>
        </w:rPr>
        <w:t>件：</w:t>
      </w:r>
    </w:p>
    <w:p w14:paraId="4C4809F5">
      <w:pPr>
        <w:keepNext w:val="0"/>
        <w:keepLines w:val="0"/>
        <w:pageBreakBefore w:val="0"/>
        <w:kinsoku/>
        <w:wordWrap/>
        <w:overflowPunct/>
        <w:topLinePunct w:val="0"/>
        <w:bidi w:val="0"/>
        <w:spacing w:line="227" w:lineRule="auto"/>
        <w:ind w:left="611"/>
        <w:rPr>
          <w:rFonts w:ascii="宋体" w:hAnsi="宋体" w:eastAsia="宋体" w:cs="宋体"/>
          <w:sz w:val="20"/>
          <w:szCs w:val="20"/>
        </w:rPr>
      </w:pPr>
      <w:r>
        <w:rPr>
          <w:rFonts w:ascii="宋体" w:hAnsi="宋体" w:eastAsia="宋体" w:cs="宋体"/>
          <w:spacing w:val="18"/>
          <w:sz w:val="20"/>
          <w:szCs w:val="20"/>
        </w:rPr>
        <w:t>（</w:t>
      </w:r>
      <w:r>
        <w:rPr>
          <w:rFonts w:ascii="宋体" w:hAnsi="宋体" w:eastAsia="宋体" w:cs="宋体"/>
          <w:spacing w:val="-49"/>
          <w:sz w:val="20"/>
          <w:szCs w:val="20"/>
        </w:rPr>
        <w:t xml:space="preserve"> </w:t>
      </w:r>
      <w:r>
        <w:rPr>
          <w:rFonts w:ascii="宋体" w:hAnsi="宋体" w:eastAsia="宋体" w:cs="宋体"/>
          <w:spacing w:val="18"/>
          <w:sz w:val="20"/>
          <w:szCs w:val="20"/>
        </w:rPr>
        <w:t>1）</w:t>
      </w:r>
      <w:r>
        <w:rPr>
          <w:rFonts w:ascii="宋体" w:hAnsi="宋体" w:eastAsia="宋体" w:cs="宋体"/>
          <w:spacing w:val="-49"/>
          <w:sz w:val="20"/>
          <w:szCs w:val="20"/>
        </w:rPr>
        <w:t xml:space="preserve"> </w:t>
      </w:r>
      <w:r>
        <w:rPr>
          <w:rFonts w:ascii="宋体" w:hAnsi="宋体" w:eastAsia="宋体" w:cs="宋体"/>
          <w:spacing w:val="18"/>
          <w:sz w:val="20"/>
          <w:szCs w:val="20"/>
        </w:rPr>
        <w:t>具有独立承担民事责任的能力；</w:t>
      </w:r>
    </w:p>
    <w:p w14:paraId="048301FC">
      <w:pPr>
        <w:keepNext w:val="0"/>
        <w:keepLines w:val="0"/>
        <w:pageBreakBefore w:val="0"/>
        <w:kinsoku/>
        <w:wordWrap/>
        <w:overflowPunct/>
        <w:topLinePunct w:val="0"/>
        <w:bidi w:val="0"/>
        <w:spacing w:before="229" w:line="227" w:lineRule="auto"/>
        <w:ind w:left="611"/>
        <w:rPr>
          <w:rFonts w:ascii="宋体" w:hAnsi="宋体" w:eastAsia="宋体" w:cs="宋体"/>
          <w:sz w:val="20"/>
          <w:szCs w:val="20"/>
        </w:rPr>
      </w:pPr>
      <w:r>
        <w:rPr>
          <w:rFonts w:ascii="宋体" w:hAnsi="宋体" w:eastAsia="宋体" w:cs="宋体"/>
          <w:spacing w:val="23"/>
          <w:sz w:val="20"/>
          <w:szCs w:val="20"/>
        </w:rPr>
        <w:t>（2）</w:t>
      </w:r>
      <w:r>
        <w:rPr>
          <w:rFonts w:ascii="宋体" w:hAnsi="宋体" w:eastAsia="宋体" w:cs="宋体"/>
          <w:spacing w:val="-45"/>
          <w:sz w:val="20"/>
          <w:szCs w:val="20"/>
        </w:rPr>
        <w:t xml:space="preserve"> </w:t>
      </w:r>
      <w:r>
        <w:rPr>
          <w:rFonts w:ascii="宋体" w:hAnsi="宋体" w:eastAsia="宋体" w:cs="宋体"/>
          <w:spacing w:val="23"/>
          <w:sz w:val="20"/>
          <w:szCs w:val="20"/>
        </w:rPr>
        <w:t>具有良好的商业信誉和健全的财务会计制度；</w:t>
      </w:r>
    </w:p>
    <w:p w14:paraId="30FE33F3">
      <w:pPr>
        <w:keepNext w:val="0"/>
        <w:keepLines w:val="0"/>
        <w:pageBreakBefore w:val="0"/>
        <w:kinsoku/>
        <w:wordWrap/>
        <w:overflowPunct/>
        <w:topLinePunct w:val="0"/>
        <w:bidi w:val="0"/>
        <w:spacing w:before="229" w:line="228" w:lineRule="auto"/>
        <w:ind w:left="611"/>
        <w:rPr>
          <w:rFonts w:ascii="宋体" w:hAnsi="宋体" w:eastAsia="宋体" w:cs="宋体"/>
          <w:sz w:val="20"/>
          <w:szCs w:val="20"/>
        </w:rPr>
      </w:pPr>
      <w:r>
        <w:rPr>
          <w:rFonts w:ascii="宋体" w:hAnsi="宋体" w:eastAsia="宋体" w:cs="宋体"/>
          <w:spacing w:val="23"/>
          <w:sz w:val="20"/>
          <w:szCs w:val="20"/>
        </w:rPr>
        <w:t>（3）</w:t>
      </w:r>
      <w:r>
        <w:rPr>
          <w:rFonts w:ascii="宋体" w:hAnsi="宋体" w:eastAsia="宋体" w:cs="宋体"/>
          <w:spacing w:val="-45"/>
          <w:sz w:val="20"/>
          <w:szCs w:val="20"/>
        </w:rPr>
        <w:t xml:space="preserve"> </w:t>
      </w:r>
      <w:r>
        <w:rPr>
          <w:rFonts w:ascii="宋体" w:hAnsi="宋体" w:eastAsia="宋体" w:cs="宋体"/>
          <w:spacing w:val="23"/>
          <w:sz w:val="20"/>
          <w:szCs w:val="20"/>
        </w:rPr>
        <w:t>具有履行合同所必需的设备和专业技术能力；</w:t>
      </w:r>
    </w:p>
    <w:p w14:paraId="5764D609">
      <w:pPr>
        <w:keepNext w:val="0"/>
        <w:keepLines w:val="0"/>
        <w:pageBreakBefore w:val="0"/>
        <w:kinsoku/>
        <w:wordWrap/>
        <w:overflowPunct/>
        <w:topLinePunct w:val="0"/>
        <w:bidi w:val="0"/>
        <w:spacing w:before="228" w:line="227" w:lineRule="auto"/>
        <w:ind w:left="611"/>
        <w:rPr>
          <w:rFonts w:ascii="宋体" w:hAnsi="宋体" w:eastAsia="宋体" w:cs="宋体"/>
          <w:sz w:val="20"/>
          <w:szCs w:val="20"/>
        </w:rPr>
      </w:pPr>
      <w:r>
        <w:rPr>
          <w:rFonts w:ascii="宋体" w:hAnsi="宋体" w:eastAsia="宋体" w:cs="宋体"/>
          <w:spacing w:val="20"/>
          <w:sz w:val="20"/>
          <w:szCs w:val="20"/>
        </w:rPr>
        <w:t>（4）</w:t>
      </w:r>
      <w:r>
        <w:rPr>
          <w:rFonts w:ascii="宋体" w:hAnsi="宋体" w:eastAsia="宋体" w:cs="宋体"/>
          <w:spacing w:val="-39"/>
          <w:sz w:val="20"/>
          <w:szCs w:val="20"/>
        </w:rPr>
        <w:t xml:space="preserve"> </w:t>
      </w:r>
      <w:r>
        <w:rPr>
          <w:rFonts w:ascii="宋体" w:hAnsi="宋体" w:eastAsia="宋体" w:cs="宋体"/>
          <w:spacing w:val="20"/>
          <w:sz w:val="20"/>
          <w:szCs w:val="20"/>
        </w:rPr>
        <w:t>有依法缴纳税收和社会保障资金的</w:t>
      </w:r>
      <w:r>
        <w:rPr>
          <w:rFonts w:ascii="宋体" w:hAnsi="宋体" w:eastAsia="宋体" w:cs="宋体"/>
          <w:spacing w:val="-37"/>
          <w:sz w:val="20"/>
          <w:szCs w:val="20"/>
        </w:rPr>
        <w:t xml:space="preserve"> </w:t>
      </w:r>
      <w:r>
        <w:rPr>
          <w:rFonts w:ascii="宋体" w:hAnsi="宋体" w:eastAsia="宋体" w:cs="宋体"/>
          <w:spacing w:val="20"/>
          <w:sz w:val="20"/>
          <w:szCs w:val="20"/>
        </w:rPr>
        <w:t>良好记录；</w:t>
      </w:r>
    </w:p>
    <w:p w14:paraId="2BF11220">
      <w:pPr>
        <w:keepNext w:val="0"/>
        <w:keepLines w:val="0"/>
        <w:pageBreakBefore w:val="0"/>
        <w:kinsoku/>
        <w:wordWrap/>
        <w:overflowPunct/>
        <w:topLinePunct w:val="0"/>
        <w:bidi w:val="0"/>
        <w:spacing w:before="229" w:line="227" w:lineRule="auto"/>
        <w:ind w:left="611"/>
        <w:rPr>
          <w:rFonts w:ascii="宋体" w:hAnsi="宋体" w:eastAsia="宋体" w:cs="宋体"/>
          <w:sz w:val="20"/>
          <w:szCs w:val="20"/>
        </w:rPr>
      </w:pPr>
      <w:r>
        <w:rPr>
          <w:rFonts w:ascii="宋体" w:hAnsi="宋体" w:eastAsia="宋体" w:cs="宋体"/>
          <w:spacing w:val="23"/>
          <w:sz w:val="20"/>
          <w:szCs w:val="20"/>
        </w:rPr>
        <w:t>（5）</w:t>
      </w:r>
      <w:r>
        <w:rPr>
          <w:rFonts w:ascii="宋体" w:hAnsi="宋体" w:eastAsia="宋体" w:cs="宋体"/>
          <w:spacing w:val="-43"/>
          <w:sz w:val="20"/>
          <w:szCs w:val="20"/>
        </w:rPr>
        <w:t xml:space="preserve"> </w:t>
      </w:r>
      <w:r>
        <w:rPr>
          <w:rFonts w:ascii="宋体" w:hAnsi="宋体" w:eastAsia="宋体" w:cs="宋体"/>
          <w:spacing w:val="23"/>
          <w:sz w:val="20"/>
          <w:szCs w:val="20"/>
        </w:rPr>
        <w:t>参加政府采购活动前三年内</w:t>
      </w:r>
      <w:r>
        <w:rPr>
          <w:rFonts w:ascii="宋体" w:hAnsi="宋体" w:eastAsia="宋体" w:cs="宋体"/>
          <w:spacing w:val="-55"/>
          <w:sz w:val="20"/>
          <w:szCs w:val="20"/>
        </w:rPr>
        <w:t xml:space="preserve"> </w:t>
      </w:r>
      <w:r>
        <w:rPr>
          <w:rFonts w:ascii="宋体" w:hAnsi="宋体" w:eastAsia="宋体" w:cs="宋体"/>
          <w:spacing w:val="23"/>
          <w:sz w:val="20"/>
          <w:szCs w:val="20"/>
        </w:rPr>
        <w:t>，在经营活动中没有重大违法记录；</w:t>
      </w:r>
    </w:p>
    <w:p w14:paraId="378DAEA8">
      <w:pPr>
        <w:keepNext w:val="0"/>
        <w:keepLines w:val="0"/>
        <w:pageBreakBefore w:val="0"/>
        <w:kinsoku/>
        <w:wordWrap/>
        <w:overflowPunct/>
        <w:topLinePunct w:val="0"/>
        <w:bidi w:val="0"/>
        <w:spacing w:before="232" w:line="228" w:lineRule="auto"/>
        <w:ind w:left="611"/>
        <w:rPr>
          <w:rFonts w:ascii="宋体" w:hAnsi="宋体" w:eastAsia="宋体" w:cs="宋体"/>
          <w:sz w:val="20"/>
          <w:szCs w:val="20"/>
        </w:rPr>
      </w:pPr>
      <w:r>
        <w:rPr>
          <w:rFonts w:ascii="宋体" w:hAnsi="宋体" w:eastAsia="宋体" w:cs="宋体"/>
          <w:spacing w:val="19"/>
          <w:sz w:val="20"/>
          <w:szCs w:val="20"/>
        </w:rPr>
        <w:t>（6）</w:t>
      </w:r>
      <w:r>
        <w:rPr>
          <w:rFonts w:ascii="宋体" w:hAnsi="宋体" w:eastAsia="宋体" w:cs="宋体"/>
          <w:spacing w:val="-45"/>
          <w:sz w:val="20"/>
          <w:szCs w:val="20"/>
        </w:rPr>
        <w:t xml:space="preserve"> </w:t>
      </w:r>
      <w:r>
        <w:rPr>
          <w:rFonts w:ascii="宋体" w:hAnsi="宋体" w:eastAsia="宋体" w:cs="宋体"/>
          <w:spacing w:val="19"/>
          <w:sz w:val="20"/>
          <w:szCs w:val="20"/>
        </w:rPr>
        <w:t>法律</w:t>
      </w:r>
      <w:r>
        <w:rPr>
          <w:rFonts w:ascii="宋体" w:hAnsi="宋体" w:eastAsia="宋体" w:cs="宋体"/>
          <w:spacing w:val="-58"/>
          <w:sz w:val="20"/>
          <w:szCs w:val="20"/>
        </w:rPr>
        <w:t xml:space="preserve"> </w:t>
      </w:r>
      <w:r>
        <w:rPr>
          <w:rFonts w:ascii="宋体" w:hAnsi="宋体" w:eastAsia="宋体" w:cs="宋体"/>
          <w:spacing w:val="19"/>
          <w:sz w:val="20"/>
          <w:szCs w:val="20"/>
        </w:rPr>
        <w:t>、行政法规规定的其他条件；</w:t>
      </w:r>
    </w:p>
    <w:p w14:paraId="242D3E22">
      <w:pPr>
        <w:keepNext w:val="0"/>
        <w:keepLines w:val="0"/>
        <w:pageBreakBefore w:val="0"/>
        <w:kinsoku/>
        <w:wordWrap/>
        <w:overflowPunct/>
        <w:topLinePunct w:val="0"/>
        <w:bidi w:val="0"/>
        <w:spacing w:before="226" w:line="227" w:lineRule="auto"/>
        <w:ind w:left="611"/>
        <w:rPr>
          <w:rFonts w:ascii="宋体" w:hAnsi="宋体" w:eastAsia="宋体" w:cs="宋体"/>
          <w:sz w:val="20"/>
          <w:szCs w:val="20"/>
        </w:rPr>
      </w:pPr>
      <w:r>
        <w:rPr>
          <w:rFonts w:ascii="宋体" w:hAnsi="宋体" w:eastAsia="宋体" w:cs="宋体"/>
          <w:spacing w:val="18"/>
          <w:sz w:val="20"/>
          <w:szCs w:val="20"/>
        </w:rPr>
        <w:t>（7）</w:t>
      </w:r>
      <w:r>
        <w:rPr>
          <w:rFonts w:ascii="宋体" w:hAnsi="宋体" w:eastAsia="宋体" w:cs="宋体"/>
          <w:spacing w:val="-42"/>
          <w:sz w:val="20"/>
          <w:szCs w:val="20"/>
        </w:rPr>
        <w:t xml:space="preserve"> </w:t>
      </w:r>
      <w:r>
        <w:rPr>
          <w:rFonts w:ascii="宋体" w:hAnsi="宋体" w:eastAsia="宋体" w:cs="宋体"/>
          <w:spacing w:val="18"/>
          <w:sz w:val="20"/>
          <w:szCs w:val="20"/>
        </w:rPr>
        <w:t>根据采购项</w:t>
      </w:r>
      <w:r>
        <w:rPr>
          <w:rFonts w:ascii="宋体" w:hAnsi="宋体" w:eastAsia="宋体" w:cs="宋体"/>
          <w:spacing w:val="-33"/>
          <w:sz w:val="20"/>
          <w:szCs w:val="20"/>
        </w:rPr>
        <w:t xml:space="preserve"> </w:t>
      </w:r>
      <w:r>
        <w:rPr>
          <w:rFonts w:ascii="宋体" w:hAnsi="宋体" w:eastAsia="宋体" w:cs="宋体"/>
          <w:spacing w:val="18"/>
          <w:sz w:val="20"/>
          <w:szCs w:val="20"/>
        </w:rPr>
        <w:t>目提出的特殊条件。</w:t>
      </w:r>
    </w:p>
    <w:p w14:paraId="62AD119E">
      <w:pPr>
        <w:keepNext w:val="0"/>
        <w:keepLines w:val="0"/>
        <w:pageBreakBefore w:val="0"/>
        <w:kinsoku/>
        <w:wordWrap/>
        <w:overflowPunct/>
        <w:topLinePunct w:val="0"/>
        <w:bidi w:val="0"/>
        <w:spacing w:before="230" w:line="439" w:lineRule="auto"/>
        <w:ind w:right="80" w:firstLine="605"/>
        <w:jc w:val="both"/>
        <w:rPr>
          <w:rFonts w:ascii="宋体" w:hAnsi="宋体" w:eastAsia="宋体" w:cs="宋体"/>
          <w:sz w:val="20"/>
          <w:szCs w:val="20"/>
        </w:rPr>
      </w:pPr>
      <w:r>
        <w:rPr>
          <w:rFonts w:ascii="宋体" w:hAnsi="宋体" w:eastAsia="宋体" w:cs="宋体"/>
          <w:spacing w:val="25"/>
          <w:sz w:val="20"/>
          <w:szCs w:val="20"/>
        </w:rPr>
        <w:t>二</w:t>
      </w:r>
      <w:r>
        <w:rPr>
          <w:rFonts w:ascii="宋体" w:hAnsi="宋体" w:eastAsia="宋体" w:cs="宋体"/>
          <w:spacing w:val="-38"/>
          <w:sz w:val="20"/>
          <w:szCs w:val="20"/>
        </w:rPr>
        <w:t xml:space="preserve"> </w:t>
      </w:r>
      <w:r>
        <w:rPr>
          <w:rFonts w:ascii="宋体" w:hAnsi="宋体" w:eastAsia="宋体" w:cs="宋体"/>
          <w:spacing w:val="25"/>
          <w:sz w:val="20"/>
          <w:szCs w:val="20"/>
        </w:rPr>
        <w:t>、我单位完全接受和满足本项目招标文件中规定的实质性要求</w:t>
      </w:r>
      <w:r>
        <w:rPr>
          <w:rFonts w:ascii="宋体" w:hAnsi="宋体" w:eastAsia="宋体" w:cs="宋体"/>
          <w:spacing w:val="-51"/>
          <w:sz w:val="20"/>
          <w:szCs w:val="20"/>
        </w:rPr>
        <w:t xml:space="preserve"> </w:t>
      </w:r>
      <w:r>
        <w:rPr>
          <w:rFonts w:ascii="宋体" w:hAnsi="宋体" w:eastAsia="宋体" w:cs="宋体"/>
          <w:spacing w:val="25"/>
          <w:sz w:val="20"/>
          <w:szCs w:val="20"/>
        </w:rPr>
        <w:t>，如对采购（招标）</w:t>
      </w:r>
      <w:r>
        <w:rPr>
          <w:rFonts w:ascii="宋体" w:hAnsi="宋体" w:eastAsia="宋体" w:cs="宋体"/>
          <w:spacing w:val="23"/>
          <w:sz w:val="20"/>
          <w:szCs w:val="20"/>
        </w:rPr>
        <w:t>文件有异议</w:t>
      </w:r>
      <w:r>
        <w:rPr>
          <w:rFonts w:ascii="宋体" w:hAnsi="宋体" w:eastAsia="宋体" w:cs="宋体"/>
          <w:spacing w:val="-56"/>
          <w:sz w:val="20"/>
          <w:szCs w:val="20"/>
        </w:rPr>
        <w:t xml:space="preserve"> </w:t>
      </w:r>
      <w:r>
        <w:rPr>
          <w:rFonts w:ascii="宋体" w:hAnsi="宋体" w:eastAsia="宋体" w:cs="宋体"/>
          <w:spacing w:val="23"/>
          <w:sz w:val="20"/>
          <w:szCs w:val="20"/>
        </w:rPr>
        <w:t>，</w:t>
      </w:r>
      <w:r>
        <w:rPr>
          <w:rFonts w:ascii="宋体" w:hAnsi="宋体" w:eastAsia="宋体" w:cs="宋体"/>
          <w:spacing w:val="-43"/>
          <w:sz w:val="20"/>
          <w:szCs w:val="20"/>
        </w:rPr>
        <w:t xml:space="preserve"> </w:t>
      </w:r>
      <w:r>
        <w:rPr>
          <w:rFonts w:ascii="宋体" w:hAnsi="宋体" w:eastAsia="宋体" w:cs="宋体"/>
          <w:spacing w:val="23"/>
          <w:sz w:val="20"/>
          <w:szCs w:val="20"/>
        </w:rPr>
        <w:t>已经在收到招标文件之日起或招标文件公告期限届满之日起七个工</w:t>
      </w:r>
      <w:r>
        <w:rPr>
          <w:rFonts w:ascii="宋体" w:hAnsi="宋体" w:eastAsia="宋体" w:cs="宋体"/>
          <w:spacing w:val="22"/>
          <w:sz w:val="20"/>
          <w:szCs w:val="20"/>
        </w:rPr>
        <w:t>作</w:t>
      </w:r>
      <w:r>
        <w:rPr>
          <w:rFonts w:ascii="宋体" w:hAnsi="宋体" w:eastAsia="宋体" w:cs="宋体"/>
          <w:spacing w:val="-37"/>
          <w:sz w:val="20"/>
          <w:szCs w:val="20"/>
        </w:rPr>
        <w:t xml:space="preserve"> </w:t>
      </w:r>
      <w:r>
        <w:rPr>
          <w:rFonts w:ascii="宋体" w:hAnsi="宋体" w:eastAsia="宋体" w:cs="宋体"/>
          <w:spacing w:val="22"/>
          <w:sz w:val="20"/>
          <w:szCs w:val="20"/>
        </w:rPr>
        <w:t>日</w:t>
      </w:r>
      <w:r>
        <w:rPr>
          <w:rFonts w:ascii="宋体" w:hAnsi="宋体" w:eastAsia="宋体" w:cs="宋体"/>
          <w:spacing w:val="-48"/>
          <w:sz w:val="20"/>
          <w:szCs w:val="20"/>
        </w:rPr>
        <w:t xml:space="preserve"> </w:t>
      </w:r>
      <w:r>
        <w:rPr>
          <w:rFonts w:ascii="宋体" w:hAnsi="宋体" w:eastAsia="宋体" w:cs="宋体"/>
          <w:spacing w:val="22"/>
          <w:sz w:val="20"/>
          <w:szCs w:val="20"/>
        </w:rPr>
        <w:t>内依法</w:t>
      </w:r>
      <w:r>
        <w:rPr>
          <w:rFonts w:hint="eastAsia" w:ascii="宋体" w:hAnsi="宋体" w:eastAsia="宋体" w:cs="宋体"/>
          <w:spacing w:val="22"/>
          <w:sz w:val="20"/>
          <w:szCs w:val="20"/>
          <w:lang w:eastAsia="zh-CN"/>
        </w:rPr>
        <w:t>提出</w:t>
      </w:r>
      <w:r>
        <w:rPr>
          <w:rFonts w:ascii="宋体" w:hAnsi="宋体" w:eastAsia="宋体" w:cs="宋体"/>
          <w:spacing w:val="-56"/>
          <w:sz w:val="20"/>
          <w:szCs w:val="20"/>
        </w:rPr>
        <w:t xml:space="preserve"> </w:t>
      </w:r>
      <w:r>
        <w:rPr>
          <w:rFonts w:ascii="宋体" w:hAnsi="宋体" w:eastAsia="宋体" w:cs="宋体"/>
          <w:spacing w:val="26"/>
          <w:sz w:val="20"/>
          <w:szCs w:val="20"/>
        </w:rPr>
        <w:t>，不存在对采购（招标）</w:t>
      </w:r>
      <w:r>
        <w:rPr>
          <w:rFonts w:ascii="宋体" w:hAnsi="宋体" w:eastAsia="宋体" w:cs="宋体"/>
          <w:spacing w:val="-41"/>
          <w:sz w:val="20"/>
          <w:szCs w:val="20"/>
        </w:rPr>
        <w:t xml:space="preserve"> </w:t>
      </w:r>
      <w:r>
        <w:rPr>
          <w:rFonts w:ascii="宋体" w:hAnsi="宋体" w:eastAsia="宋体" w:cs="宋体"/>
          <w:spacing w:val="26"/>
          <w:sz w:val="20"/>
          <w:szCs w:val="20"/>
        </w:rPr>
        <w:t>文件有异议的同时又参加</w:t>
      </w:r>
      <w:r>
        <w:rPr>
          <w:rFonts w:ascii="宋体" w:hAnsi="宋体" w:eastAsia="宋体" w:cs="宋体"/>
          <w:spacing w:val="25"/>
          <w:sz w:val="20"/>
          <w:szCs w:val="20"/>
        </w:rPr>
        <w:t>投标以求侥幸中标或者为实</w:t>
      </w:r>
      <w:r>
        <w:rPr>
          <w:rFonts w:ascii="宋体" w:hAnsi="宋体" w:eastAsia="宋体" w:cs="宋体"/>
          <w:spacing w:val="15"/>
          <w:sz w:val="20"/>
          <w:szCs w:val="20"/>
        </w:rPr>
        <w:t>现其他非法</w:t>
      </w:r>
      <w:r>
        <w:rPr>
          <w:rFonts w:ascii="宋体" w:hAnsi="宋体" w:eastAsia="宋体" w:cs="宋体"/>
          <w:spacing w:val="-26"/>
          <w:sz w:val="20"/>
          <w:szCs w:val="20"/>
        </w:rPr>
        <w:t xml:space="preserve"> </w:t>
      </w:r>
      <w:r>
        <w:rPr>
          <w:rFonts w:ascii="宋体" w:hAnsi="宋体" w:eastAsia="宋体" w:cs="宋体"/>
          <w:spacing w:val="15"/>
          <w:sz w:val="20"/>
          <w:szCs w:val="20"/>
        </w:rPr>
        <w:t>目</w:t>
      </w:r>
      <w:r>
        <w:rPr>
          <w:rFonts w:ascii="宋体" w:hAnsi="宋体" w:eastAsia="宋体" w:cs="宋体"/>
          <w:spacing w:val="-56"/>
          <w:sz w:val="20"/>
          <w:szCs w:val="20"/>
        </w:rPr>
        <w:t xml:space="preserve"> </w:t>
      </w:r>
      <w:r>
        <w:rPr>
          <w:rFonts w:ascii="宋体" w:hAnsi="宋体" w:eastAsia="宋体" w:cs="宋体"/>
          <w:spacing w:val="15"/>
          <w:sz w:val="20"/>
          <w:szCs w:val="20"/>
        </w:rPr>
        <w:t>的的行为。</w:t>
      </w:r>
    </w:p>
    <w:p w14:paraId="5B48756F">
      <w:pPr>
        <w:keepNext w:val="0"/>
        <w:keepLines w:val="0"/>
        <w:pageBreakBefore w:val="0"/>
        <w:kinsoku/>
        <w:wordWrap/>
        <w:overflowPunct/>
        <w:topLinePunct w:val="0"/>
        <w:bidi w:val="0"/>
        <w:spacing w:before="2" w:line="439" w:lineRule="auto"/>
        <w:ind w:left="6" w:firstLine="594"/>
        <w:rPr>
          <w:rFonts w:ascii="宋体" w:hAnsi="宋体" w:eastAsia="宋体" w:cs="宋体"/>
          <w:sz w:val="20"/>
          <w:szCs w:val="20"/>
        </w:rPr>
      </w:pPr>
      <w:r>
        <w:rPr>
          <w:rFonts w:ascii="宋体" w:hAnsi="宋体" w:eastAsia="宋体" w:cs="宋体"/>
          <w:spacing w:val="24"/>
          <w:sz w:val="20"/>
          <w:szCs w:val="20"/>
        </w:rPr>
        <w:t>三</w:t>
      </w:r>
      <w:r>
        <w:rPr>
          <w:rFonts w:ascii="宋体" w:hAnsi="宋体" w:eastAsia="宋体" w:cs="宋体"/>
          <w:spacing w:val="-46"/>
          <w:sz w:val="20"/>
          <w:szCs w:val="20"/>
        </w:rPr>
        <w:t xml:space="preserve"> </w:t>
      </w:r>
      <w:r>
        <w:rPr>
          <w:rFonts w:ascii="宋体" w:hAnsi="宋体" w:eastAsia="宋体" w:cs="宋体"/>
          <w:spacing w:val="24"/>
          <w:sz w:val="20"/>
          <w:szCs w:val="20"/>
        </w:rPr>
        <w:t>、我单位参加本次招标采购活动</w:t>
      </w:r>
      <w:r>
        <w:rPr>
          <w:rFonts w:ascii="宋体" w:hAnsi="宋体" w:eastAsia="宋体" w:cs="宋体"/>
          <w:spacing w:val="-56"/>
          <w:sz w:val="20"/>
          <w:szCs w:val="20"/>
        </w:rPr>
        <w:t xml:space="preserve"> </w:t>
      </w:r>
      <w:r>
        <w:rPr>
          <w:rFonts w:ascii="宋体" w:hAnsi="宋体" w:eastAsia="宋体" w:cs="宋体"/>
          <w:spacing w:val="24"/>
          <w:sz w:val="20"/>
          <w:szCs w:val="20"/>
        </w:rPr>
        <w:t>，不存在与单位负责人为同一人或者存在直接控股、</w:t>
      </w:r>
      <w:r>
        <w:rPr>
          <w:rFonts w:ascii="宋体" w:hAnsi="宋体" w:eastAsia="宋体" w:cs="宋体"/>
          <w:spacing w:val="27"/>
          <w:sz w:val="20"/>
          <w:szCs w:val="20"/>
        </w:rPr>
        <w:t>管理关系的其他投标人参与同一合同项下的投标活动行为。</w:t>
      </w:r>
    </w:p>
    <w:p w14:paraId="59D7E79E">
      <w:pPr>
        <w:keepNext w:val="0"/>
        <w:keepLines w:val="0"/>
        <w:pageBreakBefore w:val="0"/>
        <w:kinsoku/>
        <w:wordWrap/>
        <w:overflowPunct/>
        <w:topLinePunct w:val="0"/>
        <w:bidi w:val="0"/>
        <w:spacing w:before="2" w:line="437" w:lineRule="auto"/>
        <w:ind w:left="5" w:right="80" w:firstLine="616"/>
        <w:rPr>
          <w:rFonts w:ascii="宋体" w:hAnsi="宋体" w:eastAsia="宋体" w:cs="宋体"/>
          <w:sz w:val="20"/>
          <w:szCs w:val="20"/>
        </w:rPr>
      </w:pPr>
      <w:r>
        <w:rPr>
          <w:rFonts w:ascii="宋体" w:hAnsi="宋体" w:eastAsia="宋体" w:cs="宋体"/>
          <w:spacing w:val="23"/>
          <w:sz w:val="20"/>
          <w:szCs w:val="20"/>
        </w:rPr>
        <w:t>四</w:t>
      </w:r>
      <w:r>
        <w:rPr>
          <w:rFonts w:ascii="宋体" w:hAnsi="宋体" w:eastAsia="宋体" w:cs="宋体"/>
          <w:spacing w:val="-48"/>
          <w:sz w:val="20"/>
          <w:szCs w:val="20"/>
        </w:rPr>
        <w:t xml:space="preserve"> </w:t>
      </w:r>
      <w:r>
        <w:rPr>
          <w:rFonts w:ascii="宋体" w:hAnsi="宋体" w:eastAsia="宋体" w:cs="宋体"/>
          <w:spacing w:val="23"/>
          <w:sz w:val="20"/>
          <w:szCs w:val="20"/>
        </w:rPr>
        <w:t>、我单位参加本次招标采购活动</w:t>
      </w:r>
      <w:r>
        <w:rPr>
          <w:rFonts w:ascii="宋体" w:hAnsi="宋体" w:eastAsia="宋体" w:cs="宋体"/>
          <w:spacing w:val="-53"/>
          <w:sz w:val="20"/>
          <w:szCs w:val="20"/>
        </w:rPr>
        <w:t xml:space="preserve"> </w:t>
      </w:r>
      <w:r>
        <w:rPr>
          <w:rFonts w:ascii="宋体" w:hAnsi="宋体" w:eastAsia="宋体" w:cs="宋体"/>
          <w:spacing w:val="23"/>
          <w:sz w:val="20"/>
          <w:szCs w:val="20"/>
        </w:rPr>
        <w:t>，</w:t>
      </w:r>
      <w:r>
        <w:rPr>
          <w:rFonts w:ascii="宋体" w:hAnsi="宋体" w:eastAsia="宋体" w:cs="宋体"/>
          <w:spacing w:val="-59"/>
          <w:sz w:val="20"/>
          <w:szCs w:val="20"/>
        </w:rPr>
        <w:t xml:space="preserve"> </w:t>
      </w:r>
      <w:r>
        <w:rPr>
          <w:rFonts w:ascii="宋体" w:hAnsi="宋体" w:eastAsia="宋体" w:cs="宋体"/>
          <w:spacing w:val="23"/>
          <w:sz w:val="20"/>
          <w:szCs w:val="20"/>
        </w:rPr>
        <w:t>不存在为采购项</w:t>
      </w:r>
      <w:r>
        <w:rPr>
          <w:rFonts w:ascii="宋体" w:hAnsi="宋体" w:eastAsia="宋体" w:cs="宋体"/>
          <w:spacing w:val="-28"/>
          <w:sz w:val="20"/>
          <w:szCs w:val="20"/>
        </w:rPr>
        <w:t xml:space="preserve"> </w:t>
      </w:r>
      <w:r>
        <w:rPr>
          <w:rFonts w:ascii="宋体" w:hAnsi="宋体" w:eastAsia="宋体" w:cs="宋体"/>
          <w:spacing w:val="23"/>
          <w:sz w:val="20"/>
          <w:szCs w:val="20"/>
        </w:rPr>
        <w:t>目提供整体设计</w:t>
      </w:r>
      <w:r>
        <w:rPr>
          <w:rFonts w:ascii="宋体" w:hAnsi="宋体" w:eastAsia="宋体" w:cs="宋体"/>
          <w:spacing w:val="-53"/>
          <w:sz w:val="20"/>
          <w:szCs w:val="20"/>
        </w:rPr>
        <w:t xml:space="preserve"> </w:t>
      </w:r>
      <w:r>
        <w:rPr>
          <w:rFonts w:ascii="宋体" w:hAnsi="宋体" w:eastAsia="宋体" w:cs="宋体"/>
          <w:spacing w:val="23"/>
          <w:sz w:val="20"/>
          <w:szCs w:val="20"/>
        </w:rPr>
        <w:t>、规范编制或者</w:t>
      </w:r>
      <w:r>
        <w:rPr>
          <w:rFonts w:ascii="宋体" w:hAnsi="宋体" w:eastAsia="宋体" w:cs="宋体"/>
          <w:spacing w:val="17"/>
          <w:sz w:val="20"/>
          <w:szCs w:val="20"/>
        </w:rPr>
        <w:t>项</w:t>
      </w:r>
      <w:r>
        <w:rPr>
          <w:rFonts w:ascii="宋体" w:hAnsi="宋体" w:eastAsia="宋体" w:cs="宋体"/>
          <w:spacing w:val="-24"/>
          <w:sz w:val="20"/>
          <w:szCs w:val="20"/>
        </w:rPr>
        <w:t xml:space="preserve"> </w:t>
      </w:r>
      <w:r>
        <w:rPr>
          <w:rFonts w:ascii="宋体" w:hAnsi="宋体" w:eastAsia="宋体" w:cs="宋体"/>
          <w:spacing w:val="17"/>
          <w:sz w:val="20"/>
          <w:szCs w:val="20"/>
        </w:rPr>
        <w:t>目管理</w:t>
      </w:r>
      <w:r>
        <w:rPr>
          <w:rFonts w:ascii="宋体" w:hAnsi="宋体" w:eastAsia="宋体" w:cs="宋体"/>
          <w:spacing w:val="-56"/>
          <w:sz w:val="20"/>
          <w:szCs w:val="20"/>
        </w:rPr>
        <w:t xml:space="preserve"> </w:t>
      </w:r>
      <w:r>
        <w:rPr>
          <w:rFonts w:ascii="宋体" w:hAnsi="宋体" w:eastAsia="宋体" w:cs="宋体"/>
          <w:spacing w:val="17"/>
          <w:sz w:val="20"/>
          <w:szCs w:val="20"/>
        </w:rPr>
        <w:t>、监理</w:t>
      </w:r>
      <w:r>
        <w:rPr>
          <w:rFonts w:ascii="宋体" w:hAnsi="宋体" w:eastAsia="宋体" w:cs="宋体"/>
          <w:spacing w:val="-56"/>
          <w:sz w:val="20"/>
          <w:szCs w:val="20"/>
        </w:rPr>
        <w:t xml:space="preserve"> </w:t>
      </w:r>
      <w:r>
        <w:rPr>
          <w:rFonts w:ascii="宋体" w:hAnsi="宋体" w:eastAsia="宋体" w:cs="宋体"/>
          <w:spacing w:val="17"/>
          <w:sz w:val="20"/>
          <w:szCs w:val="20"/>
        </w:rPr>
        <w:t>、检测等服务的行为。</w:t>
      </w:r>
    </w:p>
    <w:p w14:paraId="6448E518">
      <w:pPr>
        <w:keepNext w:val="0"/>
        <w:keepLines w:val="0"/>
        <w:pageBreakBefore w:val="0"/>
        <w:kinsoku/>
        <w:wordWrap/>
        <w:overflowPunct/>
        <w:topLinePunct w:val="0"/>
        <w:bidi w:val="0"/>
        <w:spacing w:before="1" w:line="439" w:lineRule="auto"/>
        <w:ind w:left="21" w:right="80" w:firstLine="583"/>
        <w:rPr>
          <w:rFonts w:ascii="宋体" w:hAnsi="宋体" w:eastAsia="宋体" w:cs="宋体"/>
          <w:sz w:val="20"/>
          <w:szCs w:val="20"/>
        </w:rPr>
      </w:pPr>
      <w:r>
        <w:rPr>
          <w:rFonts w:ascii="宋体" w:hAnsi="宋体" w:eastAsia="宋体" w:cs="宋体"/>
          <w:spacing w:val="25"/>
          <w:sz w:val="20"/>
          <w:szCs w:val="20"/>
        </w:rPr>
        <w:t>五</w:t>
      </w:r>
      <w:r>
        <w:rPr>
          <w:rFonts w:ascii="宋体" w:hAnsi="宋体" w:eastAsia="宋体" w:cs="宋体"/>
          <w:spacing w:val="-56"/>
          <w:sz w:val="20"/>
          <w:szCs w:val="20"/>
        </w:rPr>
        <w:t xml:space="preserve"> </w:t>
      </w:r>
      <w:r>
        <w:rPr>
          <w:rFonts w:ascii="宋体" w:hAnsi="宋体" w:eastAsia="宋体" w:cs="宋体"/>
          <w:spacing w:val="25"/>
          <w:sz w:val="20"/>
          <w:szCs w:val="20"/>
        </w:rPr>
        <w:t>、我单位参加本次招标采购活动</w:t>
      </w:r>
      <w:r>
        <w:rPr>
          <w:rFonts w:ascii="宋体" w:hAnsi="宋体" w:eastAsia="宋体" w:cs="宋体"/>
          <w:spacing w:val="-54"/>
          <w:sz w:val="20"/>
          <w:szCs w:val="20"/>
        </w:rPr>
        <w:t xml:space="preserve"> </w:t>
      </w:r>
      <w:r>
        <w:rPr>
          <w:rFonts w:ascii="宋体" w:hAnsi="宋体" w:eastAsia="宋体" w:cs="宋体"/>
          <w:spacing w:val="25"/>
          <w:sz w:val="20"/>
          <w:szCs w:val="20"/>
        </w:rPr>
        <w:t>，</w:t>
      </w:r>
      <w:r>
        <w:rPr>
          <w:rFonts w:ascii="宋体" w:hAnsi="宋体" w:eastAsia="宋体" w:cs="宋体"/>
          <w:spacing w:val="-58"/>
          <w:sz w:val="20"/>
          <w:szCs w:val="20"/>
        </w:rPr>
        <w:t xml:space="preserve"> </w:t>
      </w:r>
      <w:r>
        <w:rPr>
          <w:rFonts w:ascii="宋体" w:hAnsi="宋体" w:eastAsia="宋体" w:cs="宋体"/>
          <w:spacing w:val="25"/>
          <w:sz w:val="20"/>
          <w:szCs w:val="20"/>
        </w:rPr>
        <w:t>不存在和其他投标人在同一合同项下的采购项</w:t>
      </w:r>
      <w:r>
        <w:rPr>
          <w:rFonts w:ascii="宋体" w:hAnsi="宋体" w:eastAsia="宋体" w:cs="宋体"/>
          <w:spacing w:val="-31"/>
          <w:sz w:val="20"/>
          <w:szCs w:val="20"/>
        </w:rPr>
        <w:t xml:space="preserve"> </w:t>
      </w:r>
      <w:r>
        <w:rPr>
          <w:rFonts w:ascii="宋体" w:hAnsi="宋体" w:eastAsia="宋体" w:cs="宋体"/>
          <w:spacing w:val="25"/>
          <w:sz w:val="20"/>
          <w:szCs w:val="20"/>
        </w:rPr>
        <w:t>目</w:t>
      </w:r>
      <w:r>
        <w:rPr>
          <w:rFonts w:ascii="宋体" w:hAnsi="宋体" w:eastAsia="宋体" w:cs="宋体"/>
          <w:spacing w:val="20"/>
          <w:sz w:val="20"/>
          <w:szCs w:val="20"/>
        </w:rPr>
        <w:t>中</w:t>
      </w:r>
      <w:r>
        <w:rPr>
          <w:rFonts w:ascii="宋体" w:hAnsi="宋体" w:eastAsia="宋体" w:cs="宋体"/>
          <w:spacing w:val="-56"/>
          <w:sz w:val="20"/>
          <w:szCs w:val="20"/>
        </w:rPr>
        <w:t xml:space="preserve"> </w:t>
      </w:r>
      <w:r>
        <w:rPr>
          <w:rFonts w:ascii="宋体" w:hAnsi="宋体" w:eastAsia="宋体" w:cs="宋体"/>
          <w:spacing w:val="20"/>
          <w:sz w:val="20"/>
          <w:szCs w:val="20"/>
        </w:rPr>
        <w:t>，</w:t>
      </w:r>
      <w:r>
        <w:rPr>
          <w:rFonts w:ascii="宋体" w:hAnsi="宋体" w:eastAsia="宋体" w:cs="宋体"/>
          <w:spacing w:val="-43"/>
          <w:sz w:val="20"/>
          <w:szCs w:val="20"/>
        </w:rPr>
        <w:t xml:space="preserve"> </w:t>
      </w:r>
      <w:r>
        <w:rPr>
          <w:rFonts w:ascii="宋体" w:hAnsi="宋体" w:eastAsia="宋体" w:cs="宋体"/>
          <w:spacing w:val="20"/>
          <w:sz w:val="20"/>
          <w:szCs w:val="20"/>
        </w:rPr>
        <w:t>同时委托同一个自然人</w:t>
      </w:r>
      <w:r>
        <w:rPr>
          <w:rFonts w:ascii="宋体" w:hAnsi="宋体" w:eastAsia="宋体" w:cs="宋体"/>
          <w:spacing w:val="-58"/>
          <w:sz w:val="20"/>
          <w:szCs w:val="20"/>
        </w:rPr>
        <w:t xml:space="preserve"> </w:t>
      </w:r>
      <w:r>
        <w:rPr>
          <w:rFonts w:ascii="宋体" w:hAnsi="宋体" w:eastAsia="宋体" w:cs="宋体"/>
          <w:spacing w:val="20"/>
          <w:sz w:val="20"/>
          <w:szCs w:val="20"/>
        </w:rPr>
        <w:t>、</w:t>
      </w:r>
      <w:r>
        <w:rPr>
          <w:rFonts w:ascii="宋体" w:hAnsi="宋体" w:eastAsia="宋体" w:cs="宋体"/>
          <w:spacing w:val="-47"/>
          <w:sz w:val="20"/>
          <w:szCs w:val="20"/>
        </w:rPr>
        <w:t xml:space="preserve"> </w:t>
      </w:r>
      <w:r>
        <w:rPr>
          <w:rFonts w:ascii="宋体" w:hAnsi="宋体" w:eastAsia="宋体" w:cs="宋体"/>
          <w:spacing w:val="20"/>
          <w:sz w:val="20"/>
          <w:szCs w:val="20"/>
        </w:rPr>
        <w:t>同一家庭的人</w:t>
      </w:r>
      <w:r>
        <w:rPr>
          <w:rFonts w:ascii="宋体" w:hAnsi="宋体" w:eastAsia="宋体" w:cs="宋体"/>
          <w:spacing w:val="19"/>
          <w:sz w:val="20"/>
          <w:szCs w:val="20"/>
        </w:rPr>
        <w:t>员</w:t>
      </w:r>
      <w:r>
        <w:rPr>
          <w:rFonts w:ascii="宋体" w:hAnsi="宋体" w:eastAsia="宋体" w:cs="宋体"/>
          <w:spacing w:val="-58"/>
          <w:sz w:val="20"/>
          <w:szCs w:val="20"/>
        </w:rPr>
        <w:t xml:space="preserve"> </w:t>
      </w:r>
      <w:r>
        <w:rPr>
          <w:rFonts w:ascii="宋体" w:hAnsi="宋体" w:eastAsia="宋体" w:cs="宋体"/>
          <w:spacing w:val="19"/>
          <w:sz w:val="20"/>
          <w:szCs w:val="20"/>
        </w:rPr>
        <w:t>、</w:t>
      </w:r>
      <w:r>
        <w:rPr>
          <w:rFonts w:ascii="宋体" w:hAnsi="宋体" w:eastAsia="宋体" w:cs="宋体"/>
          <w:spacing w:val="-44"/>
          <w:sz w:val="20"/>
          <w:szCs w:val="20"/>
        </w:rPr>
        <w:t xml:space="preserve"> </w:t>
      </w:r>
      <w:r>
        <w:rPr>
          <w:rFonts w:ascii="宋体" w:hAnsi="宋体" w:eastAsia="宋体" w:cs="宋体"/>
          <w:spacing w:val="19"/>
          <w:sz w:val="20"/>
          <w:szCs w:val="20"/>
        </w:rPr>
        <w:t>同一单位的人员作为代理人的行为。</w:t>
      </w:r>
    </w:p>
    <w:p w14:paraId="5A6B53A8">
      <w:pPr>
        <w:keepNext w:val="0"/>
        <w:keepLines w:val="0"/>
        <w:pageBreakBefore w:val="0"/>
        <w:kinsoku/>
        <w:wordWrap/>
        <w:overflowPunct/>
        <w:topLinePunct w:val="0"/>
        <w:bidi w:val="0"/>
        <w:spacing w:before="1" w:line="226" w:lineRule="auto"/>
        <w:ind w:left="603"/>
        <w:rPr>
          <w:rFonts w:ascii="宋体" w:hAnsi="宋体" w:eastAsia="宋体" w:cs="宋体"/>
          <w:sz w:val="20"/>
          <w:szCs w:val="20"/>
        </w:rPr>
      </w:pPr>
      <w:r>
        <w:rPr>
          <w:rFonts w:ascii="宋体" w:hAnsi="宋体" w:eastAsia="宋体" w:cs="宋体"/>
          <w:spacing w:val="24"/>
          <w:sz w:val="20"/>
          <w:szCs w:val="20"/>
        </w:rPr>
        <w:t>六</w:t>
      </w:r>
      <w:r>
        <w:rPr>
          <w:rFonts w:ascii="宋体" w:hAnsi="宋体" w:eastAsia="宋体" w:cs="宋体"/>
          <w:spacing w:val="-58"/>
          <w:sz w:val="20"/>
          <w:szCs w:val="20"/>
        </w:rPr>
        <w:t xml:space="preserve"> </w:t>
      </w:r>
      <w:r>
        <w:rPr>
          <w:rFonts w:ascii="宋体" w:hAnsi="宋体" w:eastAsia="宋体" w:cs="宋体"/>
          <w:spacing w:val="24"/>
          <w:sz w:val="20"/>
          <w:szCs w:val="20"/>
        </w:rPr>
        <w:t>、我单位参加本次招标采购活动</w:t>
      </w:r>
      <w:r>
        <w:rPr>
          <w:rFonts w:ascii="宋体" w:hAnsi="宋体" w:eastAsia="宋体" w:cs="宋体"/>
          <w:spacing w:val="-56"/>
          <w:sz w:val="20"/>
          <w:szCs w:val="20"/>
        </w:rPr>
        <w:t xml:space="preserve"> </w:t>
      </w:r>
      <w:r>
        <w:rPr>
          <w:rFonts w:ascii="宋体" w:hAnsi="宋体" w:eastAsia="宋体" w:cs="宋体"/>
          <w:spacing w:val="24"/>
          <w:sz w:val="20"/>
          <w:szCs w:val="20"/>
        </w:rPr>
        <w:t>，不存在联合体投标。</w:t>
      </w:r>
    </w:p>
    <w:p w14:paraId="386E4330">
      <w:pPr>
        <w:keepNext w:val="0"/>
        <w:keepLines w:val="0"/>
        <w:pageBreakBefore w:val="0"/>
        <w:kinsoku/>
        <w:wordWrap/>
        <w:overflowPunct/>
        <w:topLinePunct w:val="0"/>
        <w:bidi w:val="0"/>
        <w:spacing w:before="229" w:line="227" w:lineRule="auto"/>
        <w:ind w:left="600"/>
        <w:rPr>
          <w:rFonts w:ascii="宋体" w:hAnsi="宋体" w:eastAsia="宋体" w:cs="宋体"/>
          <w:sz w:val="20"/>
          <w:szCs w:val="20"/>
        </w:rPr>
      </w:pPr>
      <w:r>
        <w:rPr>
          <w:rFonts w:ascii="宋体" w:hAnsi="宋体" w:eastAsia="宋体" w:cs="宋体"/>
          <w:spacing w:val="26"/>
          <w:sz w:val="20"/>
          <w:szCs w:val="20"/>
        </w:rPr>
        <w:t>七</w:t>
      </w:r>
      <w:r>
        <w:rPr>
          <w:rFonts w:ascii="宋体" w:hAnsi="宋体" w:eastAsia="宋体" w:cs="宋体"/>
          <w:spacing w:val="-58"/>
          <w:sz w:val="20"/>
          <w:szCs w:val="20"/>
        </w:rPr>
        <w:t xml:space="preserve"> </w:t>
      </w:r>
      <w:r>
        <w:rPr>
          <w:rFonts w:ascii="宋体" w:hAnsi="宋体" w:eastAsia="宋体" w:cs="宋体"/>
          <w:spacing w:val="26"/>
          <w:sz w:val="20"/>
          <w:szCs w:val="20"/>
        </w:rPr>
        <w:t>、参加本次招标采购活动</w:t>
      </w:r>
      <w:r>
        <w:rPr>
          <w:rFonts w:ascii="宋体" w:hAnsi="宋体" w:eastAsia="宋体" w:cs="宋体"/>
          <w:spacing w:val="-56"/>
          <w:sz w:val="20"/>
          <w:szCs w:val="20"/>
        </w:rPr>
        <w:t xml:space="preserve"> </w:t>
      </w:r>
      <w:r>
        <w:rPr>
          <w:rFonts w:ascii="宋体" w:hAnsi="宋体" w:eastAsia="宋体" w:cs="宋体"/>
          <w:spacing w:val="26"/>
          <w:sz w:val="20"/>
          <w:szCs w:val="20"/>
        </w:rPr>
        <w:t>，在近三年内我单位和其法定</w:t>
      </w:r>
      <w:r>
        <w:rPr>
          <w:rFonts w:ascii="宋体" w:hAnsi="宋体" w:eastAsia="宋体" w:cs="宋体"/>
          <w:spacing w:val="25"/>
          <w:sz w:val="20"/>
          <w:szCs w:val="20"/>
        </w:rPr>
        <w:t>代表人没有行贿犯罪行为。</w:t>
      </w:r>
    </w:p>
    <w:p w14:paraId="33F8177F">
      <w:pPr>
        <w:keepNext w:val="0"/>
        <w:keepLines w:val="0"/>
        <w:pageBreakBefore w:val="0"/>
        <w:kinsoku/>
        <w:wordWrap/>
        <w:overflowPunct/>
        <w:topLinePunct w:val="0"/>
        <w:bidi w:val="0"/>
        <w:spacing w:before="229" w:line="440" w:lineRule="auto"/>
        <w:ind w:left="4" w:right="115" w:firstLine="600"/>
        <w:rPr>
          <w:rFonts w:ascii="宋体" w:hAnsi="宋体" w:eastAsia="宋体" w:cs="宋体"/>
          <w:sz w:val="20"/>
          <w:szCs w:val="20"/>
        </w:rPr>
      </w:pPr>
      <w:r>
        <w:rPr>
          <w:rFonts w:ascii="宋体" w:hAnsi="宋体" w:eastAsia="宋体" w:cs="宋体"/>
          <w:spacing w:val="22"/>
          <w:sz w:val="20"/>
          <w:szCs w:val="20"/>
        </w:rPr>
        <w:t>八</w:t>
      </w:r>
      <w:r>
        <w:rPr>
          <w:rFonts w:ascii="宋体" w:hAnsi="宋体" w:eastAsia="宋体" w:cs="宋体"/>
          <w:spacing w:val="-56"/>
          <w:sz w:val="20"/>
          <w:szCs w:val="20"/>
        </w:rPr>
        <w:t xml:space="preserve"> </w:t>
      </w:r>
      <w:r>
        <w:rPr>
          <w:rFonts w:ascii="宋体" w:hAnsi="宋体" w:eastAsia="宋体" w:cs="宋体"/>
          <w:spacing w:val="22"/>
          <w:sz w:val="20"/>
          <w:szCs w:val="20"/>
        </w:rPr>
        <w:t>、我单位在此声明：</w:t>
      </w:r>
      <w:r>
        <w:rPr>
          <w:rFonts w:ascii="宋体" w:hAnsi="宋体" w:eastAsia="宋体" w:cs="宋体"/>
          <w:spacing w:val="-37"/>
          <w:sz w:val="20"/>
          <w:szCs w:val="20"/>
        </w:rPr>
        <w:t xml:space="preserve"> </w:t>
      </w:r>
      <w:r>
        <w:rPr>
          <w:rFonts w:ascii="宋体" w:hAnsi="宋体" w:eastAsia="宋体" w:cs="宋体"/>
          <w:spacing w:val="22"/>
          <w:sz w:val="20"/>
          <w:szCs w:val="20"/>
        </w:rPr>
        <w:t>保证本次投标文件中提供的所有内</w:t>
      </w:r>
      <w:r>
        <w:rPr>
          <w:rFonts w:ascii="宋体" w:hAnsi="宋体" w:eastAsia="宋体" w:cs="宋体"/>
          <w:spacing w:val="21"/>
          <w:sz w:val="20"/>
          <w:szCs w:val="20"/>
        </w:rPr>
        <w:t>容</w:t>
      </w:r>
      <w:r>
        <w:rPr>
          <w:rFonts w:ascii="宋体" w:hAnsi="宋体" w:eastAsia="宋体" w:cs="宋体"/>
          <w:spacing w:val="-56"/>
          <w:sz w:val="20"/>
          <w:szCs w:val="20"/>
        </w:rPr>
        <w:t xml:space="preserve"> </w:t>
      </w:r>
      <w:r>
        <w:rPr>
          <w:rFonts w:ascii="宋体" w:hAnsi="宋体" w:eastAsia="宋体" w:cs="宋体"/>
          <w:spacing w:val="21"/>
          <w:sz w:val="20"/>
          <w:szCs w:val="20"/>
        </w:rPr>
        <w:t>、</w:t>
      </w:r>
      <w:r>
        <w:rPr>
          <w:rFonts w:ascii="宋体" w:hAnsi="宋体" w:eastAsia="宋体" w:cs="宋体"/>
          <w:spacing w:val="-55"/>
          <w:sz w:val="20"/>
          <w:szCs w:val="20"/>
        </w:rPr>
        <w:t xml:space="preserve"> </w:t>
      </w:r>
      <w:r>
        <w:rPr>
          <w:rFonts w:ascii="宋体" w:hAnsi="宋体" w:eastAsia="宋体" w:cs="宋体"/>
          <w:spacing w:val="21"/>
          <w:sz w:val="20"/>
          <w:szCs w:val="20"/>
        </w:rPr>
        <w:t>资料</w:t>
      </w:r>
      <w:r>
        <w:rPr>
          <w:rFonts w:ascii="宋体" w:hAnsi="宋体" w:eastAsia="宋体" w:cs="宋体"/>
          <w:spacing w:val="-56"/>
          <w:sz w:val="20"/>
          <w:szCs w:val="20"/>
        </w:rPr>
        <w:t xml:space="preserve"> </w:t>
      </w:r>
      <w:r>
        <w:rPr>
          <w:rFonts w:ascii="宋体" w:hAnsi="宋体" w:eastAsia="宋体" w:cs="宋体"/>
          <w:spacing w:val="21"/>
          <w:sz w:val="20"/>
          <w:szCs w:val="20"/>
        </w:rPr>
        <w:t>、</w:t>
      </w:r>
      <w:r>
        <w:rPr>
          <w:rFonts w:ascii="宋体" w:hAnsi="宋体" w:eastAsia="宋体" w:cs="宋体"/>
          <w:spacing w:val="-51"/>
          <w:sz w:val="20"/>
          <w:szCs w:val="20"/>
        </w:rPr>
        <w:t xml:space="preserve"> </w:t>
      </w:r>
      <w:r>
        <w:rPr>
          <w:rFonts w:ascii="宋体" w:hAnsi="宋体" w:eastAsia="宋体" w:cs="宋体"/>
          <w:spacing w:val="21"/>
          <w:sz w:val="20"/>
          <w:szCs w:val="20"/>
        </w:rPr>
        <w:t>陈述是正确的、</w:t>
      </w:r>
      <w:r>
        <w:rPr>
          <w:rFonts w:ascii="宋体" w:hAnsi="宋体" w:eastAsia="宋体" w:cs="宋体"/>
          <w:spacing w:val="22"/>
          <w:sz w:val="20"/>
          <w:szCs w:val="20"/>
        </w:rPr>
        <w:t>真实的</w:t>
      </w:r>
      <w:r>
        <w:rPr>
          <w:rFonts w:ascii="宋体" w:hAnsi="宋体" w:eastAsia="宋体" w:cs="宋体"/>
          <w:spacing w:val="-58"/>
          <w:sz w:val="20"/>
          <w:szCs w:val="20"/>
        </w:rPr>
        <w:t xml:space="preserve"> </w:t>
      </w:r>
      <w:r>
        <w:rPr>
          <w:rFonts w:ascii="宋体" w:hAnsi="宋体" w:eastAsia="宋体" w:cs="宋体"/>
          <w:spacing w:val="22"/>
          <w:sz w:val="20"/>
          <w:szCs w:val="20"/>
        </w:rPr>
        <w:t>、有效的</w:t>
      </w:r>
      <w:r>
        <w:rPr>
          <w:rFonts w:ascii="宋体" w:hAnsi="宋体" w:eastAsia="宋体" w:cs="宋体"/>
          <w:spacing w:val="-56"/>
          <w:sz w:val="20"/>
          <w:szCs w:val="20"/>
        </w:rPr>
        <w:t xml:space="preserve"> </w:t>
      </w:r>
      <w:r>
        <w:rPr>
          <w:rFonts w:ascii="宋体" w:hAnsi="宋体" w:eastAsia="宋体" w:cs="宋体"/>
          <w:spacing w:val="22"/>
          <w:sz w:val="20"/>
          <w:szCs w:val="20"/>
        </w:rPr>
        <w:t>、合法的</w:t>
      </w:r>
      <w:r>
        <w:rPr>
          <w:rFonts w:ascii="宋体" w:hAnsi="宋体" w:eastAsia="宋体" w:cs="宋体"/>
          <w:spacing w:val="-53"/>
          <w:sz w:val="20"/>
          <w:szCs w:val="20"/>
        </w:rPr>
        <w:t xml:space="preserve"> </w:t>
      </w:r>
      <w:r>
        <w:rPr>
          <w:rFonts w:ascii="宋体" w:hAnsi="宋体" w:eastAsia="宋体" w:cs="宋体"/>
          <w:spacing w:val="22"/>
          <w:sz w:val="20"/>
          <w:szCs w:val="20"/>
        </w:rPr>
        <w:t>，并愿意承担相关法</w:t>
      </w:r>
      <w:r>
        <w:rPr>
          <w:rFonts w:ascii="宋体" w:hAnsi="宋体" w:eastAsia="宋体" w:cs="宋体"/>
          <w:spacing w:val="21"/>
          <w:sz w:val="20"/>
          <w:szCs w:val="20"/>
        </w:rPr>
        <w:t>律责任。</w:t>
      </w:r>
    </w:p>
    <w:p w14:paraId="272A9CF9">
      <w:pPr>
        <w:keepNext w:val="0"/>
        <w:keepLines w:val="0"/>
        <w:pageBreakBefore w:val="0"/>
        <w:kinsoku/>
        <w:wordWrap/>
        <w:overflowPunct/>
        <w:topLinePunct w:val="0"/>
        <w:bidi w:val="0"/>
        <w:spacing w:before="228" w:line="228" w:lineRule="auto"/>
        <w:ind w:left="601"/>
        <w:rPr>
          <w:rFonts w:ascii="宋体" w:hAnsi="宋体" w:eastAsia="宋体" w:cs="宋体"/>
          <w:color w:val="auto"/>
          <w:sz w:val="20"/>
          <w:szCs w:val="20"/>
        </w:rPr>
      </w:pPr>
      <w:r>
        <w:rPr>
          <w:rFonts w:ascii="宋体" w:hAnsi="宋体" w:eastAsia="宋体" w:cs="宋体"/>
          <w:color w:val="auto"/>
          <w:spacing w:val="24"/>
          <w:sz w:val="20"/>
          <w:szCs w:val="20"/>
        </w:rPr>
        <w:t>九</w:t>
      </w:r>
      <w:r>
        <w:rPr>
          <w:rFonts w:ascii="宋体" w:hAnsi="宋体" w:eastAsia="宋体" w:cs="宋体"/>
          <w:color w:val="auto"/>
          <w:spacing w:val="-56"/>
          <w:sz w:val="20"/>
          <w:szCs w:val="20"/>
        </w:rPr>
        <w:t xml:space="preserve"> </w:t>
      </w:r>
      <w:r>
        <w:rPr>
          <w:rFonts w:ascii="宋体" w:hAnsi="宋体" w:eastAsia="宋体" w:cs="宋体"/>
          <w:color w:val="auto"/>
          <w:spacing w:val="24"/>
          <w:sz w:val="20"/>
          <w:szCs w:val="20"/>
        </w:rPr>
        <w:t>、</w:t>
      </w:r>
      <w:r>
        <w:rPr>
          <w:rFonts w:ascii="宋体" w:hAnsi="宋体" w:eastAsia="宋体" w:cs="宋体"/>
          <w:color w:val="auto"/>
          <w:spacing w:val="-58"/>
          <w:sz w:val="20"/>
          <w:szCs w:val="20"/>
        </w:rPr>
        <w:t xml:space="preserve"> </w:t>
      </w:r>
      <w:r>
        <w:rPr>
          <w:rFonts w:ascii="宋体" w:hAnsi="宋体" w:eastAsia="宋体" w:cs="宋体"/>
          <w:color w:val="auto"/>
          <w:spacing w:val="24"/>
          <w:sz w:val="20"/>
          <w:szCs w:val="20"/>
        </w:rPr>
        <w:t>存在以下行为之一的愿意接受相关部门的处理：</w:t>
      </w:r>
    </w:p>
    <w:p w14:paraId="31DBEA49">
      <w:pPr>
        <w:keepNext w:val="0"/>
        <w:keepLines w:val="0"/>
        <w:pageBreakBefore w:val="0"/>
        <w:kinsoku/>
        <w:wordWrap/>
        <w:overflowPunct/>
        <w:topLinePunct w:val="0"/>
        <w:bidi w:val="0"/>
        <w:spacing w:before="228" w:line="228" w:lineRule="auto"/>
        <w:ind w:left="899"/>
        <w:rPr>
          <w:rFonts w:ascii="宋体" w:hAnsi="宋体" w:eastAsia="宋体" w:cs="宋体"/>
          <w:sz w:val="20"/>
          <w:szCs w:val="20"/>
        </w:rPr>
      </w:pPr>
      <w:r>
        <w:rPr>
          <w:rFonts w:ascii="宋体" w:hAnsi="宋体" w:eastAsia="宋体" w:cs="宋体"/>
          <w:spacing w:val="24"/>
          <w:sz w:val="20"/>
          <w:szCs w:val="20"/>
        </w:rPr>
        <w:t>1、我单位在投标有效期内撤销投标文件的；</w:t>
      </w:r>
    </w:p>
    <w:p w14:paraId="46A06B1D">
      <w:pPr>
        <w:keepNext w:val="0"/>
        <w:keepLines w:val="0"/>
        <w:pageBreakBefore w:val="0"/>
        <w:kinsoku/>
        <w:wordWrap/>
        <w:overflowPunct/>
        <w:topLinePunct w:val="0"/>
        <w:bidi w:val="0"/>
        <w:spacing w:before="228" w:line="227" w:lineRule="auto"/>
        <w:ind w:left="886"/>
        <w:rPr>
          <w:rFonts w:ascii="宋体" w:hAnsi="宋体" w:eastAsia="宋体" w:cs="宋体"/>
          <w:sz w:val="20"/>
          <w:szCs w:val="20"/>
        </w:rPr>
      </w:pPr>
      <w:r>
        <w:rPr>
          <w:rFonts w:ascii="宋体" w:hAnsi="宋体" w:eastAsia="宋体" w:cs="宋体"/>
          <w:spacing w:val="26"/>
          <w:sz w:val="20"/>
          <w:szCs w:val="20"/>
        </w:rPr>
        <w:t>2、我单位在采购人确定中标人以前放弃中标候选人资格的；</w:t>
      </w:r>
    </w:p>
    <w:p w14:paraId="75209D67">
      <w:pPr>
        <w:keepNext w:val="0"/>
        <w:keepLines w:val="0"/>
        <w:pageBreakBefore w:val="0"/>
        <w:kinsoku/>
        <w:wordWrap/>
        <w:overflowPunct/>
        <w:topLinePunct w:val="0"/>
        <w:bidi w:val="0"/>
        <w:spacing w:before="232" w:line="227" w:lineRule="auto"/>
        <w:ind w:left="888"/>
        <w:rPr>
          <w:rFonts w:ascii="宋体" w:hAnsi="宋体" w:eastAsia="宋体" w:cs="宋体"/>
          <w:sz w:val="20"/>
          <w:szCs w:val="20"/>
        </w:rPr>
      </w:pPr>
      <w:r>
        <w:rPr>
          <w:rFonts w:ascii="宋体" w:hAnsi="宋体" w:eastAsia="宋体" w:cs="宋体"/>
          <w:spacing w:val="24"/>
          <w:sz w:val="20"/>
          <w:szCs w:val="20"/>
        </w:rPr>
        <w:t>3、</w:t>
      </w:r>
      <w:r>
        <w:rPr>
          <w:rFonts w:ascii="宋体" w:hAnsi="宋体" w:eastAsia="宋体" w:cs="宋体"/>
          <w:spacing w:val="-30"/>
          <w:sz w:val="20"/>
          <w:szCs w:val="20"/>
        </w:rPr>
        <w:t xml:space="preserve"> </w:t>
      </w:r>
      <w:r>
        <w:rPr>
          <w:rFonts w:ascii="宋体" w:hAnsi="宋体" w:eastAsia="宋体" w:cs="宋体"/>
          <w:spacing w:val="24"/>
          <w:sz w:val="20"/>
          <w:szCs w:val="20"/>
        </w:rPr>
        <w:t>由于我单位的原因未能按照招标文件的规定与采购人签订合同；</w:t>
      </w:r>
    </w:p>
    <w:p w14:paraId="2430A07A">
      <w:pPr>
        <w:keepNext w:val="0"/>
        <w:keepLines w:val="0"/>
        <w:pageBreakBefore w:val="0"/>
        <w:kinsoku/>
        <w:wordWrap/>
        <w:overflowPunct/>
        <w:topLinePunct w:val="0"/>
        <w:bidi w:val="0"/>
        <w:spacing w:before="229" w:line="227" w:lineRule="auto"/>
        <w:ind w:left="883"/>
        <w:rPr>
          <w:rFonts w:ascii="宋体" w:hAnsi="宋体" w:eastAsia="宋体" w:cs="宋体"/>
          <w:sz w:val="20"/>
          <w:szCs w:val="20"/>
        </w:rPr>
      </w:pPr>
      <w:r>
        <w:rPr>
          <w:rFonts w:ascii="宋体" w:hAnsi="宋体" w:eastAsia="宋体" w:cs="宋体"/>
          <w:spacing w:val="24"/>
          <w:sz w:val="20"/>
          <w:szCs w:val="20"/>
        </w:rPr>
        <w:t>4、我单位在投标文件中提供虚假材料；</w:t>
      </w:r>
    </w:p>
    <w:p w14:paraId="042279AB">
      <w:pPr>
        <w:keepNext w:val="0"/>
        <w:keepLines w:val="0"/>
        <w:pageBreakBefore w:val="0"/>
        <w:kinsoku/>
        <w:wordWrap/>
        <w:overflowPunct/>
        <w:topLinePunct w:val="0"/>
        <w:bidi w:val="0"/>
        <w:spacing w:before="229" w:line="227" w:lineRule="auto"/>
        <w:ind w:left="888"/>
        <w:rPr>
          <w:rFonts w:ascii="宋体" w:hAnsi="宋体" w:eastAsia="宋体" w:cs="宋体"/>
          <w:sz w:val="20"/>
          <w:szCs w:val="20"/>
        </w:rPr>
      </w:pPr>
      <w:r>
        <w:rPr>
          <w:rFonts w:ascii="宋体" w:hAnsi="宋体" w:eastAsia="宋体" w:cs="宋体"/>
          <w:spacing w:val="25"/>
          <w:sz w:val="20"/>
          <w:szCs w:val="20"/>
        </w:rPr>
        <w:t>5、我单位与采购人</w:t>
      </w:r>
      <w:r>
        <w:rPr>
          <w:rFonts w:ascii="宋体" w:hAnsi="宋体" w:eastAsia="宋体" w:cs="宋体"/>
          <w:spacing w:val="-58"/>
          <w:sz w:val="20"/>
          <w:szCs w:val="20"/>
        </w:rPr>
        <w:t xml:space="preserve"> </w:t>
      </w:r>
      <w:r>
        <w:rPr>
          <w:rFonts w:ascii="宋体" w:hAnsi="宋体" w:eastAsia="宋体" w:cs="宋体"/>
          <w:spacing w:val="25"/>
          <w:sz w:val="20"/>
          <w:szCs w:val="20"/>
        </w:rPr>
        <w:t>、其他投标人或者采购代理机构恶</w:t>
      </w:r>
      <w:r>
        <w:rPr>
          <w:rFonts w:ascii="宋体" w:hAnsi="宋体" w:eastAsia="宋体" w:cs="宋体"/>
          <w:spacing w:val="24"/>
          <w:sz w:val="20"/>
          <w:szCs w:val="20"/>
        </w:rPr>
        <w:t>意串通的；</w:t>
      </w:r>
    </w:p>
    <w:p w14:paraId="1E9732D2">
      <w:pPr>
        <w:keepNext w:val="0"/>
        <w:keepLines w:val="0"/>
        <w:pageBreakBefore w:val="0"/>
        <w:kinsoku/>
        <w:wordWrap/>
        <w:overflowPunct/>
        <w:topLinePunct w:val="0"/>
        <w:bidi w:val="0"/>
        <w:spacing w:before="229" w:line="227" w:lineRule="auto"/>
        <w:ind w:left="885"/>
        <w:rPr>
          <w:rFonts w:ascii="宋体" w:hAnsi="宋体" w:eastAsia="宋体" w:cs="宋体"/>
          <w:sz w:val="20"/>
          <w:szCs w:val="20"/>
        </w:rPr>
      </w:pPr>
      <w:r>
        <w:rPr>
          <w:rFonts w:ascii="宋体" w:hAnsi="宋体" w:eastAsia="宋体" w:cs="宋体"/>
          <w:spacing w:val="23"/>
          <w:sz w:val="20"/>
          <w:szCs w:val="20"/>
        </w:rPr>
        <w:t>6、在投标有效期内</w:t>
      </w:r>
      <w:r>
        <w:rPr>
          <w:rFonts w:ascii="宋体" w:hAnsi="宋体" w:eastAsia="宋体" w:cs="宋体"/>
          <w:spacing w:val="-45"/>
          <w:sz w:val="20"/>
          <w:szCs w:val="20"/>
        </w:rPr>
        <w:t xml:space="preserve"> </w:t>
      </w:r>
      <w:r>
        <w:rPr>
          <w:rFonts w:ascii="宋体" w:hAnsi="宋体" w:eastAsia="宋体" w:cs="宋体"/>
          <w:spacing w:val="23"/>
          <w:sz w:val="20"/>
          <w:szCs w:val="20"/>
        </w:rPr>
        <w:t>，我单位在政府采购活动中有违法</w:t>
      </w:r>
      <w:r>
        <w:rPr>
          <w:rFonts w:ascii="宋体" w:hAnsi="宋体" w:eastAsia="宋体" w:cs="宋体"/>
          <w:spacing w:val="-56"/>
          <w:sz w:val="20"/>
          <w:szCs w:val="20"/>
        </w:rPr>
        <w:t xml:space="preserve"> </w:t>
      </w:r>
      <w:r>
        <w:rPr>
          <w:rFonts w:ascii="宋体" w:hAnsi="宋体" w:eastAsia="宋体" w:cs="宋体"/>
          <w:spacing w:val="23"/>
          <w:sz w:val="20"/>
          <w:szCs w:val="20"/>
        </w:rPr>
        <w:t>、违规</w:t>
      </w:r>
      <w:r>
        <w:rPr>
          <w:rFonts w:ascii="宋体" w:hAnsi="宋体" w:eastAsia="宋体" w:cs="宋体"/>
          <w:spacing w:val="-56"/>
          <w:sz w:val="20"/>
          <w:szCs w:val="20"/>
        </w:rPr>
        <w:t xml:space="preserve"> </w:t>
      </w:r>
      <w:r>
        <w:rPr>
          <w:rFonts w:ascii="宋体" w:hAnsi="宋体" w:eastAsia="宋体" w:cs="宋体"/>
          <w:spacing w:val="23"/>
          <w:sz w:val="20"/>
          <w:szCs w:val="20"/>
        </w:rPr>
        <w:t>、违纪行为。</w:t>
      </w:r>
    </w:p>
    <w:p w14:paraId="17227CA2">
      <w:pPr>
        <w:keepNext w:val="0"/>
        <w:keepLines w:val="0"/>
        <w:pageBreakBefore w:val="0"/>
        <w:kinsoku/>
        <w:wordWrap/>
        <w:overflowPunct/>
        <w:topLinePunct w:val="0"/>
        <w:bidi w:val="0"/>
        <w:spacing w:before="229" w:line="439" w:lineRule="auto"/>
        <w:ind w:firstLine="516" w:firstLineChars="200"/>
        <w:rPr>
          <w:rFonts w:ascii="宋体" w:hAnsi="宋体" w:eastAsia="宋体" w:cs="宋体"/>
          <w:sz w:val="20"/>
          <w:szCs w:val="20"/>
        </w:rPr>
      </w:pPr>
      <w:r>
        <w:rPr>
          <w:rFonts w:ascii="宋体" w:hAnsi="宋体" w:eastAsia="宋体" w:cs="宋体"/>
          <w:spacing w:val="29"/>
          <w:sz w:val="20"/>
          <w:szCs w:val="20"/>
        </w:rPr>
        <w:t>我单位知晓上述行为的法律后果</w:t>
      </w:r>
      <w:r>
        <w:rPr>
          <w:rFonts w:ascii="宋体" w:hAnsi="宋体" w:eastAsia="宋体" w:cs="宋体"/>
          <w:spacing w:val="-45"/>
          <w:sz w:val="20"/>
          <w:szCs w:val="20"/>
        </w:rPr>
        <w:t xml:space="preserve"> </w:t>
      </w:r>
      <w:r>
        <w:rPr>
          <w:rFonts w:ascii="宋体" w:hAnsi="宋体" w:eastAsia="宋体" w:cs="宋体"/>
          <w:spacing w:val="29"/>
          <w:sz w:val="20"/>
          <w:szCs w:val="20"/>
        </w:rPr>
        <w:t>，承认本承诺书作为采购人及采购代理机构要求我单</w:t>
      </w:r>
      <w:r>
        <w:rPr>
          <w:rFonts w:ascii="宋体" w:hAnsi="宋体" w:eastAsia="宋体" w:cs="宋体"/>
          <w:spacing w:val="26"/>
          <w:sz w:val="20"/>
          <w:szCs w:val="20"/>
        </w:rPr>
        <w:t>位履行违约赔偿义务的依据作用。</w:t>
      </w:r>
    </w:p>
    <w:p w14:paraId="5D9D0005">
      <w:pPr>
        <w:keepNext w:val="0"/>
        <w:keepLines w:val="0"/>
        <w:pageBreakBefore w:val="0"/>
        <w:kinsoku/>
        <w:wordWrap/>
        <w:overflowPunct/>
        <w:topLinePunct w:val="0"/>
        <w:bidi w:val="0"/>
        <w:spacing w:before="1" w:line="439" w:lineRule="auto"/>
        <w:ind w:firstLine="468" w:firstLineChars="200"/>
        <w:rPr>
          <w:rFonts w:ascii="宋体" w:hAnsi="宋体" w:eastAsia="宋体" w:cs="宋体"/>
          <w:sz w:val="20"/>
          <w:szCs w:val="20"/>
        </w:rPr>
      </w:pPr>
      <w:r>
        <w:rPr>
          <w:rFonts w:ascii="宋体" w:hAnsi="宋体" w:eastAsia="宋体" w:cs="宋体"/>
          <w:spacing w:val="17"/>
          <w:sz w:val="20"/>
          <w:szCs w:val="20"/>
        </w:rPr>
        <w:t>如果发生以上任意一种或以上行为</w:t>
      </w:r>
      <w:r>
        <w:rPr>
          <w:rFonts w:ascii="宋体" w:hAnsi="宋体" w:eastAsia="宋体" w:cs="宋体"/>
          <w:spacing w:val="-45"/>
          <w:sz w:val="20"/>
          <w:szCs w:val="20"/>
        </w:rPr>
        <w:t xml:space="preserve"> </w:t>
      </w:r>
      <w:r>
        <w:rPr>
          <w:rFonts w:ascii="宋体" w:hAnsi="宋体" w:eastAsia="宋体" w:cs="宋体"/>
          <w:spacing w:val="17"/>
          <w:sz w:val="20"/>
          <w:szCs w:val="20"/>
        </w:rPr>
        <w:t>，将在行为发生的 10</w:t>
      </w:r>
      <w:r>
        <w:rPr>
          <w:rFonts w:ascii="宋体" w:hAnsi="宋体" w:eastAsia="宋体" w:cs="宋体"/>
          <w:spacing w:val="46"/>
          <w:sz w:val="20"/>
          <w:szCs w:val="20"/>
        </w:rPr>
        <w:t xml:space="preserve"> </w:t>
      </w:r>
      <w:r>
        <w:rPr>
          <w:rFonts w:ascii="宋体" w:hAnsi="宋体" w:eastAsia="宋体" w:cs="宋体"/>
          <w:spacing w:val="17"/>
          <w:sz w:val="20"/>
          <w:szCs w:val="20"/>
        </w:rPr>
        <w:t>个工作</w:t>
      </w:r>
      <w:r>
        <w:rPr>
          <w:rFonts w:ascii="宋体" w:hAnsi="宋体" w:eastAsia="宋体" w:cs="宋体"/>
          <w:spacing w:val="-37"/>
          <w:sz w:val="20"/>
          <w:szCs w:val="20"/>
        </w:rPr>
        <w:t xml:space="preserve"> </w:t>
      </w:r>
      <w:r>
        <w:rPr>
          <w:rFonts w:ascii="宋体" w:hAnsi="宋体" w:eastAsia="宋体" w:cs="宋体"/>
          <w:spacing w:val="17"/>
          <w:sz w:val="20"/>
          <w:szCs w:val="20"/>
        </w:rPr>
        <w:t>日</w:t>
      </w:r>
      <w:r>
        <w:rPr>
          <w:rFonts w:ascii="宋体" w:hAnsi="宋体" w:eastAsia="宋体" w:cs="宋体"/>
          <w:spacing w:val="-45"/>
          <w:sz w:val="20"/>
          <w:szCs w:val="20"/>
        </w:rPr>
        <w:t xml:space="preserve"> </w:t>
      </w:r>
      <w:r>
        <w:rPr>
          <w:rFonts w:ascii="宋体" w:hAnsi="宋体" w:eastAsia="宋体" w:cs="宋体"/>
          <w:spacing w:val="17"/>
          <w:sz w:val="20"/>
          <w:szCs w:val="20"/>
        </w:rPr>
        <w:t>内</w:t>
      </w:r>
      <w:r>
        <w:rPr>
          <w:rFonts w:ascii="宋体" w:hAnsi="宋体" w:eastAsia="宋体" w:cs="宋体"/>
          <w:spacing w:val="-56"/>
          <w:sz w:val="20"/>
          <w:szCs w:val="20"/>
        </w:rPr>
        <w:t xml:space="preserve"> </w:t>
      </w:r>
      <w:r>
        <w:rPr>
          <w:rFonts w:ascii="宋体" w:hAnsi="宋体" w:eastAsia="宋体" w:cs="宋体"/>
          <w:spacing w:val="17"/>
          <w:sz w:val="20"/>
          <w:szCs w:val="20"/>
        </w:rPr>
        <w:t>，向贵方（或采购</w:t>
      </w:r>
      <w:r>
        <w:rPr>
          <w:rFonts w:ascii="宋体" w:hAnsi="宋体" w:eastAsia="宋体" w:cs="宋体"/>
          <w:spacing w:val="24"/>
          <w:sz w:val="20"/>
          <w:szCs w:val="20"/>
        </w:rPr>
        <w:t>人）</w:t>
      </w:r>
      <w:r>
        <w:rPr>
          <w:rFonts w:ascii="宋体" w:hAnsi="宋体" w:eastAsia="宋体" w:cs="宋体"/>
          <w:spacing w:val="-39"/>
          <w:sz w:val="20"/>
          <w:szCs w:val="20"/>
        </w:rPr>
        <w:t xml:space="preserve"> </w:t>
      </w:r>
      <w:r>
        <w:rPr>
          <w:rFonts w:ascii="宋体" w:hAnsi="宋体" w:eastAsia="宋体" w:cs="宋体"/>
          <w:spacing w:val="24"/>
          <w:sz w:val="20"/>
          <w:szCs w:val="20"/>
        </w:rPr>
        <w:t>支付本招标文件公布的预算金额或最高限价的</w:t>
      </w:r>
      <w:r>
        <w:rPr>
          <w:rFonts w:ascii="宋体" w:hAnsi="宋体" w:eastAsia="宋体" w:cs="宋体"/>
          <w:spacing w:val="-13"/>
          <w:sz w:val="20"/>
          <w:szCs w:val="20"/>
        </w:rPr>
        <w:t xml:space="preserve"> </w:t>
      </w:r>
      <w:r>
        <w:rPr>
          <w:rFonts w:ascii="宋体" w:hAnsi="宋体" w:eastAsia="宋体" w:cs="宋体"/>
          <w:spacing w:val="24"/>
          <w:sz w:val="20"/>
          <w:szCs w:val="20"/>
        </w:rPr>
        <w:t>2%作为违约赔偿金。</w:t>
      </w:r>
    </w:p>
    <w:p w14:paraId="4617FEF5">
      <w:pPr>
        <w:keepNext w:val="0"/>
        <w:keepLines w:val="0"/>
        <w:pageBreakBefore w:val="0"/>
        <w:kinsoku/>
        <w:wordWrap/>
        <w:overflowPunct/>
        <w:topLinePunct w:val="0"/>
        <w:bidi w:val="0"/>
        <w:spacing w:before="1" w:line="227" w:lineRule="auto"/>
        <w:ind w:firstLine="504" w:firstLineChars="200"/>
        <w:rPr>
          <w:rFonts w:ascii="宋体" w:hAnsi="宋体" w:eastAsia="宋体" w:cs="宋体"/>
          <w:sz w:val="20"/>
          <w:szCs w:val="20"/>
        </w:rPr>
      </w:pPr>
      <w:r>
        <w:rPr>
          <w:rFonts w:ascii="宋体" w:hAnsi="宋体" w:eastAsia="宋体" w:cs="宋体"/>
          <w:spacing w:val="26"/>
          <w:sz w:val="20"/>
          <w:szCs w:val="20"/>
        </w:rPr>
        <w:t>承认本承诺书作为贵方（或采购人）</w:t>
      </w:r>
      <w:r>
        <w:rPr>
          <w:rFonts w:ascii="宋体" w:hAnsi="宋体" w:eastAsia="宋体" w:cs="宋体"/>
          <w:spacing w:val="-35"/>
          <w:sz w:val="20"/>
          <w:szCs w:val="20"/>
        </w:rPr>
        <w:t xml:space="preserve"> </w:t>
      </w:r>
      <w:r>
        <w:rPr>
          <w:rFonts w:ascii="宋体" w:hAnsi="宋体" w:eastAsia="宋体" w:cs="宋体"/>
          <w:spacing w:val="26"/>
          <w:sz w:val="20"/>
          <w:szCs w:val="20"/>
        </w:rPr>
        <w:t>要求我方履行违约赔偿义务的依据作用。</w:t>
      </w:r>
    </w:p>
    <w:p w14:paraId="5D519A17">
      <w:pPr>
        <w:keepNext w:val="0"/>
        <w:keepLines w:val="0"/>
        <w:pageBreakBefore w:val="0"/>
        <w:kinsoku/>
        <w:wordWrap/>
        <w:overflowPunct/>
        <w:topLinePunct w:val="0"/>
        <w:bidi w:val="0"/>
        <w:spacing w:before="228" w:line="439" w:lineRule="auto"/>
        <w:ind w:firstLine="512" w:firstLineChars="200"/>
        <w:rPr>
          <w:rFonts w:ascii="宋体" w:hAnsi="宋体" w:eastAsia="宋体" w:cs="宋体"/>
          <w:sz w:val="20"/>
          <w:szCs w:val="20"/>
        </w:rPr>
      </w:pPr>
      <w:r>
        <w:rPr>
          <w:rFonts w:ascii="宋体" w:hAnsi="宋体" w:eastAsia="宋体" w:cs="宋体"/>
          <w:spacing w:val="28"/>
          <w:sz w:val="20"/>
          <w:szCs w:val="20"/>
        </w:rPr>
        <w:t>由此产生的一切法律后果和责任由我单位承担</w:t>
      </w:r>
      <w:r>
        <w:rPr>
          <w:rFonts w:ascii="宋体" w:hAnsi="宋体" w:eastAsia="宋体" w:cs="宋体"/>
          <w:spacing w:val="-32"/>
          <w:sz w:val="20"/>
          <w:szCs w:val="20"/>
        </w:rPr>
        <w:t xml:space="preserve"> </w:t>
      </w:r>
      <w:r>
        <w:rPr>
          <w:rFonts w:ascii="宋体" w:hAnsi="宋体" w:eastAsia="宋体" w:cs="宋体"/>
          <w:spacing w:val="28"/>
          <w:sz w:val="20"/>
          <w:szCs w:val="20"/>
        </w:rPr>
        <w:t>。我单位声明放弃对此提出任何异议和</w:t>
      </w:r>
      <w:r>
        <w:rPr>
          <w:rFonts w:ascii="宋体" w:hAnsi="宋体" w:eastAsia="宋体" w:cs="宋体"/>
          <w:spacing w:val="22"/>
          <w:sz w:val="20"/>
          <w:szCs w:val="20"/>
        </w:rPr>
        <w:t>追索的权利。</w:t>
      </w:r>
    </w:p>
    <w:p w14:paraId="58347C89">
      <w:pPr>
        <w:keepNext w:val="0"/>
        <w:keepLines w:val="0"/>
        <w:pageBreakBefore w:val="0"/>
        <w:kinsoku/>
        <w:wordWrap/>
        <w:overflowPunct/>
        <w:topLinePunct w:val="0"/>
        <w:bidi w:val="0"/>
        <w:spacing w:before="2" w:line="439" w:lineRule="auto"/>
        <w:ind w:right="51" w:firstLine="512" w:firstLineChars="200"/>
        <w:rPr>
          <w:rFonts w:ascii="宋体" w:hAnsi="宋体" w:eastAsia="宋体" w:cs="宋体"/>
          <w:sz w:val="20"/>
          <w:szCs w:val="20"/>
        </w:rPr>
      </w:pPr>
      <w:r>
        <w:rPr>
          <w:rFonts w:ascii="宋体" w:hAnsi="宋体" w:eastAsia="宋体" w:cs="宋体"/>
          <w:spacing w:val="28"/>
          <w:sz w:val="20"/>
          <w:szCs w:val="20"/>
        </w:rPr>
        <w:t>我单位对上述承诺的内容事项真实性负责</w:t>
      </w:r>
      <w:r>
        <w:rPr>
          <w:rFonts w:ascii="宋体" w:hAnsi="宋体" w:eastAsia="宋体" w:cs="宋体"/>
          <w:spacing w:val="-47"/>
          <w:sz w:val="20"/>
          <w:szCs w:val="20"/>
        </w:rPr>
        <w:t xml:space="preserve"> </w:t>
      </w:r>
      <w:r>
        <w:rPr>
          <w:rFonts w:ascii="宋体" w:hAnsi="宋体" w:eastAsia="宋体" w:cs="宋体"/>
          <w:spacing w:val="28"/>
          <w:sz w:val="20"/>
          <w:szCs w:val="20"/>
        </w:rPr>
        <w:t>。如经查实上述</w:t>
      </w:r>
      <w:r>
        <w:rPr>
          <w:rFonts w:ascii="宋体" w:hAnsi="宋体" w:eastAsia="宋体" w:cs="宋体"/>
          <w:spacing w:val="27"/>
          <w:sz w:val="20"/>
          <w:szCs w:val="20"/>
        </w:rPr>
        <w:t>承诺的内容事项存在虚假，我单位愿意接受以提供虚假材料谋取中标而被追究法律责任。</w:t>
      </w:r>
    </w:p>
    <w:p w14:paraId="2F5EF794">
      <w:pPr>
        <w:pStyle w:val="4"/>
        <w:keepNext w:val="0"/>
        <w:keepLines w:val="0"/>
        <w:pageBreakBefore w:val="0"/>
        <w:kinsoku/>
        <w:wordWrap/>
        <w:overflowPunct/>
        <w:topLinePunct w:val="0"/>
        <w:bidi w:val="0"/>
        <w:spacing w:line="405" w:lineRule="auto"/>
      </w:pPr>
    </w:p>
    <w:p w14:paraId="0D4D74EC">
      <w:pPr>
        <w:keepNext w:val="0"/>
        <w:keepLines w:val="0"/>
        <w:pageBreakBefore w:val="0"/>
        <w:kinsoku/>
        <w:wordWrap/>
        <w:overflowPunct/>
        <w:topLinePunct w:val="0"/>
        <w:bidi w:val="0"/>
        <w:spacing w:before="65" w:line="227" w:lineRule="auto"/>
        <w:ind w:left="3"/>
        <w:rPr>
          <w:rFonts w:ascii="宋体" w:hAnsi="宋体" w:eastAsia="宋体" w:cs="宋体"/>
          <w:sz w:val="20"/>
          <w:szCs w:val="20"/>
        </w:rPr>
      </w:pPr>
      <w:r>
        <w:rPr>
          <w:rFonts w:ascii="宋体" w:hAnsi="宋体" w:eastAsia="宋体" w:cs="宋体"/>
          <w:spacing w:val="11"/>
          <w:sz w:val="20"/>
          <w:szCs w:val="20"/>
        </w:rPr>
        <w:t>投标人（盖电子签章</w:t>
      </w:r>
      <w:r>
        <w:rPr>
          <w:rFonts w:ascii="宋体" w:hAnsi="宋体" w:eastAsia="宋体" w:cs="宋体"/>
          <w:spacing w:val="-6"/>
          <w:sz w:val="20"/>
          <w:szCs w:val="20"/>
        </w:rPr>
        <w:t>）</w:t>
      </w:r>
      <w:r>
        <w:rPr>
          <w:rFonts w:ascii="宋体" w:hAnsi="宋体" w:eastAsia="宋体" w:cs="宋体"/>
          <w:spacing w:val="-57"/>
          <w:sz w:val="20"/>
          <w:szCs w:val="20"/>
        </w:rPr>
        <w:t xml:space="preserve"> </w:t>
      </w:r>
      <w:r>
        <w:rPr>
          <w:rFonts w:ascii="宋体" w:hAnsi="宋体" w:eastAsia="宋体" w:cs="宋体"/>
          <w:spacing w:val="-6"/>
          <w:sz w:val="20"/>
          <w:szCs w:val="20"/>
        </w:rPr>
        <w:t>：</w:t>
      </w:r>
      <w:r>
        <w:rPr>
          <w:rFonts w:ascii="宋体" w:hAnsi="宋体" w:eastAsia="宋体" w:cs="宋体"/>
          <w:sz w:val="20"/>
          <w:szCs w:val="20"/>
          <w:u w:val="single" w:color="auto"/>
        </w:rPr>
        <w:t xml:space="preserve">                  </w:t>
      </w:r>
    </w:p>
    <w:p w14:paraId="4D1C76B1">
      <w:pPr>
        <w:keepNext w:val="0"/>
        <w:keepLines w:val="0"/>
        <w:pageBreakBefore w:val="0"/>
        <w:kinsoku/>
        <w:wordWrap/>
        <w:overflowPunct/>
        <w:topLinePunct w:val="0"/>
        <w:bidi w:val="0"/>
        <w:spacing w:before="229" w:line="227" w:lineRule="auto"/>
        <w:ind w:left="1"/>
        <w:rPr>
          <w:rFonts w:ascii="宋体" w:hAnsi="宋体" w:eastAsia="宋体" w:cs="宋体"/>
          <w:sz w:val="20"/>
          <w:szCs w:val="20"/>
        </w:rPr>
      </w:pPr>
      <w:r>
        <w:rPr>
          <w:rFonts w:ascii="宋体" w:hAnsi="宋体" w:eastAsia="宋体" w:cs="宋体"/>
          <w:spacing w:val="9"/>
          <w:sz w:val="20"/>
          <w:szCs w:val="20"/>
        </w:rPr>
        <w:t>法定代表人或其委托代理人（签字或盖章</w:t>
      </w:r>
      <w:r>
        <w:rPr>
          <w:rFonts w:ascii="宋体" w:hAnsi="宋体" w:eastAsia="宋体" w:cs="宋体"/>
          <w:spacing w:val="13"/>
          <w:sz w:val="20"/>
          <w:szCs w:val="20"/>
        </w:rPr>
        <w:t>）：</w:t>
      </w:r>
      <w:r>
        <w:rPr>
          <w:rFonts w:ascii="宋体" w:hAnsi="宋体" w:eastAsia="宋体" w:cs="宋体"/>
          <w:sz w:val="20"/>
          <w:szCs w:val="20"/>
          <w:u w:val="single" w:color="auto"/>
        </w:rPr>
        <w:t xml:space="preserve">                </w:t>
      </w:r>
    </w:p>
    <w:p w14:paraId="2ECD1D1B">
      <w:pPr>
        <w:keepNext w:val="0"/>
        <w:keepLines w:val="0"/>
        <w:pageBreakBefore w:val="0"/>
        <w:kinsoku/>
        <w:wordWrap/>
        <w:overflowPunct/>
        <w:topLinePunct w:val="0"/>
        <w:bidi w:val="0"/>
        <w:spacing w:before="232" w:line="229" w:lineRule="auto"/>
        <w:rPr>
          <w:rFonts w:ascii="宋体" w:hAnsi="宋体" w:eastAsia="宋体" w:cs="宋体"/>
          <w:sz w:val="20"/>
          <w:szCs w:val="20"/>
        </w:rPr>
      </w:pPr>
      <w:r>
        <w:rPr>
          <w:rFonts w:ascii="宋体" w:hAnsi="宋体" w:eastAsia="宋体" w:cs="宋体"/>
          <w:spacing w:val="8"/>
          <w:sz w:val="20"/>
          <w:szCs w:val="20"/>
        </w:rPr>
        <w:t>委托人联系方式：</w:t>
      </w:r>
      <w:r>
        <w:rPr>
          <w:rFonts w:ascii="宋体" w:hAnsi="宋体" w:eastAsia="宋体" w:cs="宋体"/>
          <w:sz w:val="20"/>
          <w:szCs w:val="20"/>
          <w:u w:val="single" w:color="auto"/>
        </w:rPr>
        <w:t xml:space="preserve">                                 </w:t>
      </w:r>
    </w:p>
    <w:p w14:paraId="7123B9D7">
      <w:pPr>
        <w:keepNext w:val="0"/>
        <w:keepLines w:val="0"/>
        <w:pageBreakBefore w:val="0"/>
        <w:kinsoku/>
        <w:wordWrap/>
        <w:overflowPunct/>
        <w:topLinePunct w:val="0"/>
        <w:bidi w:val="0"/>
        <w:spacing w:before="228" w:line="228" w:lineRule="auto"/>
        <w:ind w:left="25"/>
        <w:rPr>
          <w:rFonts w:ascii="宋体" w:hAnsi="宋体" w:eastAsia="宋体" w:cs="宋体"/>
          <w:sz w:val="20"/>
          <w:szCs w:val="20"/>
        </w:rPr>
      </w:pPr>
      <w:r>
        <w:rPr>
          <w:rFonts w:ascii="宋体" w:hAnsi="宋体" w:eastAsia="宋体" w:cs="宋体"/>
          <w:spacing w:val="3"/>
          <w:sz w:val="20"/>
          <w:szCs w:val="20"/>
        </w:rPr>
        <w:t>电子邮箱：</w:t>
      </w:r>
      <w:r>
        <w:rPr>
          <w:rFonts w:ascii="宋体" w:hAnsi="宋体" w:eastAsia="宋体" w:cs="宋体"/>
          <w:sz w:val="20"/>
          <w:szCs w:val="20"/>
          <w:u w:val="single" w:color="auto"/>
        </w:rPr>
        <w:t xml:space="preserve">                                            </w:t>
      </w:r>
    </w:p>
    <w:p w14:paraId="189B01E0">
      <w:pPr>
        <w:keepNext w:val="0"/>
        <w:keepLines w:val="0"/>
        <w:pageBreakBefore w:val="0"/>
        <w:kinsoku/>
        <w:wordWrap/>
        <w:overflowPunct/>
        <w:topLinePunct w:val="0"/>
        <w:bidi w:val="0"/>
        <w:spacing w:before="227" w:line="228" w:lineRule="auto"/>
        <w:ind w:left="36"/>
        <w:outlineLvl w:val="9"/>
        <w:rPr>
          <w:rFonts w:ascii="宋体" w:hAnsi="宋体" w:eastAsia="宋体" w:cs="宋体"/>
          <w:sz w:val="20"/>
          <w:szCs w:val="20"/>
        </w:rPr>
      </w:pPr>
      <w:r>
        <w:rPr>
          <w:rFonts w:ascii="宋体" w:hAnsi="宋体" w:eastAsia="宋体" w:cs="宋体"/>
          <w:spacing w:val="-3"/>
          <w:sz w:val="20"/>
          <w:szCs w:val="20"/>
        </w:rPr>
        <w:t>日期：</w:t>
      </w:r>
      <w:r>
        <w:rPr>
          <w:rFonts w:ascii="宋体" w:hAnsi="宋体" w:eastAsia="宋体" w:cs="宋体"/>
          <w:spacing w:val="5"/>
          <w:sz w:val="20"/>
          <w:szCs w:val="20"/>
          <w:u w:val="single" w:color="auto"/>
        </w:rPr>
        <w:t xml:space="preserve">        </w:t>
      </w:r>
      <w:r>
        <w:rPr>
          <w:rFonts w:ascii="宋体" w:hAnsi="宋体" w:eastAsia="宋体" w:cs="宋体"/>
          <w:spacing w:val="-92"/>
          <w:sz w:val="20"/>
          <w:szCs w:val="20"/>
        </w:rPr>
        <w:t xml:space="preserve"> </w:t>
      </w:r>
      <w:r>
        <w:rPr>
          <w:rFonts w:ascii="宋体" w:hAnsi="宋体" w:eastAsia="宋体" w:cs="宋体"/>
          <w:spacing w:val="-3"/>
          <w:sz w:val="20"/>
          <w:szCs w:val="20"/>
        </w:rPr>
        <w:t>年</w:t>
      </w:r>
      <w:r>
        <w:rPr>
          <w:rFonts w:ascii="宋体" w:hAnsi="宋体" w:eastAsia="宋体" w:cs="宋体"/>
          <w:spacing w:val="4"/>
          <w:sz w:val="20"/>
          <w:szCs w:val="20"/>
          <w:u w:val="single" w:color="auto"/>
        </w:rPr>
        <w:t xml:space="preserve">    </w:t>
      </w:r>
      <w:r>
        <w:rPr>
          <w:rFonts w:ascii="宋体" w:hAnsi="宋体" w:eastAsia="宋体" w:cs="宋体"/>
          <w:spacing w:val="-83"/>
          <w:sz w:val="20"/>
          <w:szCs w:val="20"/>
        </w:rPr>
        <w:t xml:space="preserve"> </w:t>
      </w:r>
      <w:r>
        <w:rPr>
          <w:rFonts w:ascii="宋体" w:hAnsi="宋体" w:eastAsia="宋体" w:cs="宋体"/>
          <w:spacing w:val="-3"/>
          <w:sz w:val="20"/>
          <w:szCs w:val="20"/>
        </w:rPr>
        <w:t>月</w:t>
      </w:r>
      <w:r>
        <w:rPr>
          <w:rFonts w:ascii="宋体" w:hAnsi="宋体" w:eastAsia="宋体" w:cs="宋体"/>
          <w:spacing w:val="-97"/>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3"/>
          <w:sz w:val="20"/>
          <w:szCs w:val="20"/>
        </w:rPr>
        <w:t>日</w:t>
      </w:r>
    </w:p>
    <w:p w14:paraId="56FC2187">
      <w:pPr>
        <w:keepNext w:val="0"/>
        <w:keepLines w:val="0"/>
        <w:pageBreakBefore w:val="0"/>
        <w:kinsoku/>
        <w:wordWrap/>
        <w:overflowPunct/>
        <w:topLinePunct w:val="0"/>
        <w:bidi w:val="0"/>
        <w:spacing w:before="219" w:line="219" w:lineRule="auto"/>
        <w:ind w:left="2903"/>
        <w:outlineLvl w:val="1"/>
        <w:rPr>
          <w:rFonts w:ascii="宋体" w:hAnsi="宋体" w:eastAsia="宋体" w:cs="宋体"/>
          <w:sz w:val="28"/>
          <w:szCs w:val="28"/>
        </w:rPr>
      </w:pPr>
      <w:bookmarkStart w:id="52" w:name="bookmark36"/>
      <w:bookmarkEnd w:id="52"/>
      <w:bookmarkStart w:id="53" w:name="bookmark37"/>
      <w:bookmarkEnd w:id="53"/>
      <w:bookmarkStart w:id="54" w:name="_Toc2334"/>
      <w:r>
        <w:rPr>
          <w:rFonts w:ascii="宋体" w:hAnsi="宋体" w:eastAsia="宋体" w:cs="宋体"/>
          <w:b/>
          <w:bCs/>
          <w:spacing w:val="-3"/>
          <w:sz w:val="28"/>
          <w:szCs w:val="28"/>
        </w:rPr>
        <w:br w:type="page"/>
      </w:r>
      <w:r>
        <w:rPr>
          <w:rFonts w:ascii="宋体" w:hAnsi="宋体" w:eastAsia="宋体" w:cs="宋体"/>
          <w:b/>
          <w:bCs/>
          <w:spacing w:val="-3"/>
          <w:sz w:val="28"/>
          <w:szCs w:val="28"/>
        </w:rPr>
        <w:t>四、商务和采购需求响应表</w:t>
      </w:r>
      <w:bookmarkEnd w:id="54"/>
    </w:p>
    <w:p w14:paraId="18BA74AE">
      <w:pPr>
        <w:keepNext w:val="0"/>
        <w:keepLines w:val="0"/>
        <w:pageBreakBefore w:val="0"/>
        <w:kinsoku/>
        <w:wordWrap/>
        <w:overflowPunct/>
        <w:topLinePunct w:val="0"/>
        <w:bidi w:val="0"/>
        <w:spacing w:before="243" w:line="219" w:lineRule="auto"/>
        <w:ind w:left="3383"/>
        <w:outlineLvl w:val="2"/>
        <w:rPr>
          <w:rFonts w:ascii="宋体" w:hAnsi="宋体" w:eastAsia="宋体" w:cs="宋体"/>
          <w:sz w:val="24"/>
          <w:szCs w:val="24"/>
        </w:rPr>
      </w:pPr>
      <w:bookmarkStart w:id="55" w:name="_Toc10321"/>
      <w:r>
        <w:rPr>
          <w:rFonts w:ascii="宋体" w:hAnsi="宋体" w:eastAsia="宋体" w:cs="宋体"/>
          <w:b/>
          <w:bCs/>
          <w:spacing w:val="-2"/>
          <w:sz w:val="24"/>
          <w:szCs w:val="24"/>
        </w:rPr>
        <w:t>（一）商务条款响应表</w:t>
      </w:r>
      <w:bookmarkEnd w:id="55"/>
    </w:p>
    <w:p w14:paraId="39C2553C">
      <w:pPr>
        <w:keepNext w:val="0"/>
        <w:keepLines w:val="0"/>
        <w:pageBreakBefore w:val="0"/>
        <w:kinsoku/>
        <w:wordWrap/>
        <w:overflowPunct/>
        <w:topLinePunct w:val="0"/>
        <w:bidi w:val="0"/>
        <w:spacing w:line="72" w:lineRule="exact"/>
      </w:pPr>
    </w:p>
    <w:tbl>
      <w:tblPr>
        <w:tblStyle w:val="30"/>
        <w:tblW w:w="9075" w:type="dxa"/>
        <w:tblInd w:w="4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1700"/>
        <w:gridCol w:w="1697"/>
        <w:gridCol w:w="1908"/>
        <w:gridCol w:w="1573"/>
        <w:gridCol w:w="1461"/>
      </w:tblGrid>
      <w:tr w14:paraId="5D066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trPr>
        <w:tc>
          <w:tcPr>
            <w:tcW w:w="736" w:type="dxa"/>
            <w:vAlign w:val="top"/>
          </w:tcPr>
          <w:p w14:paraId="3B012A9B">
            <w:pPr>
              <w:keepNext w:val="0"/>
              <w:keepLines w:val="0"/>
              <w:pageBreakBefore w:val="0"/>
              <w:kinsoku/>
              <w:wordWrap/>
              <w:overflowPunct/>
              <w:topLinePunct w:val="0"/>
              <w:bidi w:val="0"/>
              <w:spacing w:line="271" w:lineRule="auto"/>
              <w:rPr>
                <w:rFonts w:ascii="Arial"/>
                <w:sz w:val="21"/>
              </w:rPr>
            </w:pPr>
          </w:p>
          <w:p w14:paraId="2B8529DC">
            <w:pPr>
              <w:keepNext w:val="0"/>
              <w:keepLines w:val="0"/>
              <w:pageBreakBefore w:val="0"/>
              <w:kinsoku/>
              <w:wordWrap/>
              <w:overflowPunct/>
              <w:topLinePunct w:val="0"/>
              <w:bidi w:val="0"/>
              <w:spacing w:line="272" w:lineRule="auto"/>
              <w:rPr>
                <w:rFonts w:ascii="Arial"/>
                <w:sz w:val="21"/>
              </w:rPr>
            </w:pPr>
          </w:p>
          <w:p w14:paraId="7C91A2B4">
            <w:pPr>
              <w:pStyle w:val="31"/>
              <w:keepNext w:val="0"/>
              <w:keepLines w:val="0"/>
              <w:pageBreakBefore w:val="0"/>
              <w:kinsoku/>
              <w:wordWrap/>
              <w:overflowPunct/>
              <w:topLinePunct w:val="0"/>
              <w:bidi w:val="0"/>
              <w:spacing w:before="65" w:line="229" w:lineRule="auto"/>
              <w:ind w:left="162"/>
            </w:pPr>
            <w:r>
              <w:rPr>
                <w:spacing w:val="5"/>
              </w:rPr>
              <w:t>序号</w:t>
            </w:r>
          </w:p>
        </w:tc>
        <w:tc>
          <w:tcPr>
            <w:tcW w:w="1700" w:type="dxa"/>
            <w:vAlign w:val="top"/>
          </w:tcPr>
          <w:p w14:paraId="0C26F9C2">
            <w:pPr>
              <w:keepNext w:val="0"/>
              <w:keepLines w:val="0"/>
              <w:pageBreakBefore w:val="0"/>
              <w:kinsoku/>
              <w:wordWrap/>
              <w:overflowPunct/>
              <w:topLinePunct w:val="0"/>
              <w:bidi w:val="0"/>
              <w:spacing w:line="271" w:lineRule="auto"/>
              <w:rPr>
                <w:rFonts w:ascii="Arial"/>
                <w:sz w:val="21"/>
              </w:rPr>
            </w:pPr>
          </w:p>
          <w:p w14:paraId="6702A154">
            <w:pPr>
              <w:keepNext w:val="0"/>
              <w:keepLines w:val="0"/>
              <w:pageBreakBefore w:val="0"/>
              <w:kinsoku/>
              <w:wordWrap/>
              <w:overflowPunct/>
              <w:topLinePunct w:val="0"/>
              <w:bidi w:val="0"/>
              <w:spacing w:line="272" w:lineRule="auto"/>
              <w:rPr>
                <w:rFonts w:ascii="Arial"/>
                <w:sz w:val="21"/>
              </w:rPr>
            </w:pPr>
          </w:p>
          <w:p w14:paraId="247C39B3">
            <w:pPr>
              <w:pStyle w:val="31"/>
              <w:keepNext w:val="0"/>
              <w:keepLines w:val="0"/>
              <w:pageBreakBefore w:val="0"/>
              <w:kinsoku/>
              <w:wordWrap/>
              <w:overflowPunct/>
              <w:topLinePunct w:val="0"/>
              <w:bidi w:val="0"/>
              <w:spacing w:before="65" w:line="228" w:lineRule="auto"/>
              <w:ind w:left="647"/>
            </w:pPr>
            <w:r>
              <w:rPr>
                <w:spacing w:val="3"/>
              </w:rPr>
              <w:t>项目</w:t>
            </w:r>
          </w:p>
        </w:tc>
        <w:tc>
          <w:tcPr>
            <w:tcW w:w="1697" w:type="dxa"/>
            <w:vAlign w:val="top"/>
          </w:tcPr>
          <w:p w14:paraId="271D1FF0">
            <w:pPr>
              <w:keepNext w:val="0"/>
              <w:keepLines w:val="0"/>
              <w:pageBreakBefore w:val="0"/>
              <w:kinsoku/>
              <w:wordWrap/>
              <w:overflowPunct/>
              <w:topLinePunct w:val="0"/>
              <w:bidi w:val="0"/>
              <w:spacing w:line="271" w:lineRule="auto"/>
              <w:rPr>
                <w:rFonts w:ascii="Arial"/>
                <w:sz w:val="21"/>
              </w:rPr>
            </w:pPr>
          </w:p>
          <w:p w14:paraId="10E7D3CE">
            <w:pPr>
              <w:keepNext w:val="0"/>
              <w:keepLines w:val="0"/>
              <w:pageBreakBefore w:val="0"/>
              <w:kinsoku/>
              <w:wordWrap/>
              <w:overflowPunct/>
              <w:topLinePunct w:val="0"/>
              <w:bidi w:val="0"/>
              <w:spacing w:line="271" w:lineRule="auto"/>
              <w:rPr>
                <w:rFonts w:ascii="Arial"/>
                <w:sz w:val="21"/>
              </w:rPr>
            </w:pPr>
          </w:p>
          <w:p w14:paraId="67B734FB">
            <w:pPr>
              <w:pStyle w:val="31"/>
              <w:keepNext w:val="0"/>
              <w:keepLines w:val="0"/>
              <w:pageBreakBefore w:val="0"/>
              <w:kinsoku/>
              <w:wordWrap/>
              <w:overflowPunct/>
              <w:topLinePunct w:val="0"/>
              <w:bidi w:val="0"/>
              <w:spacing w:before="65" w:line="228" w:lineRule="auto"/>
              <w:ind w:left="223"/>
            </w:pPr>
            <w:r>
              <w:rPr>
                <w:spacing w:val="8"/>
              </w:rPr>
              <w:t>招标文件要求</w:t>
            </w:r>
          </w:p>
        </w:tc>
        <w:tc>
          <w:tcPr>
            <w:tcW w:w="1908" w:type="dxa"/>
            <w:vAlign w:val="top"/>
          </w:tcPr>
          <w:p w14:paraId="286D44BD">
            <w:pPr>
              <w:keepNext w:val="0"/>
              <w:keepLines w:val="0"/>
              <w:pageBreakBefore w:val="0"/>
              <w:kinsoku/>
              <w:wordWrap/>
              <w:overflowPunct/>
              <w:topLinePunct w:val="0"/>
              <w:bidi w:val="0"/>
              <w:spacing w:line="271" w:lineRule="auto"/>
              <w:rPr>
                <w:rFonts w:ascii="Arial"/>
                <w:sz w:val="21"/>
              </w:rPr>
            </w:pPr>
          </w:p>
          <w:p w14:paraId="2E722E34">
            <w:pPr>
              <w:keepNext w:val="0"/>
              <w:keepLines w:val="0"/>
              <w:pageBreakBefore w:val="0"/>
              <w:kinsoku/>
              <w:wordWrap/>
              <w:overflowPunct/>
              <w:topLinePunct w:val="0"/>
              <w:bidi w:val="0"/>
              <w:spacing w:line="271" w:lineRule="auto"/>
              <w:rPr>
                <w:rFonts w:ascii="Arial"/>
                <w:sz w:val="21"/>
              </w:rPr>
            </w:pPr>
          </w:p>
          <w:p w14:paraId="378143F8">
            <w:pPr>
              <w:pStyle w:val="31"/>
              <w:keepNext w:val="0"/>
              <w:keepLines w:val="0"/>
              <w:pageBreakBefore w:val="0"/>
              <w:kinsoku/>
              <w:wordWrap/>
              <w:overflowPunct/>
              <w:topLinePunct w:val="0"/>
              <w:bidi w:val="0"/>
              <w:spacing w:before="65" w:line="228" w:lineRule="auto"/>
              <w:ind w:left="333"/>
            </w:pPr>
            <w:r>
              <w:rPr>
                <w:spacing w:val="7"/>
              </w:rPr>
              <w:t>投标文件响应</w:t>
            </w:r>
          </w:p>
        </w:tc>
        <w:tc>
          <w:tcPr>
            <w:tcW w:w="1573" w:type="dxa"/>
            <w:vAlign w:val="top"/>
          </w:tcPr>
          <w:p w14:paraId="651B2D00">
            <w:pPr>
              <w:pStyle w:val="31"/>
              <w:keepNext w:val="0"/>
              <w:keepLines w:val="0"/>
              <w:pageBreakBefore w:val="0"/>
              <w:kinsoku/>
              <w:wordWrap/>
              <w:overflowPunct/>
              <w:topLinePunct w:val="0"/>
              <w:bidi w:val="0"/>
              <w:spacing w:before="136" w:line="228" w:lineRule="auto"/>
              <w:ind w:left="160"/>
            </w:pPr>
            <w:r>
              <w:rPr>
                <w:b/>
                <w:bCs/>
                <w:spacing w:val="6"/>
              </w:rPr>
              <w:t>偏离情况（无</w:t>
            </w:r>
          </w:p>
          <w:p w14:paraId="2B322C15">
            <w:pPr>
              <w:pStyle w:val="31"/>
              <w:keepNext w:val="0"/>
              <w:keepLines w:val="0"/>
              <w:pageBreakBefore w:val="0"/>
              <w:kinsoku/>
              <w:wordWrap/>
              <w:overflowPunct/>
              <w:topLinePunct w:val="0"/>
              <w:bidi w:val="0"/>
              <w:spacing w:before="228" w:line="228" w:lineRule="auto"/>
              <w:ind w:right="10"/>
              <w:jc w:val="right"/>
            </w:pPr>
            <w:r>
              <w:rPr>
                <w:b/>
                <w:bCs/>
                <w:spacing w:val="3"/>
              </w:rPr>
              <w:t>偏离、正偏离、</w:t>
            </w:r>
          </w:p>
          <w:p w14:paraId="46C973EE">
            <w:pPr>
              <w:pStyle w:val="31"/>
              <w:keepNext w:val="0"/>
              <w:keepLines w:val="0"/>
              <w:pageBreakBefore w:val="0"/>
              <w:kinsoku/>
              <w:wordWrap/>
              <w:overflowPunct/>
              <w:topLinePunct w:val="0"/>
              <w:bidi w:val="0"/>
              <w:spacing w:before="230" w:line="228" w:lineRule="auto"/>
              <w:ind w:left="379"/>
            </w:pPr>
            <w:r>
              <w:rPr>
                <w:b/>
                <w:bCs/>
                <w:spacing w:val="1"/>
              </w:rPr>
              <w:t>负偏离）</w:t>
            </w:r>
          </w:p>
        </w:tc>
        <w:tc>
          <w:tcPr>
            <w:tcW w:w="1461" w:type="dxa"/>
            <w:vAlign w:val="top"/>
          </w:tcPr>
          <w:p w14:paraId="0DD90B25">
            <w:pPr>
              <w:keepNext w:val="0"/>
              <w:keepLines w:val="0"/>
              <w:pageBreakBefore w:val="0"/>
              <w:kinsoku/>
              <w:wordWrap/>
              <w:overflowPunct/>
              <w:topLinePunct w:val="0"/>
              <w:bidi w:val="0"/>
              <w:spacing w:line="271" w:lineRule="auto"/>
              <w:rPr>
                <w:rFonts w:ascii="Arial"/>
                <w:sz w:val="21"/>
              </w:rPr>
            </w:pPr>
          </w:p>
          <w:p w14:paraId="2FB9054F">
            <w:pPr>
              <w:keepNext w:val="0"/>
              <w:keepLines w:val="0"/>
              <w:pageBreakBefore w:val="0"/>
              <w:kinsoku/>
              <w:wordWrap/>
              <w:overflowPunct/>
              <w:topLinePunct w:val="0"/>
              <w:bidi w:val="0"/>
              <w:spacing w:line="272" w:lineRule="auto"/>
              <w:rPr>
                <w:rFonts w:ascii="Arial"/>
                <w:sz w:val="21"/>
              </w:rPr>
            </w:pPr>
          </w:p>
          <w:p w14:paraId="102D5270">
            <w:pPr>
              <w:pStyle w:val="31"/>
              <w:keepNext w:val="0"/>
              <w:keepLines w:val="0"/>
              <w:pageBreakBefore w:val="0"/>
              <w:kinsoku/>
              <w:wordWrap/>
              <w:overflowPunct/>
              <w:topLinePunct w:val="0"/>
              <w:bidi w:val="0"/>
              <w:spacing w:before="65" w:line="229" w:lineRule="auto"/>
              <w:ind w:left="529"/>
            </w:pPr>
            <w:r>
              <w:rPr>
                <w:spacing w:val="3"/>
              </w:rPr>
              <w:t>备注</w:t>
            </w:r>
          </w:p>
        </w:tc>
      </w:tr>
      <w:tr w14:paraId="1AE79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736" w:type="dxa"/>
            <w:vAlign w:val="top"/>
          </w:tcPr>
          <w:p w14:paraId="5C1F077E">
            <w:pPr>
              <w:pStyle w:val="31"/>
              <w:keepNext w:val="0"/>
              <w:keepLines w:val="0"/>
              <w:pageBreakBefore w:val="0"/>
              <w:kinsoku/>
              <w:wordWrap/>
              <w:overflowPunct/>
              <w:topLinePunct w:val="0"/>
              <w:bidi w:val="0"/>
              <w:spacing w:before="237" w:line="270" w:lineRule="exact"/>
              <w:ind w:left="336"/>
            </w:pPr>
            <w:r>
              <w:rPr>
                <w:position w:val="1"/>
              </w:rPr>
              <w:t>1</w:t>
            </w:r>
          </w:p>
        </w:tc>
        <w:tc>
          <w:tcPr>
            <w:tcW w:w="1700" w:type="dxa"/>
            <w:vAlign w:val="top"/>
          </w:tcPr>
          <w:p w14:paraId="529F00F5">
            <w:pPr>
              <w:pStyle w:val="31"/>
              <w:keepNext w:val="0"/>
              <w:keepLines w:val="0"/>
              <w:pageBreakBefore w:val="0"/>
              <w:kinsoku/>
              <w:wordWrap/>
              <w:overflowPunct/>
              <w:topLinePunct w:val="0"/>
              <w:bidi w:val="0"/>
              <w:spacing w:before="236" w:line="228" w:lineRule="auto"/>
              <w:ind w:left="434"/>
            </w:pPr>
            <w:r>
              <w:rPr>
                <w:spacing w:val="7"/>
              </w:rPr>
              <w:t>服务期限</w:t>
            </w:r>
          </w:p>
        </w:tc>
        <w:tc>
          <w:tcPr>
            <w:tcW w:w="1697" w:type="dxa"/>
            <w:vAlign w:val="top"/>
          </w:tcPr>
          <w:p w14:paraId="74CC7E3F">
            <w:pPr>
              <w:keepNext w:val="0"/>
              <w:keepLines w:val="0"/>
              <w:pageBreakBefore w:val="0"/>
              <w:kinsoku/>
              <w:wordWrap/>
              <w:overflowPunct/>
              <w:topLinePunct w:val="0"/>
              <w:bidi w:val="0"/>
              <w:rPr>
                <w:rFonts w:ascii="Arial"/>
                <w:sz w:val="21"/>
              </w:rPr>
            </w:pPr>
          </w:p>
        </w:tc>
        <w:tc>
          <w:tcPr>
            <w:tcW w:w="1908" w:type="dxa"/>
            <w:vAlign w:val="top"/>
          </w:tcPr>
          <w:p w14:paraId="75463F2A">
            <w:pPr>
              <w:keepNext w:val="0"/>
              <w:keepLines w:val="0"/>
              <w:pageBreakBefore w:val="0"/>
              <w:kinsoku/>
              <w:wordWrap/>
              <w:overflowPunct/>
              <w:topLinePunct w:val="0"/>
              <w:bidi w:val="0"/>
              <w:rPr>
                <w:rFonts w:ascii="Arial"/>
                <w:sz w:val="21"/>
              </w:rPr>
            </w:pPr>
          </w:p>
        </w:tc>
        <w:tc>
          <w:tcPr>
            <w:tcW w:w="1573" w:type="dxa"/>
            <w:vAlign w:val="top"/>
          </w:tcPr>
          <w:p w14:paraId="65072404">
            <w:pPr>
              <w:keepNext w:val="0"/>
              <w:keepLines w:val="0"/>
              <w:pageBreakBefore w:val="0"/>
              <w:kinsoku/>
              <w:wordWrap/>
              <w:overflowPunct/>
              <w:topLinePunct w:val="0"/>
              <w:bidi w:val="0"/>
              <w:rPr>
                <w:rFonts w:ascii="Arial"/>
                <w:sz w:val="21"/>
              </w:rPr>
            </w:pPr>
          </w:p>
        </w:tc>
        <w:tc>
          <w:tcPr>
            <w:tcW w:w="1461" w:type="dxa"/>
            <w:vAlign w:val="top"/>
          </w:tcPr>
          <w:p w14:paraId="683C1A30">
            <w:pPr>
              <w:keepNext w:val="0"/>
              <w:keepLines w:val="0"/>
              <w:pageBreakBefore w:val="0"/>
              <w:kinsoku/>
              <w:wordWrap/>
              <w:overflowPunct/>
              <w:topLinePunct w:val="0"/>
              <w:bidi w:val="0"/>
              <w:rPr>
                <w:rFonts w:ascii="Arial"/>
                <w:sz w:val="21"/>
              </w:rPr>
            </w:pPr>
          </w:p>
        </w:tc>
      </w:tr>
      <w:tr w14:paraId="5F46E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736" w:type="dxa"/>
            <w:vAlign w:val="top"/>
          </w:tcPr>
          <w:p w14:paraId="19CA8492">
            <w:pPr>
              <w:pStyle w:val="31"/>
              <w:keepNext w:val="0"/>
              <w:keepLines w:val="0"/>
              <w:pageBreakBefore w:val="0"/>
              <w:kinsoku/>
              <w:wordWrap/>
              <w:overflowPunct/>
              <w:topLinePunct w:val="0"/>
              <w:bidi w:val="0"/>
              <w:spacing w:before="237" w:line="270" w:lineRule="exact"/>
              <w:ind w:left="323"/>
            </w:pPr>
            <w:r>
              <w:rPr>
                <w:position w:val="1"/>
              </w:rPr>
              <w:t>2</w:t>
            </w:r>
          </w:p>
        </w:tc>
        <w:tc>
          <w:tcPr>
            <w:tcW w:w="1700" w:type="dxa"/>
            <w:vAlign w:val="top"/>
          </w:tcPr>
          <w:p w14:paraId="450581E7">
            <w:pPr>
              <w:pStyle w:val="31"/>
              <w:keepNext w:val="0"/>
              <w:keepLines w:val="0"/>
              <w:pageBreakBefore w:val="0"/>
              <w:kinsoku/>
              <w:wordWrap/>
              <w:overflowPunct/>
              <w:topLinePunct w:val="0"/>
              <w:bidi w:val="0"/>
              <w:spacing w:before="236" w:line="228" w:lineRule="auto"/>
              <w:ind w:left="434"/>
            </w:pPr>
            <w:r>
              <w:rPr>
                <w:spacing w:val="7"/>
              </w:rPr>
              <w:t>服务地点</w:t>
            </w:r>
          </w:p>
        </w:tc>
        <w:tc>
          <w:tcPr>
            <w:tcW w:w="1697" w:type="dxa"/>
            <w:vAlign w:val="top"/>
          </w:tcPr>
          <w:p w14:paraId="0DBF6924">
            <w:pPr>
              <w:keepNext w:val="0"/>
              <w:keepLines w:val="0"/>
              <w:pageBreakBefore w:val="0"/>
              <w:kinsoku/>
              <w:wordWrap/>
              <w:overflowPunct/>
              <w:topLinePunct w:val="0"/>
              <w:bidi w:val="0"/>
              <w:rPr>
                <w:rFonts w:ascii="Arial"/>
                <w:sz w:val="21"/>
              </w:rPr>
            </w:pPr>
          </w:p>
        </w:tc>
        <w:tc>
          <w:tcPr>
            <w:tcW w:w="1908" w:type="dxa"/>
            <w:vAlign w:val="top"/>
          </w:tcPr>
          <w:p w14:paraId="22C2CAA3">
            <w:pPr>
              <w:keepNext w:val="0"/>
              <w:keepLines w:val="0"/>
              <w:pageBreakBefore w:val="0"/>
              <w:kinsoku/>
              <w:wordWrap/>
              <w:overflowPunct/>
              <w:topLinePunct w:val="0"/>
              <w:bidi w:val="0"/>
              <w:rPr>
                <w:rFonts w:ascii="Arial"/>
                <w:sz w:val="21"/>
              </w:rPr>
            </w:pPr>
          </w:p>
        </w:tc>
        <w:tc>
          <w:tcPr>
            <w:tcW w:w="1573" w:type="dxa"/>
            <w:vAlign w:val="top"/>
          </w:tcPr>
          <w:p w14:paraId="04EBD8A5">
            <w:pPr>
              <w:keepNext w:val="0"/>
              <w:keepLines w:val="0"/>
              <w:pageBreakBefore w:val="0"/>
              <w:kinsoku/>
              <w:wordWrap/>
              <w:overflowPunct/>
              <w:topLinePunct w:val="0"/>
              <w:bidi w:val="0"/>
              <w:rPr>
                <w:rFonts w:ascii="Arial"/>
                <w:sz w:val="21"/>
              </w:rPr>
            </w:pPr>
          </w:p>
        </w:tc>
        <w:tc>
          <w:tcPr>
            <w:tcW w:w="1461" w:type="dxa"/>
            <w:vAlign w:val="top"/>
          </w:tcPr>
          <w:p w14:paraId="16777E39">
            <w:pPr>
              <w:keepNext w:val="0"/>
              <w:keepLines w:val="0"/>
              <w:pageBreakBefore w:val="0"/>
              <w:kinsoku/>
              <w:wordWrap/>
              <w:overflowPunct/>
              <w:topLinePunct w:val="0"/>
              <w:bidi w:val="0"/>
              <w:rPr>
                <w:rFonts w:ascii="Arial"/>
                <w:sz w:val="21"/>
              </w:rPr>
            </w:pPr>
          </w:p>
        </w:tc>
      </w:tr>
      <w:tr w14:paraId="02409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36" w:type="dxa"/>
            <w:vAlign w:val="top"/>
          </w:tcPr>
          <w:p w14:paraId="5DFF0816">
            <w:pPr>
              <w:pStyle w:val="31"/>
              <w:keepNext w:val="0"/>
              <w:keepLines w:val="0"/>
              <w:pageBreakBefore w:val="0"/>
              <w:kinsoku/>
              <w:wordWrap/>
              <w:overflowPunct/>
              <w:topLinePunct w:val="0"/>
              <w:bidi w:val="0"/>
              <w:spacing w:before="236" w:line="228" w:lineRule="auto"/>
              <w:ind w:left="434"/>
              <w:rPr>
                <w:spacing w:val="7"/>
              </w:rPr>
            </w:pPr>
            <w:r>
              <w:rPr>
                <w:spacing w:val="7"/>
              </w:rPr>
              <w:t>3</w:t>
            </w:r>
          </w:p>
        </w:tc>
        <w:tc>
          <w:tcPr>
            <w:tcW w:w="1700" w:type="dxa"/>
            <w:vAlign w:val="top"/>
          </w:tcPr>
          <w:p w14:paraId="37A2E317">
            <w:pPr>
              <w:pStyle w:val="31"/>
              <w:keepNext w:val="0"/>
              <w:keepLines w:val="0"/>
              <w:pageBreakBefore w:val="0"/>
              <w:kinsoku/>
              <w:wordWrap/>
              <w:overflowPunct/>
              <w:topLinePunct w:val="0"/>
              <w:bidi w:val="0"/>
              <w:spacing w:before="236" w:line="228" w:lineRule="auto"/>
              <w:ind w:left="434"/>
              <w:rPr>
                <w:spacing w:val="7"/>
              </w:rPr>
            </w:pPr>
            <w:r>
              <w:rPr>
                <w:spacing w:val="7"/>
              </w:rPr>
              <w:t>质量要求</w:t>
            </w:r>
          </w:p>
        </w:tc>
        <w:tc>
          <w:tcPr>
            <w:tcW w:w="1697" w:type="dxa"/>
            <w:vAlign w:val="top"/>
          </w:tcPr>
          <w:p w14:paraId="784A940B">
            <w:pPr>
              <w:keepNext w:val="0"/>
              <w:keepLines w:val="0"/>
              <w:pageBreakBefore w:val="0"/>
              <w:kinsoku/>
              <w:wordWrap/>
              <w:overflowPunct/>
              <w:topLinePunct w:val="0"/>
              <w:bidi w:val="0"/>
              <w:rPr>
                <w:rFonts w:ascii="Arial"/>
                <w:sz w:val="21"/>
              </w:rPr>
            </w:pPr>
          </w:p>
        </w:tc>
        <w:tc>
          <w:tcPr>
            <w:tcW w:w="1908" w:type="dxa"/>
            <w:vAlign w:val="top"/>
          </w:tcPr>
          <w:p w14:paraId="3CB21537">
            <w:pPr>
              <w:keepNext w:val="0"/>
              <w:keepLines w:val="0"/>
              <w:pageBreakBefore w:val="0"/>
              <w:kinsoku/>
              <w:wordWrap/>
              <w:overflowPunct/>
              <w:topLinePunct w:val="0"/>
              <w:bidi w:val="0"/>
              <w:rPr>
                <w:rFonts w:ascii="Arial"/>
                <w:sz w:val="21"/>
              </w:rPr>
            </w:pPr>
          </w:p>
        </w:tc>
        <w:tc>
          <w:tcPr>
            <w:tcW w:w="1573" w:type="dxa"/>
            <w:vAlign w:val="top"/>
          </w:tcPr>
          <w:p w14:paraId="2053A3DC">
            <w:pPr>
              <w:keepNext w:val="0"/>
              <w:keepLines w:val="0"/>
              <w:pageBreakBefore w:val="0"/>
              <w:kinsoku/>
              <w:wordWrap/>
              <w:overflowPunct/>
              <w:topLinePunct w:val="0"/>
              <w:bidi w:val="0"/>
              <w:rPr>
                <w:rFonts w:ascii="Arial"/>
                <w:sz w:val="21"/>
              </w:rPr>
            </w:pPr>
          </w:p>
        </w:tc>
        <w:tc>
          <w:tcPr>
            <w:tcW w:w="1461" w:type="dxa"/>
            <w:vAlign w:val="top"/>
          </w:tcPr>
          <w:p w14:paraId="468F569D">
            <w:pPr>
              <w:keepNext w:val="0"/>
              <w:keepLines w:val="0"/>
              <w:pageBreakBefore w:val="0"/>
              <w:kinsoku/>
              <w:wordWrap/>
              <w:overflowPunct/>
              <w:topLinePunct w:val="0"/>
              <w:bidi w:val="0"/>
              <w:rPr>
                <w:rFonts w:ascii="Arial"/>
                <w:sz w:val="21"/>
              </w:rPr>
            </w:pPr>
          </w:p>
        </w:tc>
      </w:tr>
      <w:tr w14:paraId="315A2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736" w:type="dxa"/>
            <w:vAlign w:val="top"/>
          </w:tcPr>
          <w:p w14:paraId="632424DE">
            <w:pPr>
              <w:pStyle w:val="31"/>
              <w:keepNext w:val="0"/>
              <w:keepLines w:val="0"/>
              <w:pageBreakBefore w:val="0"/>
              <w:kinsoku/>
              <w:wordWrap/>
              <w:overflowPunct/>
              <w:topLinePunct w:val="0"/>
              <w:bidi w:val="0"/>
              <w:spacing w:before="239" w:line="270" w:lineRule="exact"/>
              <w:ind w:left="320"/>
            </w:pPr>
            <w:r>
              <w:rPr>
                <w:position w:val="1"/>
              </w:rPr>
              <w:t>4</w:t>
            </w:r>
          </w:p>
        </w:tc>
        <w:tc>
          <w:tcPr>
            <w:tcW w:w="1700" w:type="dxa"/>
            <w:vAlign w:val="top"/>
          </w:tcPr>
          <w:p w14:paraId="45B12133">
            <w:pPr>
              <w:pStyle w:val="31"/>
              <w:keepNext w:val="0"/>
              <w:keepLines w:val="0"/>
              <w:pageBreakBefore w:val="0"/>
              <w:kinsoku/>
              <w:wordWrap/>
              <w:overflowPunct/>
              <w:topLinePunct w:val="0"/>
              <w:bidi w:val="0"/>
              <w:spacing w:before="239" w:line="228" w:lineRule="auto"/>
              <w:ind w:left="331"/>
            </w:pPr>
            <w:r>
              <w:rPr>
                <w:spacing w:val="7"/>
              </w:rPr>
              <w:t>投标有效期</w:t>
            </w:r>
          </w:p>
        </w:tc>
        <w:tc>
          <w:tcPr>
            <w:tcW w:w="1697" w:type="dxa"/>
            <w:vAlign w:val="top"/>
          </w:tcPr>
          <w:p w14:paraId="2F6AFB2E">
            <w:pPr>
              <w:keepNext w:val="0"/>
              <w:keepLines w:val="0"/>
              <w:pageBreakBefore w:val="0"/>
              <w:kinsoku/>
              <w:wordWrap/>
              <w:overflowPunct/>
              <w:topLinePunct w:val="0"/>
              <w:bidi w:val="0"/>
              <w:rPr>
                <w:rFonts w:ascii="Arial"/>
                <w:sz w:val="21"/>
              </w:rPr>
            </w:pPr>
          </w:p>
        </w:tc>
        <w:tc>
          <w:tcPr>
            <w:tcW w:w="1908" w:type="dxa"/>
            <w:vAlign w:val="top"/>
          </w:tcPr>
          <w:p w14:paraId="65BEA946">
            <w:pPr>
              <w:keepNext w:val="0"/>
              <w:keepLines w:val="0"/>
              <w:pageBreakBefore w:val="0"/>
              <w:kinsoku/>
              <w:wordWrap/>
              <w:overflowPunct/>
              <w:topLinePunct w:val="0"/>
              <w:bidi w:val="0"/>
              <w:rPr>
                <w:rFonts w:ascii="Arial"/>
                <w:sz w:val="21"/>
              </w:rPr>
            </w:pPr>
          </w:p>
        </w:tc>
        <w:tc>
          <w:tcPr>
            <w:tcW w:w="1573" w:type="dxa"/>
            <w:vAlign w:val="top"/>
          </w:tcPr>
          <w:p w14:paraId="707F44D0">
            <w:pPr>
              <w:keepNext w:val="0"/>
              <w:keepLines w:val="0"/>
              <w:pageBreakBefore w:val="0"/>
              <w:kinsoku/>
              <w:wordWrap/>
              <w:overflowPunct/>
              <w:topLinePunct w:val="0"/>
              <w:bidi w:val="0"/>
              <w:rPr>
                <w:rFonts w:ascii="Arial"/>
                <w:sz w:val="21"/>
              </w:rPr>
            </w:pPr>
          </w:p>
        </w:tc>
        <w:tc>
          <w:tcPr>
            <w:tcW w:w="1461" w:type="dxa"/>
            <w:vAlign w:val="top"/>
          </w:tcPr>
          <w:p w14:paraId="5F5D7604">
            <w:pPr>
              <w:keepNext w:val="0"/>
              <w:keepLines w:val="0"/>
              <w:pageBreakBefore w:val="0"/>
              <w:kinsoku/>
              <w:wordWrap/>
              <w:overflowPunct/>
              <w:topLinePunct w:val="0"/>
              <w:bidi w:val="0"/>
              <w:rPr>
                <w:rFonts w:ascii="Arial"/>
                <w:sz w:val="21"/>
              </w:rPr>
            </w:pPr>
          </w:p>
        </w:tc>
      </w:tr>
      <w:tr w14:paraId="7B163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736" w:type="dxa"/>
            <w:vAlign w:val="top"/>
          </w:tcPr>
          <w:p w14:paraId="2E16842C">
            <w:pPr>
              <w:pStyle w:val="31"/>
              <w:keepNext w:val="0"/>
              <w:keepLines w:val="0"/>
              <w:pageBreakBefore w:val="0"/>
              <w:kinsoku/>
              <w:wordWrap/>
              <w:overflowPunct/>
              <w:topLinePunct w:val="0"/>
              <w:bidi w:val="0"/>
              <w:spacing w:before="241" w:line="268" w:lineRule="exact"/>
              <w:ind w:left="325"/>
            </w:pPr>
            <w:r>
              <w:rPr>
                <w:position w:val="1"/>
              </w:rPr>
              <w:t>5</w:t>
            </w:r>
          </w:p>
        </w:tc>
        <w:tc>
          <w:tcPr>
            <w:tcW w:w="1700" w:type="dxa"/>
            <w:vAlign w:val="top"/>
          </w:tcPr>
          <w:p w14:paraId="2508ADD3">
            <w:pPr>
              <w:pStyle w:val="31"/>
              <w:keepNext w:val="0"/>
              <w:keepLines w:val="0"/>
              <w:pageBreakBefore w:val="0"/>
              <w:kinsoku/>
              <w:wordWrap/>
              <w:overflowPunct/>
              <w:topLinePunct w:val="0"/>
              <w:bidi w:val="0"/>
              <w:spacing w:before="241" w:line="228" w:lineRule="auto"/>
              <w:ind w:left="434"/>
            </w:pPr>
            <w:r>
              <w:rPr>
                <w:spacing w:val="7"/>
              </w:rPr>
              <w:t>付款方式</w:t>
            </w:r>
          </w:p>
        </w:tc>
        <w:tc>
          <w:tcPr>
            <w:tcW w:w="1697" w:type="dxa"/>
            <w:vAlign w:val="top"/>
          </w:tcPr>
          <w:p w14:paraId="4EFA9FCE">
            <w:pPr>
              <w:keepNext w:val="0"/>
              <w:keepLines w:val="0"/>
              <w:pageBreakBefore w:val="0"/>
              <w:kinsoku/>
              <w:wordWrap/>
              <w:overflowPunct/>
              <w:topLinePunct w:val="0"/>
              <w:bidi w:val="0"/>
              <w:rPr>
                <w:rFonts w:ascii="Arial"/>
                <w:sz w:val="21"/>
              </w:rPr>
            </w:pPr>
          </w:p>
        </w:tc>
        <w:tc>
          <w:tcPr>
            <w:tcW w:w="1908" w:type="dxa"/>
            <w:vAlign w:val="top"/>
          </w:tcPr>
          <w:p w14:paraId="3D6AF94F">
            <w:pPr>
              <w:keepNext w:val="0"/>
              <w:keepLines w:val="0"/>
              <w:pageBreakBefore w:val="0"/>
              <w:kinsoku/>
              <w:wordWrap/>
              <w:overflowPunct/>
              <w:topLinePunct w:val="0"/>
              <w:bidi w:val="0"/>
              <w:rPr>
                <w:rFonts w:ascii="Arial"/>
                <w:sz w:val="21"/>
              </w:rPr>
            </w:pPr>
          </w:p>
        </w:tc>
        <w:tc>
          <w:tcPr>
            <w:tcW w:w="1573" w:type="dxa"/>
            <w:vAlign w:val="top"/>
          </w:tcPr>
          <w:p w14:paraId="4BDC606C">
            <w:pPr>
              <w:keepNext w:val="0"/>
              <w:keepLines w:val="0"/>
              <w:pageBreakBefore w:val="0"/>
              <w:kinsoku/>
              <w:wordWrap/>
              <w:overflowPunct/>
              <w:topLinePunct w:val="0"/>
              <w:bidi w:val="0"/>
              <w:rPr>
                <w:rFonts w:ascii="Arial"/>
                <w:sz w:val="21"/>
              </w:rPr>
            </w:pPr>
          </w:p>
        </w:tc>
        <w:tc>
          <w:tcPr>
            <w:tcW w:w="1461" w:type="dxa"/>
            <w:vAlign w:val="top"/>
          </w:tcPr>
          <w:p w14:paraId="71B1E8F6">
            <w:pPr>
              <w:keepNext w:val="0"/>
              <w:keepLines w:val="0"/>
              <w:pageBreakBefore w:val="0"/>
              <w:kinsoku/>
              <w:wordWrap/>
              <w:overflowPunct/>
              <w:topLinePunct w:val="0"/>
              <w:bidi w:val="0"/>
              <w:rPr>
                <w:rFonts w:ascii="Arial"/>
                <w:sz w:val="21"/>
              </w:rPr>
            </w:pPr>
          </w:p>
        </w:tc>
      </w:tr>
      <w:tr w14:paraId="7455B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36" w:type="dxa"/>
            <w:vAlign w:val="top"/>
          </w:tcPr>
          <w:p w14:paraId="057E2E8A">
            <w:pPr>
              <w:pStyle w:val="31"/>
              <w:keepNext w:val="0"/>
              <w:keepLines w:val="0"/>
              <w:pageBreakBefore w:val="0"/>
              <w:kinsoku/>
              <w:wordWrap/>
              <w:overflowPunct/>
              <w:topLinePunct w:val="0"/>
              <w:bidi w:val="0"/>
              <w:spacing w:before="240" w:line="324" w:lineRule="exact"/>
              <w:ind w:left="128"/>
            </w:pPr>
            <w:r>
              <w:rPr>
                <w:spacing w:val="-2"/>
                <w:position w:val="2"/>
              </w:rPr>
              <w:t>……</w:t>
            </w:r>
          </w:p>
        </w:tc>
        <w:tc>
          <w:tcPr>
            <w:tcW w:w="1700" w:type="dxa"/>
            <w:vAlign w:val="top"/>
          </w:tcPr>
          <w:p w14:paraId="225F62BC">
            <w:pPr>
              <w:pStyle w:val="31"/>
              <w:keepNext w:val="0"/>
              <w:keepLines w:val="0"/>
              <w:pageBreakBefore w:val="0"/>
              <w:kinsoku/>
              <w:wordWrap/>
              <w:overflowPunct/>
              <w:topLinePunct w:val="0"/>
              <w:bidi w:val="0"/>
              <w:spacing w:before="240" w:line="228" w:lineRule="auto"/>
              <w:ind w:left="644"/>
            </w:pPr>
            <w:r>
              <w:rPr>
                <w:spacing w:val="4"/>
              </w:rPr>
              <w:t>其他</w:t>
            </w:r>
          </w:p>
        </w:tc>
        <w:tc>
          <w:tcPr>
            <w:tcW w:w="1697" w:type="dxa"/>
            <w:vAlign w:val="top"/>
          </w:tcPr>
          <w:p w14:paraId="252362FD">
            <w:pPr>
              <w:keepNext w:val="0"/>
              <w:keepLines w:val="0"/>
              <w:pageBreakBefore w:val="0"/>
              <w:kinsoku/>
              <w:wordWrap/>
              <w:overflowPunct/>
              <w:topLinePunct w:val="0"/>
              <w:bidi w:val="0"/>
              <w:rPr>
                <w:rFonts w:ascii="Arial"/>
                <w:sz w:val="21"/>
              </w:rPr>
            </w:pPr>
          </w:p>
        </w:tc>
        <w:tc>
          <w:tcPr>
            <w:tcW w:w="1908" w:type="dxa"/>
            <w:vAlign w:val="top"/>
          </w:tcPr>
          <w:p w14:paraId="727B3BAA">
            <w:pPr>
              <w:keepNext w:val="0"/>
              <w:keepLines w:val="0"/>
              <w:pageBreakBefore w:val="0"/>
              <w:kinsoku/>
              <w:wordWrap/>
              <w:overflowPunct/>
              <w:topLinePunct w:val="0"/>
              <w:bidi w:val="0"/>
              <w:rPr>
                <w:rFonts w:ascii="Arial"/>
                <w:sz w:val="21"/>
              </w:rPr>
            </w:pPr>
          </w:p>
        </w:tc>
        <w:tc>
          <w:tcPr>
            <w:tcW w:w="1573" w:type="dxa"/>
            <w:vAlign w:val="top"/>
          </w:tcPr>
          <w:p w14:paraId="482F1A9A">
            <w:pPr>
              <w:keepNext w:val="0"/>
              <w:keepLines w:val="0"/>
              <w:pageBreakBefore w:val="0"/>
              <w:kinsoku/>
              <w:wordWrap/>
              <w:overflowPunct/>
              <w:topLinePunct w:val="0"/>
              <w:bidi w:val="0"/>
              <w:rPr>
                <w:rFonts w:ascii="Arial"/>
                <w:sz w:val="21"/>
              </w:rPr>
            </w:pPr>
          </w:p>
        </w:tc>
        <w:tc>
          <w:tcPr>
            <w:tcW w:w="1461" w:type="dxa"/>
            <w:vAlign w:val="top"/>
          </w:tcPr>
          <w:p w14:paraId="27CB32BA">
            <w:pPr>
              <w:keepNext w:val="0"/>
              <w:keepLines w:val="0"/>
              <w:pageBreakBefore w:val="0"/>
              <w:kinsoku/>
              <w:wordWrap/>
              <w:overflowPunct/>
              <w:topLinePunct w:val="0"/>
              <w:bidi w:val="0"/>
              <w:rPr>
                <w:rFonts w:ascii="Arial"/>
                <w:sz w:val="21"/>
              </w:rPr>
            </w:pPr>
          </w:p>
        </w:tc>
      </w:tr>
    </w:tbl>
    <w:p w14:paraId="169F2C4C">
      <w:pPr>
        <w:keepNext w:val="0"/>
        <w:keepLines w:val="0"/>
        <w:pageBreakBefore w:val="0"/>
        <w:kinsoku/>
        <w:wordWrap/>
        <w:overflowPunct/>
        <w:topLinePunct w:val="0"/>
        <w:bidi w:val="0"/>
        <w:spacing w:before="133" w:line="228" w:lineRule="auto"/>
        <w:ind w:left="428"/>
        <w:rPr>
          <w:rFonts w:ascii="宋体" w:hAnsi="宋体" w:eastAsia="宋体" w:cs="宋体"/>
          <w:sz w:val="20"/>
          <w:szCs w:val="20"/>
        </w:rPr>
      </w:pPr>
      <w:r>
        <w:rPr>
          <w:rFonts w:ascii="宋体" w:hAnsi="宋体" w:eastAsia="宋体" w:cs="宋体"/>
          <w:b/>
          <w:bCs/>
          <w:spacing w:val="8"/>
          <w:sz w:val="20"/>
          <w:szCs w:val="20"/>
        </w:rPr>
        <w:t>投标人保证：除商务偏离表列出的偏差外，完全符合招标文件的全</w:t>
      </w:r>
      <w:r>
        <w:rPr>
          <w:rFonts w:ascii="宋体" w:hAnsi="宋体" w:eastAsia="宋体" w:cs="宋体"/>
          <w:b/>
          <w:bCs/>
          <w:spacing w:val="7"/>
          <w:sz w:val="20"/>
          <w:szCs w:val="20"/>
        </w:rPr>
        <w:t>部要求。</w:t>
      </w:r>
    </w:p>
    <w:p w14:paraId="1DAE336F">
      <w:pPr>
        <w:pStyle w:val="4"/>
        <w:keepNext w:val="0"/>
        <w:keepLines w:val="0"/>
        <w:pageBreakBefore w:val="0"/>
        <w:kinsoku/>
        <w:wordWrap/>
        <w:overflowPunct/>
        <w:topLinePunct w:val="0"/>
        <w:bidi w:val="0"/>
        <w:spacing w:line="317" w:lineRule="auto"/>
      </w:pPr>
    </w:p>
    <w:p w14:paraId="6AF1B35B">
      <w:pPr>
        <w:pStyle w:val="4"/>
        <w:keepNext w:val="0"/>
        <w:keepLines w:val="0"/>
        <w:pageBreakBefore w:val="0"/>
        <w:kinsoku/>
        <w:wordWrap/>
        <w:overflowPunct/>
        <w:topLinePunct w:val="0"/>
        <w:bidi w:val="0"/>
        <w:spacing w:line="317" w:lineRule="auto"/>
      </w:pPr>
    </w:p>
    <w:p w14:paraId="2AC85A8D">
      <w:pPr>
        <w:keepNext w:val="0"/>
        <w:keepLines w:val="0"/>
        <w:pageBreakBefore w:val="0"/>
        <w:kinsoku/>
        <w:wordWrap/>
        <w:overflowPunct/>
        <w:topLinePunct w:val="0"/>
        <w:bidi w:val="0"/>
        <w:spacing w:before="65" w:line="227" w:lineRule="auto"/>
        <w:ind w:left="1"/>
        <w:rPr>
          <w:rFonts w:ascii="宋体" w:hAnsi="宋体" w:eastAsia="宋体" w:cs="宋体"/>
          <w:sz w:val="20"/>
          <w:szCs w:val="20"/>
        </w:rPr>
      </w:pPr>
      <w:r>
        <w:rPr>
          <w:rFonts w:ascii="宋体" w:hAnsi="宋体" w:eastAsia="宋体" w:cs="宋体"/>
          <w:spacing w:val="11"/>
          <w:sz w:val="20"/>
          <w:szCs w:val="20"/>
        </w:rPr>
        <w:t>投标人（盖电子签章</w:t>
      </w:r>
      <w:r>
        <w:rPr>
          <w:rFonts w:ascii="宋体" w:hAnsi="宋体" w:eastAsia="宋体" w:cs="宋体"/>
          <w:spacing w:val="-6"/>
          <w:sz w:val="20"/>
          <w:szCs w:val="20"/>
        </w:rPr>
        <w:t>）</w:t>
      </w:r>
      <w:r>
        <w:rPr>
          <w:rFonts w:ascii="宋体" w:hAnsi="宋体" w:eastAsia="宋体" w:cs="宋体"/>
          <w:spacing w:val="-57"/>
          <w:sz w:val="20"/>
          <w:szCs w:val="20"/>
        </w:rPr>
        <w:t xml:space="preserve"> </w:t>
      </w:r>
      <w:r>
        <w:rPr>
          <w:rFonts w:ascii="宋体" w:hAnsi="宋体" w:eastAsia="宋体" w:cs="宋体"/>
          <w:spacing w:val="-6"/>
          <w:sz w:val="20"/>
          <w:szCs w:val="20"/>
        </w:rPr>
        <w:t>：</w:t>
      </w:r>
      <w:r>
        <w:rPr>
          <w:rFonts w:ascii="宋体" w:hAnsi="宋体" w:eastAsia="宋体" w:cs="宋体"/>
          <w:sz w:val="20"/>
          <w:szCs w:val="20"/>
          <w:u w:val="single" w:color="auto"/>
        </w:rPr>
        <w:t xml:space="preserve">                  </w:t>
      </w:r>
    </w:p>
    <w:p w14:paraId="585A3262">
      <w:pPr>
        <w:keepNext w:val="0"/>
        <w:keepLines w:val="0"/>
        <w:pageBreakBefore w:val="0"/>
        <w:kinsoku/>
        <w:wordWrap/>
        <w:overflowPunct/>
        <w:topLinePunct w:val="0"/>
        <w:bidi w:val="0"/>
        <w:spacing w:before="230" w:line="227" w:lineRule="auto"/>
        <w:rPr>
          <w:rFonts w:ascii="宋体" w:hAnsi="宋体" w:eastAsia="宋体" w:cs="宋体"/>
          <w:sz w:val="20"/>
          <w:szCs w:val="20"/>
        </w:rPr>
      </w:pPr>
      <w:r>
        <w:rPr>
          <w:rFonts w:ascii="宋体" w:hAnsi="宋体" w:eastAsia="宋体" w:cs="宋体"/>
          <w:spacing w:val="9"/>
          <w:sz w:val="20"/>
          <w:szCs w:val="20"/>
        </w:rPr>
        <w:t>法定代表人或其委托代理人（签字或盖章</w:t>
      </w:r>
      <w:r>
        <w:rPr>
          <w:rFonts w:ascii="宋体" w:hAnsi="宋体" w:eastAsia="宋体" w:cs="宋体"/>
          <w:spacing w:val="13"/>
          <w:sz w:val="20"/>
          <w:szCs w:val="20"/>
        </w:rPr>
        <w:t>）：</w:t>
      </w:r>
      <w:r>
        <w:rPr>
          <w:rFonts w:ascii="宋体" w:hAnsi="宋体" w:eastAsia="宋体" w:cs="宋体"/>
          <w:sz w:val="20"/>
          <w:szCs w:val="20"/>
          <w:u w:val="single" w:color="auto"/>
        </w:rPr>
        <w:t xml:space="preserve">                </w:t>
      </w:r>
    </w:p>
    <w:p w14:paraId="68A74223">
      <w:pPr>
        <w:keepNext w:val="0"/>
        <w:keepLines w:val="0"/>
        <w:pageBreakBefore w:val="0"/>
        <w:kinsoku/>
        <w:wordWrap/>
        <w:overflowPunct/>
        <w:topLinePunct w:val="0"/>
        <w:bidi w:val="0"/>
        <w:spacing w:before="231" w:line="228" w:lineRule="auto"/>
        <w:ind w:left="35"/>
        <w:rPr>
          <w:rFonts w:ascii="宋体" w:hAnsi="宋体" w:eastAsia="宋体" w:cs="宋体"/>
          <w:sz w:val="20"/>
          <w:szCs w:val="20"/>
        </w:rPr>
      </w:pPr>
      <w:r>
        <w:rPr>
          <w:rFonts w:ascii="宋体" w:hAnsi="宋体" w:eastAsia="宋体" w:cs="宋体"/>
          <w:spacing w:val="-3"/>
          <w:sz w:val="20"/>
          <w:szCs w:val="20"/>
        </w:rPr>
        <w:t>日期：</w:t>
      </w:r>
      <w:r>
        <w:rPr>
          <w:rFonts w:ascii="宋体" w:hAnsi="宋体" w:eastAsia="宋体" w:cs="宋体"/>
          <w:spacing w:val="5"/>
          <w:sz w:val="20"/>
          <w:szCs w:val="20"/>
          <w:u w:val="single" w:color="auto"/>
        </w:rPr>
        <w:t xml:space="preserve">        </w:t>
      </w:r>
      <w:r>
        <w:rPr>
          <w:rFonts w:ascii="宋体" w:hAnsi="宋体" w:eastAsia="宋体" w:cs="宋体"/>
          <w:spacing w:val="-92"/>
          <w:sz w:val="20"/>
          <w:szCs w:val="20"/>
        </w:rPr>
        <w:t xml:space="preserve"> </w:t>
      </w:r>
      <w:r>
        <w:rPr>
          <w:rFonts w:ascii="宋体" w:hAnsi="宋体" w:eastAsia="宋体" w:cs="宋体"/>
          <w:spacing w:val="-3"/>
          <w:sz w:val="20"/>
          <w:szCs w:val="20"/>
        </w:rPr>
        <w:t>年</w:t>
      </w:r>
      <w:r>
        <w:rPr>
          <w:rFonts w:ascii="宋体" w:hAnsi="宋体" w:eastAsia="宋体" w:cs="宋体"/>
          <w:spacing w:val="4"/>
          <w:sz w:val="20"/>
          <w:szCs w:val="20"/>
          <w:u w:val="single" w:color="auto"/>
        </w:rPr>
        <w:t xml:space="preserve">    </w:t>
      </w:r>
      <w:r>
        <w:rPr>
          <w:rFonts w:ascii="宋体" w:hAnsi="宋体" w:eastAsia="宋体" w:cs="宋体"/>
          <w:spacing w:val="-83"/>
          <w:sz w:val="20"/>
          <w:szCs w:val="20"/>
        </w:rPr>
        <w:t xml:space="preserve"> </w:t>
      </w:r>
      <w:r>
        <w:rPr>
          <w:rFonts w:ascii="宋体" w:hAnsi="宋体" w:eastAsia="宋体" w:cs="宋体"/>
          <w:spacing w:val="-3"/>
          <w:sz w:val="20"/>
          <w:szCs w:val="20"/>
        </w:rPr>
        <w:t>月</w:t>
      </w:r>
      <w:r>
        <w:rPr>
          <w:rFonts w:ascii="宋体" w:hAnsi="宋体" w:eastAsia="宋体" w:cs="宋体"/>
          <w:spacing w:val="-97"/>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3"/>
          <w:sz w:val="20"/>
          <w:szCs w:val="20"/>
        </w:rPr>
        <w:t>日</w:t>
      </w:r>
    </w:p>
    <w:p w14:paraId="6C8B617D">
      <w:pPr>
        <w:keepNext w:val="0"/>
        <w:keepLines w:val="0"/>
        <w:pageBreakBefore w:val="0"/>
        <w:kinsoku/>
        <w:wordWrap/>
        <w:overflowPunct/>
        <w:topLinePunct w:val="0"/>
        <w:bidi w:val="0"/>
        <w:spacing w:before="160" w:line="219" w:lineRule="auto"/>
        <w:ind w:left="3385"/>
        <w:outlineLvl w:val="2"/>
        <w:rPr>
          <w:rFonts w:ascii="宋体" w:hAnsi="宋体" w:eastAsia="宋体" w:cs="宋体"/>
          <w:sz w:val="24"/>
          <w:szCs w:val="24"/>
        </w:rPr>
      </w:pPr>
      <w:bookmarkStart w:id="56" w:name="bookmark38"/>
      <w:bookmarkEnd w:id="56"/>
      <w:bookmarkStart w:id="57" w:name="_Toc9424"/>
      <w:r>
        <w:rPr>
          <w:rFonts w:ascii="宋体" w:hAnsi="宋体" w:eastAsia="宋体" w:cs="宋体"/>
          <w:b/>
          <w:bCs/>
          <w:spacing w:val="-2"/>
          <w:sz w:val="24"/>
          <w:szCs w:val="24"/>
        </w:rPr>
        <w:br w:type="page"/>
      </w:r>
      <w:r>
        <w:rPr>
          <w:rFonts w:ascii="宋体" w:hAnsi="宋体" w:eastAsia="宋体" w:cs="宋体"/>
          <w:b/>
          <w:bCs/>
          <w:spacing w:val="-2"/>
          <w:sz w:val="24"/>
          <w:szCs w:val="24"/>
        </w:rPr>
        <w:t>（二）采购需求响应表</w:t>
      </w:r>
      <w:bookmarkEnd w:id="57"/>
    </w:p>
    <w:p w14:paraId="5E488F1C">
      <w:pPr>
        <w:keepNext w:val="0"/>
        <w:keepLines w:val="0"/>
        <w:pageBreakBefore w:val="0"/>
        <w:kinsoku/>
        <w:wordWrap/>
        <w:overflowPunct/>
        <w:topLinePunct w:val="0"/>
        <w:bidi w:val="0"/>
        <w:spacing w:line="73" w:lineRule="exact"/>
      </w:pPr>
    </w:p>
    <w:tbl>
      <w:tblPr>
        <w:tblStyle w:val="30"/>
        <w:tblW w:w="9075" w:type="dxa"/>
        <w:tblInd w:w="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5"/>
        <w:gridCol w:w="1800"/>
        <w:gridCol w:w="1796"/>
        <w:gridCol w:w="1763"/>
        <w:gridCol w:w="1920"/>
        <w:gridCol w:w="991"/>
      </w:tblGrid>
      <w:tr w14:paraId="44C41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805" w:type="dxa"/>
            <w:vAlign w:val="top"/>
          </w:tcPr>
          <w:p w14:paraId="6E52419B">
            <w:pPr>
              <w:keepNext w:val="0"/>
              <w:keepLines w:val="0"/>
              <w:pageBreakBefore w:val="0"/>
              <w:kinsoku/>
              <w:wordWrap/>
              <w:overflowPunct/>
              <w:topLinePunct w:val="0"/>
              <w:bidi w:val="0"/>
              <w:spacing w:line="307" w:lineRule="auto"/>
              <w:rPr>
                <w:rFonts w:ascii="Arial"/>
                <w:sz w:val="21"/>
              </w:rPr>
            </w:pPr>
          </w:p>
          <w:p w14:paraId="544F5CD8">
            <w:pPr>
              <w:pStyle w:val="31"/>
              <w:keepNext w:val="0"/>
              <w:keepLines w:val="0"/>
              <w:pageBreakBefore w:val="0"/>
              <w:kinsoku/>
              <w:wordWrap/>
              <w:overflowPunct/>
              <w:topLinePunct w:val="0"/>
              <w:bidi w:val="0"/>
              <w:spacing w:before="65" w:line="229" w:lineRule="auto"/>
              <w:ind w:left="198"/>
            </w:pPr>
            <w:r>
              <w:rPr>
                <w:spacing w:val="5"/>
              </w:rPr>
              <w:t>序号</w:t>
            </w:r>
          </w:p>
        </w:tc>
        <w:tc>
          <w:tcPr>
            <w:tcW w:w="1800" w:type="dxa"/>
            <w:vAlign w:val="top"/>
          </w:tcPr>
          <w:p w14:paraId="6FB1F3C6">
            <w:pPr>
              <w:keepNext w:val="0"/>
              <w:keepLines w:val="0"/>
              <w:pageBreakBefore w:val="0"/>
              <w:kinsoku/>
              <w:wordWrap/>
              <w:overflowPunct/>
              <w:topLinePunct w:val="0"/>
              <w:bidi w:val="0"/>
              <w:spacing w:line="307" w:lineRule="auto"/>
              <w:rPr>
                <w:rFonts w:ascii="Arial"/>
                <w:sz w:val="21"/>
              </w:rPr>
            </w:pPr>
          </w:p>
          <w:p w14:paraId="13F7D230">
            <w:pPr>
              <w:pStyle w:val="31"/>
              <w:keepNext w:val="0"/>
              <w:keepLines w:val="0"/>
              <w:pageBreakBefore w:val="0"/>
              <w:kinsoku/>
              <w:wordWrap/>
              <w:overflowPunct/>
              <w:topLinePunct w:val="0"/>
              <w:bidi w:val="0"/>
              <w:spacing w:before="65" w:line="228" w:lineRule="auto"/>
              <w:ind w:left="483"/>
            </w:pPr>
            <w:r>
              <w:rPr>
                <w:spacing w:val="7"/>
              </w:rPr>
              <w:t>服务名称</w:t>
            </w:r>
          </w:p>
        </w:tc>
        <w:tc>
          <w:tcPr>
            <w:tcW w:w="1796" w:type="dxa"/>
            <w:vAlign w:val="top"/>
          </w:tcPr>
          <w:p w14:paraId="6AF99FB2">
            <w:pPr>
              <w:keepNext w:val="0"/>
              <w:keepLines w:val="0"/>
              <w:pageBreakBefore w:val="0"/>
              <w:kinsoku/>
              <w:wordWrap/>
              <w:overflowPunct/>
              <w:topLinePunct w:val="0"/>
              <w:bidi w:val="0"/>
              <w:spacing w:line="307" w:lineRule="auto"/>
              <w:rPr>
                <w:rFonts w:ascii="Arial"/>
                <w:sz w:val="21"/>
              </w:rPr>
            </w:pPr>
          </w:p>
          <w:p w14:paraId="6BFA9657">
            <w:pPr>
              <w:pStyle w:val="31"/>
              <w:keepNext w:val="0"/>
              <w:keepLines w:val="0"/>
              <w:pageBreakBefore w:val="0"/>
              <w:kinsoku/>
              <w:wordWrap/>
              <w:overflowPunct/>
              <w:topLinePunct w:val="0"/>
              <w:bidi w:val="0"/>
              <w:spacing w:before="65" w:line="228" w:lineRule="auto"/>
              <w:ind w:left="273"/>
            </w:pPr>
            <w:r>
              <w:rPr>
                <w:spacing w:val="8"/>
              </w:rPr>
              <w:t>招标文件要求</w:t>
            </w:r>
          </w:p>
        </w:tc>
        <w:tc>
          <w:tcPr>
            <w:tcW w:w="1763" w:type="dxa"/>
            <w:vAlign w:val="top"/>
          </w:tcPr>
          <w:p w14:paraId="40E2E688">
            <w:pPr>
              <w:keepNext w:val="0"/>
              <w:keepLines w:val="0"/>
              <w:pageBreakBefore w:val="0"/>
              <w:kinsoku/>
              <w:wordWrap/>
              <w:overflowPunct/>
              <w:topLinePunct w:val="0"/>
              <w:bidi w:val="0"/>
              <w:spacing w:line="307" w:lineRule="auto"/>
              <w:rPr>
                <w:rFonts w:ascii="Arial"/>
                <w:sz w:val="21"/>
              </w:rPr>
            </w:pPr>
          </w:p>
          <w:p w14:paraId="35726739">
            <w:pPr>
              <w:pStyle w:val="31"/>
              <w:keepNext w:val="0"/>
              <w:keepLines w:val="0"/>
              <w:pageBreakBefore w:val="0"/>
              <w:kinsoku/>
              <w:wordWrap/>
              <w:overflowPunct/>
              <w:topLinePunct w:val="0"/>
              <w:bidi w:val="0"/>
              <w:spacing w:before="65" w:line="228" w:lineRule="auto"/>
              <w:ind w:left="259"/>
            </w:pPr>
            <w:r>
              <w:rPr>
                <w:spacing w:val="7"/>
              </w:rPr>
              <w:t>投标文件响应</w:t>
            </w:r>
          </w:p>
        </w:tc>
        <w:tc>
          <w:tcPr>
            <w:tcW w:w="1920" w:type="dxa"/>
            <w:vAlign w:val="top"/>
          </w:tcPr>
          <w:p w14:paraId="0688188D">
            <w:pPr>
              <w:pStyle w:val="31"/>
              <w:keepNext w:val="0"/>
              <w:keepLines w:val="0"/>
              <w:pageBreakBefore w:val="0"/>
              <w:kinsoku/>
              <w:wordWrap/>
              <w:overflowPunct/>
              <w:topLinePunct w:val="0"/>
              <w:bidi w:val="0"/>
              <w:spacing w:before="137" w:line="375" w:lineRule="auto"/>
              <w:ind w:left="127" w:right="34" w:hanging="13"/>
            </w:pPr>
            <w:r>
              <w:rPr>
                <w:b/>
                <w:bCs/>
                <w:spacing w:val="-6"/>
              </w:rPr>
              <w:t>偏离情况（无偏离、</w:t>
            </w:r>
            <w:r>
              <w:rPr>
                <w:b/>
                <w:bCs/>
                <w:spacing w:val="5"/>
              </w:rPr>
              <w:t>正偏离、负偏离）</w:t>
            </w:r>
          </w:p>
        </w:tc>
        <w:tc>
          <w:tcPr>
            <w:tcW w:w="991" w:type="dxa"/>
            <w:vAlign w:val="top"/>
          </w:tcPr>
          <w:p w14:paraId="2F8B2468">
            <w:pPr>
              <w:keepNext w:val="0"/>
              <w:keepLines w:val="0"/>
              <w:pageBreakBefore w:val="0"/>
              <w:kinsoku/>
              <w:wordWrap/>
              <w:overflowPunct/>
              <w:topLinePunct w:val="0"/>
              <w:bidi w:val="0"/>
              <w:spacing w:line="307" w:lineRule="auto"/>
              <w:rPr>
                <w:rFonts w:ascii="Arial"/>
                <w:sz w:val="21"/>
              </w:rPr>
            </w:pPr>
          </w:p>
          <w:p w14:paraId="7E43F0BF">
            <w:pPr>
              <w:pStyle w:val="31"/>
              <w:keepNext w:val="0"/>
              <w:keepLines w:val="0"/>
              <w:pageBreakBefore w:val="0"/>
              <w:kinsoku/>
              <w:wordWrap/>
              <w:overflowPunct/>
              <w:topLinePunct w:val="0"/>
              <w:bidi w:val="0"/>
              <w:spacing w:before="65" w:line="229" w:lineRule="auto"/>
              <w:ind w:left="294"/>
            </w:pPr>
            <w:r>
              <w:rPr>
                <w:spacing w:val="3"/>
              </w:rPr>
              <w:t>备注</w:t>
            </w:r>
          </w:p>
        </w:tc>
      </w:tr>
      <w:tr w14:paraId="14C53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05" w:type="dxa"/>
            <w:vAlign w:val="top"/>
          </w:tcPr>
          <w:p w14:paraId="36C90296">
            <w:pPr>
              <w:pStyle w:val="31"/>
              <w:keepNext w:val="0"/>
              <w:keepLines w:val="0"/>
              <w:pageBreakBefore w:val="0"/>
              <w:kinsoku/>
              <w:wordWrap/>
              <w:overflowPunct/>
              <w:topLinePunct w:val="0"/>
              <w:bidi w:val="0"/>
              <w:spacing w:before="235" w:line="270" w:lineRule="exact"/>
              <w:ind w:left="370"/>
            </w:pPr>
            <w:r>
              <w:rPr>
                <w:position w:val="1"/>
              </w:rPr>
              <w:t>1</w:t>
            </w:r>
          </w:p>
        </w:tc>
        <w:tc>
          <w:tcPr>
            <w:tcW w:w="1800" w:type="dxa"/>
            <w:vAlign w:val="top"/>
          </w:tcPr>
          <w:p w14:paraId="2EE29DAD">
            <w:pPr>
              <w:keepNext w:val="0"/>
              <w:keepLines w:val="0"/>
              <w:pageBreakBefore w:val="0"/>
              <w:kinsoku/>
              <w:wordWrap/>
              <w:overflowPunct/>
              <w:topLinePunct w:val="0"/>
              <w:bidi w:val="0"/>
              <w:rPr>
                <w:rFonts w:ascii="Arial"/>
                <w:sz w:val="21"/>
              </w:rPr>
            </w:pPr>
          </w:p>
        </w:tc>
        <w:tc>
          <w:tcPr>
            <w:tcW w:w="1796" w:type="dxa"/>
            <w:vAlign w:val="top"/>
          </w:tcPr>
          <w:p w14:paraId="25730086">
            <w:pPr>
              <w:keepNext w:val="0"/>
              <w:keepLines w:val="0"/>
              <w:pageBreakBefore w:val="0"/>
              <w:kinsoku/>
              <w:wordWrap/>
              <w:overflowPunct/>
              <w:topLinePunct w:val="0"/>
              <w:bidi w:val="0"/>
              <w:rPr>
                <w:rFonts w:ascii="Arial"/>
                <w:sz w:val="21"/>
              </w:rPr>
            </w:pPr>
          </w:p>
        </w:tc>
        <w:tc>
          <w:tcPr>
            <w:tcW w:w="1763" w:type="dxa"/>
            <w:vAlign w:val="top"/>
          </w:tcPr>
          <w:p w14:paraId="0E62A6B8">
            <w:pPr>
              <w:keepNext w:val="0"/>
              <w:keepLines w:val="0"/>
              <w:pageBreakBefore w:val="0"/>
              <w:kinsoku/>
              <w:wordWrap/>
              <w:overflowPunct/>
              <w:topLinePunct w:val="0"/>
              <w:bidi w:val="0"/>
              <w:rPr>
                <w:rFonts w:ascii="Arial"/>
                <w:sz w:val="21"/>
              </w:rPr>
            </w:pPr>
          </w:p>
        </w:tc>
        <w:tc>
          <w:tcPr>
            <w:tcW w:w="1920" w:type="dxa"/>
            <w:vAlign w:val="top"/>
          </w:tcPr>
          <w:p w14:paraId="3EA851B5">
            <w:pPr>
              <w:keepNext w:val="0"/>
              <w:keepLines w:val="0"/>
              <w:pageBreakBefore w:val="0"/>
              <w:kinsoku/>
              <w:wordWrap/>
              <w:overflowPunct/>
              <w:topLinePunct w:val="0"/>
              <w:bidi w:val="0"/>
              <w:rPr>
                <w:rFonts w:ascii="Arial"/>
                <w:sz w:val="21"/>
              </w:rPr>
            </w:pPr>
          </w:p>
        </w:tc>
        <w:tc>
          <w:tcPr>
            <w:tcW w:w="991" w:type="dxa"/>
            <w:vAlign w:val="top"/>
          </w:tcPr>
          <w:p w14:paraId="0B6A8ED6">
            <w:pPr>
              <w:keepNext w:val="0"/>
              <w:keepLines w:val="0"/>
              <w:pageBreakBefore w:val="0"/>
              <w:kinsoku/>
              <w:wordWrap/>
              <w:overflowPunct/>
              <w:topLinePunct w:val="0"/>
              <w:bidi w:val="0"/>
              <w:rPr>
                <w:rFonts w:ascii="Arial"/>
                <w:sz w:val="21"/>
              </w:rPr>
            </w:pPr>
          </w:p>
        </w:tc>
      </w:tr>
      <w:tr w14:paraId="086C3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05" w:type="dxa"/>
            <w:vAlign w:val="top"/>
          </w:tcPr>
          <w:p w14:paraId="0E42028D">
            <w:pPr>
              <w:pStyle w:val="31"/>
              <w:keepNext w:val="0"/>
              <w:keepLines w:val="0"/>
              <w:pageBreakBefore w:val="0"/>
              <w:kinsoku/>
              <w:wordWrap/>
              <w:overflowPunct/>
              <w:topLinePunct w:val="0"/>
              <w:bidi w:val="0"/>
              <w:spacing w:before="237" w:line="270" w:lineRule="exact"/>
              <w:ind w:left="357"/>
            </w:pPr>
            <w:r>
              <w:rPr>
                <w:position w:val="1"/>
              </w:rPr>
              <w:t>2</w:t>
            </w:r>
          </w:p>
        </w:tc>
        <w:tc>
          <w:tcPr>
            <w:tcW w:w="1800" w:type="dxa"/>
            <w:vAlign w:val="top"/>
          </w:tcPr>
          <w:p w14:paraId="46C55598">
            <w:pPr>
              <w:keepNext w:val="0"/>
              <w:keepLines w:val="0"/>
              <w:pageBreakBefore w:val="0"/>
              <w:kinsoku/>
              <w:wordWrap/>
              <w:overflowPunct/>
              <w:topLinePunct w:val="0"/>
              <w:bidi w:val="0"/>
              <w:rPr>
                <w:rFonts w:ascii="Arial"/>
                <w:sz w:val="21"/>
              </w:rPr>
            </w:pPr>
          </w:p>
        </w:tc>
        <w:tc>
          <w:tcPr>
            <w:tcW w:w="1796" w:type="dxa"/>
            <w:vAlign w:val="top"/>
          </w:tcPr>
          <w:p w14:paraId="67795918">
            <w:pPr>
              <w:keepNext w:val="0"/>
              <w:keepLines w:val="0"/>
              <w:pageBreakBefore w:val="0"/>
              <w:kinsoku/>
              <w:wordWrap/>
              <w:overflowPunct/>
              <w:topLinePunct w:val="0"/>
              <w:bidi w:val="0"/>
              <w:rPr>
                <w:rFonts w:ascii="Arial"/>
                <w:sz w:val="21"/>
              </w:rPr>
            </w:pPr>
          </w:p>
        </w:tc>
        <w:tc>
          <w:tcPr>
            <w:tcW w:w="1763" w:type="dxa"/>
            <w:vAlign w:val="top"/>
          </w:tcPr>
          <w:p w14:paraId="1839A714">
            <w:pPr>
              <w:keepNext w:val="0"/>
              <w:keepLines w:val="0"/>
              <w:pageBreakBefore w:val="0"/>
              <w:kinsoku/>
              <w:wordWrap/>
              <w:overflowPunct/>
              <w:topLinePunct w:val="0"/>
              <w:bidi w:val="0"/>
              <w:rPr>
                <w:rFonts w:ascii="Arial"/>
                <w:sz w:val="21"/>
              </w:rPr>
            </w:pPr>
          </w:p>
        </w:tc>
        <w:tc>
          <w:tcPr>
            <w:tcW w:w="1920" w:type="dxa"/>
            <w:vAlign w:val="top"/>
          </w:tcPr>
          <w:p w14:paraId="24AAD821">
            <w:pPr>
              <w:keepNext w:val="0"/>
              <w:keepLines w:val="0"/>
              <w:pageBreakBefore w:val="0"/>
              <w:kinsoku/>
              <w:wordWrap/>
              <w:overflowPunct/>
              <w:topLinePunct w:val="0"/>
              <w:bidi w:val="0"/>
              <w:rPr>
                <w:rFonts w:ascii="Arial"/>
                <w:sz w:val="21"/>
              </w:rPr>
            </w:pPr>
          </w:p>
        </w:tc>
        <w:tc>
          <w:tcPr>
            <w:tcW w:w="991" w:type="dxa"/>
            <w:vAlign w:val="top"/>
          </w:tcPr>
          <w:p w14:paraId="160D1EAE">
            <w:pPr>
              <w:keepNext w:val="0"/>
              <w:keepLines w:val="0"/>
              <w:pageBreakBefore w:val="0"/>
              <w:kinsoku/>
              <w:wordWrap/>
              <w:overflowPunct/>
              <w:topLinePunct w:val="0"/>
              <w:bidi w:val="0"/>
              <w:rPr>
                <w:rFonts w:ascii="Arial"/>
                <w:sz w:val="21"/>
              </w:rPr>
            </w:pPr>
          </w:p>
        </w:tc>
      </w:tr>
      <w:tr w14:paraId="05641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05" w:type="dxa"/>
            <w:vAlign w:val="top"/>
          </w:tcPr>
          <w:p w14:paraId="2834B1C8">
            <w:pPr>
              <w:pStyle w:val="31"/>
              <w:keepNext w:val="0"/>
              <w:keepLines w:val="0"/>
              <w:pageBreakBefore w:val="0"/>
              <w:kinsoku/>
              <w:wordWrap/>
              <w:overflowPunct/>
              <w:topLinePunct w:val="0"/>
              <w:bidi w:val="0"/>
              <w:spacing w:before="237" w:line="268" w:lineRule="exact"/>
              <w:ind w:left="359"/>
            </w:pPr>
            <w:r>
              <w:rPr>
                <w:position w:val="1"/>
              </w:rPr>
              <w:t>3</w:t>
            </w:r>
          </w:p>
        </w:tc>
        <w:tc>
          <w:tcPr>
            <w:tcW w:w="1800" w:type="dxa"/>
            <w:vAlign w:val="top"/>
          </w:tcPr>
          <w:p w14:paraId="2CA7FC97">
            <w:pPr>
              <w:keepNext w:val="0"/>
              <w:keepLines w:val="0"/>
              <w:pageBreakBefore w:val="0"/>
              <w:kinsoku/>
              <w:wordWrap/>
              <w:overflowPunct/>
              <w:topLinePunct w:val="0"/>
              <w:bidi w:val="0"/>
              <w:rPr>
                <w:rFonts w:ascii="Arial"/>
                <w:sz w:val="21"/>
              </w:rPr>
            </w:pPr>
          </w:p>
        </w:tc>
        <w:tc>
          <w:tcPr>
            <w:tcW w:w="1796" w:type="dxa"/>
            <w:vAlign w:val="top"/>
          </w:tcPr>
          <w:p w14:paraId="1A3361C9">
            <w:pPr>
              <w:keepNext w:val="0"/>
              <w:keepLines w:val="0"/>
              <w:pageBreakBefore w:val="0"/>
              <w:kinsoku/>
              <w:wordWrap/>
              <w:overflowPunct/>
              <w:topLinePunct w:val="0"/>
              <w:bidi w:val="0"/>
              <w:rPr>
                <w:rFonts w:ascii="Arial"/>
                <w:sz w:val="21"/>
              </w:rPr>
            </w:pPr>
          </w:p>
        </w:tc>
        <w:tc>
          <w:tcPr>
            <w:tcW w:w="1763" w:type="dxa"/>
            <w:vAlign w:val="top"/>
          </w:tcPr>
          <w:p w14:paraId="22300705">
            <w:pPr>
              <w:keepNext w:val="0"/>
              <w:keepLines w:val="0"/>
              <w:pageBreakBefore w:val="0"/>
              <w:kinsoku/>
              <w:wordWrap/>
              <w:overflowPunct/>
              <w:topLinePunct w:val="0"/>
              <w:bidi w:val="0"/>
              <w:rPr>
                <w:rFonts w:ascii="Arial"/>
                <w:sz w:val="21"/>
              </w:rPr>
            </w:pPr>
          </w:p>
        </w:tc>
        <w:tc>
          <w:tcPr>
            <w:tcW w:w="1920" w:type="dxa"/>
            <w:vAlign w:val="top"/>
          </w:tcPr>
          <w:p w14:paraId="758E3564">
            <w:pPr>
              <w:keepNext w:val="0"/>
              <w:keepLines w:val="0"/>
              <w:pageBreakBefore w:val="0"/>
              <w:kinsoku/>
              <w:wordWrap/>
              <w:overflowPunct/>
              <w:topLinePunct w:val="0"/>
              <w:bidi w:val="0"/>
              <w:rPr>
                <w:rFonts w:ascii="Arial"/>
                <w:sz w:val="21"/>
              </w:rPr>
            </w:pPr>
          </w:p>
        </w:tc>
        <w:tc>
          <w:tcPr>
            <w:tcW w:w="991" w:type="dxa"/>
            <w:vAlign w:val="top"/>
          </w:tcPr>
          <w:p w14:paraId="30E40307">
            <w:pPr>
              <w:keepNext w:val="0"/>
              <w:keepLines w:val="0"/>
              <w:pageBreakBefore w:val="0"/>
              <w:kinsoku/>
              <w:wordWrap/>
              <w:overflowPunct/>
              <w:topLinePunct w:val="0"/>
              <w:bidi w:val="0"/>
              <w:rPr>
                <w:rFonts w:ascii="Arial"/>
                <w:sz w:val="21"/>
              </w:rPr>
            </w:pPr>
          </w:p>
        </w:tc>
      </w:tr>
      <w:tr w14:paraId="309D9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05" w:type="dxa"/>
            <w:vAlign w:val="top"/>
          </w:tcPr>
          <w:p w14:paraId="39354A6D">
            <w:pPr>
              <w:pStyle w:val="31"/>
              <w:keepNext w:val="0"/>
              <w:keepLines w:val="0"/>
              <w:pageBreakBefore w:val="0"/>
              <w:kinsoku/>
              <w:wordWrap/>
              <w:overflowPunct/>
              <w:topLinePunct w:val="0"/>
              <w:bidi w:val="0"/>
              <w:spacing w:before="239" w:line="270" w:lineRule="exact"/>
              <w:ind w:left="354"/>
            </w:pPr>
            <w:r>
              <w:rPr>
                <w:position w:val="1"/>
              </w:rPr>
              <w:t>4</w:t>
            </w:r>
          </w:p>
        </w:tc>
        <w:tc>
          <w:tcPr>
            <w:tcW w:w="1800" w:type="dxa"/>
            <w:vAlign w:val="top"/>
          </w:tcPr>
          <w:p w14:paraId="293FADCA">
            <w:pPr>
              <w:keepNext w:val="0"/>
              <w:keepLines w:val="0"/>
              <w:pageBreakBefore w:val="0"/>
              <w:kinsoku/>
              <w:wordWrap/>
              <w:overflowPunct/>
              <w:topLinePunct w:val="0"/>
              <w:bidi w:val="0"/>
              <w:rPr>
                <w:rFonts w:ascii="Arial"/>
                <w:sz w:val="21"/>
              </w:rPr>
            </w:pPr>
          </w:p>
        </w:tc>
        <w:tc>
          <w:tcPr>
            <w:tcW w:w="1796" w:type="dxa"/>
            <w:vAlign w:val="top"/>
          </w:tcPr>
          <w:p w14:paraId="4B4CBBA0">
            <w:pPr>
              <w:keepNext w:val="0"/>
              <w:keepLines w:val="0"/>
              <w:pageBreakBefore w:val="0"/>
              <w:kinsoku/>
              <w:wordWrap/>
              <w:overflowPunct/>
              <w:topLinePunct w:val="0"/>
              <w:bidi w:val="0"/>
              <w:rPr>
                <w:rFonts w:ascii="Arial"/>
                <w:sz w:val="21"/>
              </w:rPr>
            </w:pPr>
          </w:p>
        </w:tc>
        <w:tc>
          <w:tcPr>
            <w:tcW w:w="1763" w:type="dxa"/>
            <w:vAlign w:val="top"/>
          </w:tcPr>
          <w:p w14:paraId="3E29B23B">
            <w:pPr>
              <w:keepNext w:val="0"/>
              <w:keepLines w:val="0"/>
              <w:pageBreakBefore w:val="0"/>
              <w:kinsoku/>
              <w:wordWrap/>
              <w:overflowPunct/>
              <w:topLinePunct w:val="0"/>
              <w:bidi w:val="0"/>
              <w:rPr>
                <w:rFonts w:ascii="Arial"/>
                <w:sz w:val="21"/>
              </w:rPr>
            </w:pPr>
          </w:p>
        </w:tc>
        <w:tc>
          <w:tcPr>
            <w:tcW w:w="1920" w:type="dxa"/>
            <w:vAlign w:val="top"/>
          </w:tcPr>
          <w:p w14:paraId="1D9CE147">
            <w:pPr>
              <w:keepNext w:val="0"/>
              <w:keepLines w:val="0"/>
              <w:pageBreakBefore w:val="0"/>
              <w:kinsoku/>
              <w:wordWrap/>
              <w:overflowPunct/>
              <w:topLinePunct w:val="0"/>
              <w:bidi w:val="0"/>
              <w:rPr>
                <w:rFonts w:ascii="Arial"/>
                <w:sz w:val="21"/>
              </w:rPr>
            </w:pPr>
          </w:p>
        </w:tc>
        <w:tc>
          <w:tcPr>
            <w:tcW w:w="991" w:type="dxa"/>
            <w:vAlign w:val="top"/>
          </w:tcPr>
          <w:p w14:paraId="3AD5CAAA">
            <w:pPr>
              <w:keepNext w:val="0"/>
              <w:keepLines w:val="0"/>
              <w:pageBreakBefore w:val="0"/>
              <w:kinsoku/>
              <w:wordWrap/>
              <w:overflowPunct/>
              <w:topLinePunct w:val="0"/>
              <w:bidi w:val="0"/>
              <w:rPr>
                <w:rFonts w:ascii="Arial"/>
                <w:sz w:val="21"/>
              </w:rPr>
            </w:pPr>
          </w:p>
        </w:tc>
      </w:tr>
      <w:tr w14:paraId="76055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805" w:type="dxa"/>
            <w:vAlign w:val="top"/>
          </w:tcPr>
          <w:p w14:paraId="0EA4E558">
            <w:pPr>
              <w:pStyle w:val="31"/>
              <w:keepNext w:val="0"/>
              <w:keepLines w:val="0"/>
              <w:pageBreakBefore w:val="0"/>
              <w:kinsoku/>
              <w:wordWrap/>
              <w:overflowPunct/>
              <w:topLinePunct w:val="0"/>
              <w:bidi w:val="0"/>
              <w:spacing w:before="239" w:line="324" w:lineRule="exact"/>
              <w:ind w:left="212"/>
            </w:pPr>
            <w:r>
              <w:rPr>
                <w:spacing w:val="-2"/>
                <w:position w:val="2"/>
              </w:rPr>
              <w:t>……</w:t>
            </w:r>
          </w:p>
        </w:tc>
        <w:tc>
          <w:tcPr>
            <w:tcW w:w="1800" w:type="dxa"/>
            <w:vAlign w:val="top"/>
          </w:tcPr>
          <w:p w14:paraId="6FA1D399">
            <w:pPr>
              <w:keepNext w:val="0"/>
              <w:keepLines w:val="0"/>
              <w:pageBreakBefore w:val="0"/>
              <w:kinsoku/>
              <w:wordWrap/>
              <w:overflowPunct/>
              <w:topLinePunct w:val="0"/>
              <w:bidi w:val="0"/>
              <w:rPr>
                <w:rFonts w:ascii="Arial"/>
                <w:sz w:val="21"/>
              </w:rPr>
            </w:pPr>
          </w:p>
        </w:tc>
        <w:tc>
          <w:tcPr>
            <w:tcW w:w="1796" w:type="dxa"/>
            <w:vAlign w:val="top"/>
          </w:tcPr>
          <w:p w14:paraId="3AAE4EA1">
            <w:pPr>
              <w:keepNext w:val="0"/>
              <w:keepLines w:val="0"/>
              <w:pageBreakBefore w:val="0"/>
              <w:kinsoku/>
              <w:wordWrap/>
              <w:overflowPunct/>
              <w:topLinePunct w:val="0"/>
              <w:bidi w:val="0"/>
              <w:rPr>
                <w:rFonts w:ascii="Arial"/>
                <w:sz w:val="21"/>
              </w:rPr>
            </w:pPr>
          </w:p>
        </w:tc>
        <w:tc>
          <w:tcPr>
            <w:tcW w:w="1763" w:type="dxa"/>
            <w:vAlign w:val="top"/>
          </w:tcPr>
          <w:p w14:paraId="2C4A56B7">
            <w:pPr>
              <w:keepNext w:val="0"/>
              <w:keepLines w:val="0"/>
              <w:pageBreakBefore w:val="0"/>
              <w:kinsoku/>
              <w:wordWrap/>
              <w:overflowPunct/>
              <w:topLinePunct w:val="0"/>
              <w:bidi w:val="0"/>
              <w:rPr>
                <w:rFonts w:ascii="Arial"/>
                <w:sz w:val="21"/>
              </w:rPr>
            </w:pPr>
          </w:p>
        </w:tc>
        <w:tc>
          <w:tcPr>
            <w:tcW w:w="1920" w:type="dxa"/>
            <w:vAlign w:val="top"/>
          </w:tcPr>
          <w:p w14:paraId="7E69D535">
            <w:pPr>
              <w:keepNext w:val="0"/>
              <w:keepLines w:val="0"/>
              <w:pageBreakBefore w:val="0"/>
              <w:kinsoku/>
              <w:wordWrap/>
              <w:overflowPunct/>
              <w:topLinePunct w:val="0"/>
              <w:bidi w:val="0"/>
              <w:rPr>
                <w:rFonts w:ascii="Arial"/>
                <w:sz w:val="21"/>
              </w:rPr>
            </w:pPr>
          </w:p>
        </w:tc>
        <w:tc>
          <w:tcPr>
            <w:tcW w:w="991" w:type="dxa"/>
            <w:vAlign w:val="top"/>
          </w:tcPr>
          <w:p w14:paraId="5008BE99">
            <w:pPr>
              <w:keepNext w:val="0"/>
              <w:keepLines w:val="0"/>
              <w:pageBreakBefore w:val="0"/>
              <w:kinsoku/>
              <w:wordWrap/>
              <w:overflowPunct/>
              <w:topLinePunct w:val="0"/>
              <w:bidi w:val="0"/>
              <w:rPr>
                <w:rFonts w:ascii="Arial"/>
                <w:sz w:val="21"/>
              </w:rPr>
            </w:pPr>
          </w:p>
        </w:tc>
      </w:tr>
    </w:tbl>
    <w:p w14:paraId="2D4A5DB8">
      <w:pPr>
        <w:pStyle w:val="4"/>
        <w:keepNext w:val="0"/>
        <w:keepLines w:val="0"/>
        <w:pageBreakBefore w:val="0"/>
        <w:kinsoku/>
        <w:wordWrap/>
        <w:overflowPunct/>
        <w:topLinePunct w:val="0"/>
        <w:bidi w:val="0"/>
        <w:spacing w:line="270" w:lineRule="auto"/>
      </w:pPr>
    </w:p>
    <w:p w14:paraId="1BF961C1">
      <w:pPr>
        <w:pStyle w:val="5"/>
      </w:pPr>
    </w:p>
    <w:p w14:paraId="32F5BCA3">
      <w:pPr>
        <w:pStyle w:val="4"/>
        <w:keepNext w:val="0"/>
        <w:keepLines w:val="0"/>
        <w:pageBreakBefore w:val="0"/>
        <w:kinsoku/>
        <w:wordWrap/>
        <w:overflowPunct/>
        <w:topLinePunct w:val="0"/>
        <w:bidi w:val="0"/>
        <w:spacing w:line="271" w:lineRule="auto"/>
      </w:pPr>
    </w:p>
    <w:p w14:paraId="70E8EEC3">
      <w:pPr>
        <w:pStyle w:val="4"/>
        <w:keepNext w:val="0"/>
        <w:keepLines w:val="0"/>
        <w:pageBreakBefore w:val="0"/>
        <w:kinsoku/>
        <w:wordWrap/>
        <w:overflowPunct/>
        <w:topLinePunct w:val="0"/>
        <w:bidi w:val="0"/>
        <w:spacing w:line="271" w:lineRule="auto"/>
      </w:pPr>
    </w:p>
    <w:p w14:paraId="3CEDFE4C">
      <w:pPr>
        <w:pStyle w:val="4"/>
        <w:keepNext w:val="0"/>
        <w:keepLines w:val="0"/>
        <w:pageBreakBefore w:val="0"/>
        <w:kinsoku/>
        <w:wordWrap/>
        <w:overflowPunct/>
        <w:topLinePunct w:val="0"/>
        <w:bidi w:val="0"/>
        <w:spacing w:line="271" w:lineRule="auto"/>
      </w:pPr>
    </w:p>
    <w:p w14:paraId="77637A23">
      <w:pPr>
        <w:pStyle w:val="4"/>
        <w:keepNext w:val="0"/>
        <w:keepLines w:val="0"/>
        <w:pageBreakBefore w:val="0"/>
        <w:kinsoku/>
        <w:wordWrap/>
        <w:overflowPunct/>
        <w:topLinePunct w:val="0"/>
        <w:bidi w:val="0"/>
        <w:spacing w:line="271" w:lineRule="auto"/>
      </w:pPr>
    </w:p>
    <w:p w14:paraId="2ED06F42">
      <w:pPr>
        <w:keepNext w:val="0"/>
        <w:keepLines w:val="0"/>
        <w:pageBreakBefore w:val="0"/>
        <w:kinsoku/>
        <w:wordWrap/>
        <w:overflowPunct/>
        <w:topLinePunct w:val="0"/>
        <w:bidi w:val="0"/>
        <w:spacing w:before="66" w:line="227" w:lineRule="auto"/>
        <w:ind w:left="3"/>
        <w:rPr>
          <w:rFonts w:ascii="宋体" w:hAnsi="宋体" w:eastAsia="宋体" w:cs="宋体"/>
          <w:sz w:val="20"/>
          <w:szCs w:val="20"/>
        </w:rPr>
      </w:pPr>
      <w:r>
        <w:rPr>
          <w:rFonts w:ascii="宋体" w:hAnsi="宋体" w:eastAsia="宋体" w:cs="宋体"/>
          <w:spacing w:val="11"/>
          <w:sz w:val="20"/>
          <w:szCs w:val="20"/>
        </w:rPr>
        <w:t>投标人（盖电子签章</w:t>
      </w:r>
      <w:r>
        <w:rPr>
          <w:rFonts w:ascii="宋体" w:hAnsi="宋体" w:eastAsia="宋体" w:cs="宋体"/>
          <w:spacing w:val="-6"/>
          <w:sz w:val="20"/>
          <w:szCs w:val="20"/>
        </w:rPr>
        <w:t>）</w:t>
      </w:r>
      <w:r>
        <w:rPr>
          <w:rFonts w:ascii="宋体" w:hAnsi="宋体" w:eastAsia="宋体" w:cs="宋体"/>
          <w:spacing w:val="-57"/>
          <w:sz w:val="20"/>
          <w:szCs w:val="20"/>
        </w:rPr>
        <w:t xml:space="preserve"> </w:t>
      </w:r>
      <w:r>
        <w:rPr>
          <w:rFonts w:ascii="宋体" w:hAnsi="宋体" w:eastAsia="宋体" w:cs="宋体"/>
          <w:spacing w:val="-6"/>
          <w:sz w:val="20"/>
          <w:szCs w:val="20"/>
        </w:rPr>
        <w:t>：</w:t>
      </w:r>
      <w:r>
        <w:rPr>
          <w:rFonts w:ascii="宋体" w:hAnsi="宋体" w:eastAsia="宋体" w:cs="宋体"/>
          <w:sz w:val="20"/>
          <w:szCs w:val="20"/>
          <w:u w:val="single" w:color="auto"/>
        </w:rPr>
        <w:t xml:space="preserve">                  </w:t>
      </w:r>
    </w:p>
    <w:p w14:paraId="545EABB2">
      <w:pPr>
        <w:keepNext w:val="0"/>
        <w:keepLines w:val="0"/>
        <w:pageBreakBefore w:val="0"/>
        <w:kinsoku/>
        <w:wordWrap/>
        <w:overflowPunct/>
        <w:topLinePunct w:val="0"/>
        <w:bidi w:val="0"/>
        <w:spacing w:before="229" w:line="227" w:lineRule="auto"/>
        <w:ind w:left="1"/>
        <w:rPr>
          <w:rFonts w:ascii="宋体" w:hAnsi="宋体" w:eastAsia="宋体" w:cs="宋体"/>
          <w:sz w:val="20"/>
          <w:szCs w:val="20"/>
        </w:rPr>
      </w:pPr>
      <w:r>
        <w:rPr>
          <w:rFonts w:ascii="宋体" w:hAnsi="宋体" w:eastAsia="宋体" w:cs="宋体"/>
          <w:spacing w:val="9"/>
          <w:sz w:val="20"/>
          <w:szCs w:val="20"/>
        </w:rPr>
        <w:t>法定代表人或其委托代理人（签字或盖章</w:t>
      </w:r>
      <w:r>
        <w:rPr>
          <w:rFonts w:ascii="宋体" w:hAnsi="宋体" w:eastAsia="宋体" w:cs="宋体"/>
          <w:spacing w:val="13"/>
          <w:sz w:val="20"/>
          <w:szCs w:val="20"/>
        </w:rPr>
        <w:t>）：</w:t>
      </w:r>
      <w:r>
        <w:rPr>
          <w:rFonts w:ascii="宋体" w:hAnsi="宋体" w:eastAsia="宋体" w:cs="宋体"/>
          <w:sz w:val="20"/>
          <w:szCs w:val="20"/>
          <w:u w:val="single" w:color="auto"/>
        </w:rPr>
        <w:t xml:space="preserve">                </w:t>
      </w:r>
    </w:p>
    <w:p w14:paraId="5C7D10AC">
      <w:pPr>
        <w:keepNext w:val="0"/>
        <w:keepLines w:val="0"/>
        <w:pageBreakBefore w:val="0"/>
        <w:kinsoku/>
        <w:wordWrap/>
        <w:overflowPunct/>
        <w:topLinePunct w:val="0"/>
        <w:bidi w:val="0"/>
        <w:spacing w:before="229" w:line="228" w:lineRule="auto"/>
        <w:ind w:left="36"/>
        <w:outlineLvl w:val="9"/>
        <w:rPr>
          <w:rFonts w:ascii="宋体" w:hAnsi="宋体" w:eastAsia="宋体" w:cs="宋体"/>
          <w:sz w:val="20"/>
          <w:szCs w:val="20"/>
        </w:rPr>
      </w:pPr>
      <w:r>
        <w:rPr>
          <w:rFonts w:ascii="宋体" w:hAnsi="宋体" w:eastAsia="宋体" w:cs="宋体"/>
          <w:spacing w:val="-3"/>
          <w:sz w:val="20"/>
          <w:szCs w:val="20"/>
        </w:rPr>
        <w:t>日期：</w:t>
      </w:r>
      <w:r>
        <w:rPr>
          <w:rFonts w:ascii="宋体" w:hAnsi="宋体" w:eastAsia="宋体" w:cs="宋体"/>
          <w:spacing w:val="5"/>
          <w:sz w:val="20"/>
          <w:szCs w:val="20"/>
          <w:u w:val="single" w:color="auto"/>
        </w:rPr>
        <w:t xml:space="preserve">        </w:t>
      </w:r>
      <w:r>
        <w:rPr>
          <w:rFonts w:ascii="宋体" w:hAnsi="宋体" w:eastAsia="宋体" w:cs="宋体"/>
          <w:spacing w:val="-92"/>
          <w:sz w:val="20"/>
          <w:szCs w:val="20"/>
        </w:rPr>
        <w:t xml:space="preserve"> </w:t>
      </w:r>
      <w:r>
        <w:rPr>
          <w:rFonts w:ascii="宋体" w:hAnsi="宋体" w:eastAsia="宋体" w:cs="宋体"/>
          <w:spacing w:val="-3"/>
          <w:sz w:val="20"/>
          <w:szCs w:val="20"/>
        </w:rPr>
        <w:t>年</w:t>
      </w:r>
      <w:r>
        <w:rPr>
          <w:rFonts w:ascii="宋体" w:hAnsi="宋体" w:eastAsia="宋体" w:cs="宋体"/>
          <w:spacing w:val="4"/>
          <w:sz w:val="20"/>
          <w:szCs w:val="20"/>
          <w:u w:val="single" w:color="auto"/>
        </w:rPr>
        <w:t xml:space="preserve">    </w:t>
      </w:r>
      <w:r>
        <w:rPr>
          <w:rFonts w:ascii="宋体" w:hAnsi="宋体" w:eastAsia="宋体" w:cs="宋体"/>
          <w:spacing w:val="-83"/>
          <w:sz w:val="20"/>
          <w:szCs w:val="20"/>
        </w:rPr>
        <w:t xml:space="preserve"> </w:t>
      </w:r>
      <w:r>
        <w:rPr>
          <w:rFonts w:ascii="宋体" w:hAnsi="宋体" w:eastAsia="宋体" w:cs="宋体"/>
          <w:spacing w:val="-3"/>
          <w:sz w:val="20"/>
          <w:szCs w:val="20"/>
        </w:rPr>
        <w:t>月</w:t>
      </w:r>
      <w:r>
        <w:rPr>
          <w:rFonts w:ascii="宋体" w:hAnsi="宋体" w:eastAsia="宋体" w:cs="宋体"/>
          <w:spacing w:val="-97"/>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3"/>
          <w:sz w:val="20"/>
          <w:szCs w:val="20"/>
        </w:rPr>
        <w:t>日</w:t>
      </w:r>
    </w:p>
    <w:p w14:paraId="7396DAAC">
      <w:pPr>
        <w:keepNext w:val="0"/>
        <w:keepLines w:val="0"/>
        <w:pageBreakBefore w:val="0"/>
        <w:kinsoku/>
        <w:wordWrap/>
        <w:overflowPunct/>
        <w:topLinePunct w:val="0"/>
        <w:bidi w:val="0"/>
        <w:spacing w:before="219" w:line="220" w:lineRule="auto"/>
        <w:ind w:left="3572"/>
        <w:outlineLvl w:val="1"/>
        <w:rPr>
          <w:rFonts w:ascii="宋体" w:hAnsi="宋体" w:eastAsia="宋体" w:cs="宋体"/>
          <w:sz w:val="28"/>
          <w:szCs w:val="28"/>
        </w:rPr>
      </w:pPr>
      <w:bookmarkStart w:id="58" w:name="bookmark40"/>
      <w:bookmarkEnd w:id="58"/>
      <w:bookmarkStart w:id="59" w:name="bookmark39"/>
      <w:bookmarkEnd w:id="59"/>
      <w:bookmarkStart w:id="60" w:name="_Toc25662"/>
      <w:r>
        <w:rPr>
          <w:rFonts w:ascii="宋体" w:hAnsi="宋体" w:eastAsia="宋体" w:cs="宋体"/>
          <w:b/>
          <w:bCs/>
          <w:spacing w:val="-2"/>
          <w:sz w:val="28"/>
          <w:szCs w:val="28"/>
        </w:rPr>
        <w:br w:type="page"/>
      </w:r>
      <w:r>
        <w:rPr>
          <w:rFonts w:ascii="宋体" w:hAnsi="宋体" w:eastAsia="宋体" w:cs="宋体"/>
          <w:b/>
          <w:bCs/>
          <w:spacing w:val="-2"/>
          <w:sz w:val="28"/>
          <w:szCs w:val="28"/>
        </w:rPr>
        <w:t>五、资格证明文件</w:t>
      </w:r>
      <w:bookmarkEnd w:id="60"/>
    </w:p>
    <w:p w14:paraId="6AC02954">
      <w:pPr>
        <w:keepNext w:val="0"/>
        <w:keepLines w:val="0"/>
        <w:pageBreakBefore w:val="0"/>
        <w:kinsoku/>
        <w:wordWrap/>
        <w:overflowPunct/>
        <w:topLinePunct w:val="0"/>
        <w:bidi w:val="0"/>
        <w:spacing w:before="241" w:line="219" w:lineRule="auto"/>
        <w:ind w:left="3750"/>
        <w:outlineLvl w:val="2"/>
        <w:rPr>
          <w:rFonts w:ascii="宋体" w:hAnsi="宋体" w:eastAsia="宋体" w:cs="宋体"/>
          <w:sz w:val="24"/>
          <w:szCs w:val="24"/>
        </w:rPr>
      </w:pPr>
      <w:bookmarkStart w:id="61" w:name="_Toc32165"/>
      <w:r>
        <w:rPr>
          <w:rFonts w:ascii="宋体" w:hAnsi="宋体" w:eastAsia="宋体" w:cs="宋体"/>
          <w:b/>
          <w:bCs/>
          <w:spacing w:val="-2"/>
          <w:sz w:val="24"/>
          <w:szCs w:val="24"/>
        </w:rPr>
        <w:t>（一）基本情况表</w:t>
      </w:r>
      <w:bookmarkEnd w:id="61"/>
    </w:p>
    <w:p w14:paraId="65E19F26">
      <w:pPr>
        <w:keepNext w:val="0"/>
        <w:keepLines w:val="0"/>
        <w:pageBreakBefore w:val="0"/>
        <w:kinsoku/>
        <w:wordWrap/>
        <w:overflowPunct/>
        <w:topLinePunct w:val="0"/>
        <w:bidi w:val="0"/>
        <w:spacing w:line="73" w:lineRule="exact"/>
      </w:pPr>
    </w:p>
    <w:tbl>
      <w:tblPr>
        <w:tblStyle w:val="30"/>
        <w:tblW w:w="87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54"/>
        <w:gridCol w:w="1035"/>
        <w:gridCol w:w="1719"/>
        <w:gridCol w:w="1250"/>
        <w:gridCol w:w="2506"/>
      </w:tblGrid>
      <w:tr w14:paraId="574DA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2254" w:type="dxa"/>
            <w:vAlign w:val="top"/>
          </w:tcPr>
          <w:p w14:paraId="4029498F">
            <w:pPr>
              <w:pStyle w:val="31"/>
              <w:keepNext w:val="0"/>
              <w:keepLines w:val="0"/>
              <w:pageBreakBefore w:val="0"/>
              <w:kinsoku/>
              <w:wordWrap/>
              <w:overflowPunct/>
              <w:topLinePunct w:val="0"/>
              <w:bidi w:val="0"/>
              <w:spacing w:before="240" w:line="228" w:lineRule="auto"/>
              <w:ind w:left="603"/>
            </w:pPr>
            <w:r>
              <w:rPr>
                <w:spacing w:val="10"/>
              </w:rPr>
              <w:t>投标人名称</w:t>
            </w:r>
          </w:p>
        </w:tc>
        <w:tc>
          <w:tcPr>
            <w:tcW w:w="6510" w:type="dxa"/>
            <w:gridSpan w:val="4"/>
            <w:vAlign w:val="top"/>
          </w:tcPr>
          <w:p w14:paraId="2833BE7D">
            <w:pPr>
              <w:keepNext w:val="0"/>
              <w:keepLines w:val="0"/>
              <w:pageBreakBefore w:val="0"/>
              <w:kinsoku/>
              <w:wordWrap/>
              <w:overflowPunct/>
              <w:topLinePunct w:val="0"/>
              <w:bidi w:val="0"/>
              <w:rPr>
                <w:rFonts w:ascii="Arial"/>
                <w:sz w:val="21"/>
              </w:rPr>
            </w:pPr>
          </w:p>
        </w:tc>
      </w:tr>
      <w:tr w14:paraId="09569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254" w:type="dxa"/>
            <w:vAlign w:val="top"/>
          </w:tcPr>
          <w:p w14:paraId="27E2715A">
            <w:pPr>
              <w:pStyle w:val="31"/>
              <w:keepNext w:val="0"/>
              <w:keepLines w:val="0"/>
              <w:pageBreakBefore w:val="0"/>
              <w:kinsoku/>
              <w:wordWrap/>
              <w:overflowPunct/>
              <w:topLinePunct w:val="0"/>
              <w:bidi w:val="0"/>
              <w:spacing w:before="234" w:line="229" w:lineRule="auto"/>
              <w:ind w:left="706"/>
            </w:pPr>
            <w:r>
              <w:rPr>
                <w:spacing w:val="9"/>
              </w:rPr>
              <w:t>注册资金</w:t>
            </w:r>
          </w:p>
        </w:tc>
        <w:tc>
          <w:tcPr>
            <w:tcW w:w="2754" w:type="dxa"/>
            <w:gridSpan w:val="2"/>
            <w:vAlign w:val="top"/>
          </w:tcPr>
          <w:p w14:paraId="12F12A59">
            <w:pPr>
              <w:keepNext w:val="0"/>
              <w:keepLines w:val="0"/>
              <w:pageBreakBefore w:val="0"/>
              <w:kinsoku/>
              <w:wordWrap/>
              <w:overflowPunct/>
              <w:topLinePunct w:val="0"/>
              <w:bidi w:val="0"/>
              <w:rPr>
                <w:rFonts w:ascii="Arial"/>
                <w:sz w:val="21"/>
              </w:rPr>
            </w:pPr>
          </w:p>
        </w:tc>
        <w:tc>
          <w:tcPr>
            <w:tcW w:w="1250" w:type="dxa"/>
            <w:vAlign w:val="top"/>
          </w:tcPr>
          <w:p w14:paraId="1A0B1708">
            <w:pPr>
              <w:pStyle w:val="31"/>
              <w:keepNext w:val="0"/>
              <w:keepLines w:val="0"/>
              <w:pageBreakBefore w:val="0"/>
              <w:kinsoku/>
              <w:wordWrap/>
              <w:overflowPunct/>
              <w:topLinePunct w:val="0"/>
              <w:bidi w:val="0"/>
              <w:spacing w:before="234" w:line="229" w:lineRule="auto"/>
              <w:ind w:left="207"/>
            </w:pPr>
            <w:r>
              <w:rPr>
                <w:spacing w:val="9"/>
              </w:rPr>
              <w:t>成立时间</w:t>
            </w:r>
          </w:p>
        </w:tc>
        <w:tc>
          <w:tcPr>
            <w:tcW w:w="2506" w:type="dxa"/>
            <w:vAlign w:val="top"/>
          </w:tcPr>
          <w:p w14:paraId="2FA1698F">
            <w:pPr>
              <w:keepNext w:val="0"/>
              <w:keepLines w:val="0"/>
              <w:pageBreakBefore w:val="0"/>
              <w:kinsoku/>
              <w:wordWrap/>
              <w:overflowPunct/>
              <w:topLinePunct w:val="0"/>
              <w:bidi w:val="0"/>
              <w:rPr>
                <w:rFonts w:ascii="Arial"/>
                <w:sz w:val="21"/>
              </w:rPr>
            </w:pPr>
          </w:p>
        </w:tc>
      </w:tr>
      <w:tr w14:paraId="5A615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254" w:type="dxa"/>
            <w:vAlign w:val="top"/>
          </w:tcPr>
          <w:p w14:paraId="75A51541">
            <w:pPr>
              <w:pStyle w:val="31"/>
              <w:keepNext w:val="0"/>
              <w:keepLines w:val="0"/>
              <w:pageBreakBefore w:val="0"/>
              <w:kinsoku/>
              <w:wordWrap/>
              <w:overflowPunct/>
              <w:topLinePunct w:val="0"/>
              <w:bidi w:val="0"/>
              <w:spacing w:before="236" w:line="229" w:lineRule="auto"/>
              <w:ind w:left="706"/>
            </w:pPr>
            <w:r>
              <w:rPr>
                <w:spacing w:val="9"/>
              </w:rPr>
              <w:t>注册地址</w:t>
            </w:r>
          </w:p>
        </w:tc>
        <w:tc>
          <w:tcPr>
            <w:tcW w:w="6510" w:type="dxa"/>
            <w:gridSpan w:val="4"/>
            <w:vAlign w:val="top"/>
          </w:tcPr>
          <w:p w14:paraId="2F429BA3">
            <w:pPr>
              <w:keepNext w:val="0"/>
              <w:keepLines w:val="0"/>
              <w:pageBreakBefore w:val="0"/>
              <w:kinsoku/>
              <w:wordWrap/>
              <w:overflowPunct/>
              <w:topLinePunct w:val="0"/>
              <w:bidi w:val="0"/>
              <w:rPr>
                <w:rFonts w:ascii="Arial"/>
                <w:sz w:val="21"/>
              </w:rPr>
            </w:pPr>
          </w:p>
        </w:tc>
      </w:tr>
      <w:tr w14:paraId="4DE28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254" w:type="dxa"/>
            <w:vAlign w:val="top"/>
          </w:tcPr>
          <w:p w14:paraId="3FB2D2E3">
            <w:pPr>
              <w:pStyle w:val="31"/>
              <w:keepNext w:val="0"/>
              <w:keepLines w:val="0"/>
              <w:pageBreakBefore w:val="0"/>
              <w:kinsoku/>
              <w:wordWrap/>
              <w:overflowPunct/>
              <w:topLinePunct w:val="0"/>
              <w:bidi w:val="0"/>
              <w:spacing w:before="236" w:line="228" w:lineRule="auto"/>
              <w:ind w:left="721"/>
            </w:pPr>
            <w:r>
              <w:rPr>
                <w:spacing w:val="5"/>
              </w:rPr>
              <w:t>邮政编码</w:t>
            </w:r>
          </w:p>
        </w:tc>
        <w:tc>
          <w:tcPr>
            <w:tcW w:w="2754" w:type="dxa"/>
            <w:gridSpan w:val="2"/>
            <w:vAlign w:val="top"/>
          </w:tcPr>
          <w:p w14:paraId="1C19468C">
            <w:pPr>
              <w:keepNext w:val="0"/>
              <w:keepLines w:val="0"/>
              <w:pageBreakBefore w:val="0"/>
              <w:kinsoku/>
              <w:wordWrap/>
              <w:overflowPunct/>
              <w:topLinePunct w:val="0"/>
              <w:bidi w:val="0"/>
              <w:rPr>
                <w:rFonts w:ascii="Arial"/>
                <w:sz w:val="21"/>
              </w:rPr>
            </w:pPr>
          </w:p>
        </w:tc>
        <w:tc>
          <w:tcPr>
            <w:tcW w:w="1250" w:type="dxa"/>
            <w:vAlign w:val="top"/>
          </w:tcPr>
          <w:p w14:paraId="52584755">
            <w:pPr>
              <w:pStyle w:val="31"/>
              <w:keepNext w:val="0"/>
              <w:keepLines w:val="0"/>
              <w:pageBreakBefore w:val="0"/>
              <w:kinsoku/>
              <w:wordWrap/>
              <w:overflowPunct/>
              <w:topLinePunct w:val="0"/>
              <w:bidi w:val="0"/>
              <w:spacing w:before="236" w:line="228" w:lineRule="auto"/>
              <w:ind w:left="213"/>
            </w:pPr>
            <w:r>
              <w:rPr>
                <w:spacing w:val="7"/>
              </w:rPr>
              <w:t>员工总数</w:t>
            </w:r>
          </w:p>
        </w:tc>
        <w:tc>
          <w:tcPr>
            <w:tcW w:w="2506" w:type="dxa"/>
            <w:vAlign w:val="top"/>
          </w:tcPr>
          <w:p w14:paraId="7B9EEA82">
            <w:pPr>
              <w:keepNext w:val="0"/>
              <w:keepLines w:val="0"/>
              <w:pageBreakBefore w:val="0"/>
              <w:kinsoku/>
              <w:wordWrap/>
              <w:overflowPunct/>
              <w:topLinePunct w:val="0"/>
              <w:bidi w:val="0"/>
              <w:rPr>
                <w:rFonts w:ascii="Arial"/>
                <w:sz w:val="21"/>
              </w:rPr>
            </w:pPr>
          </w:p>
        </w:tc>
      </w:tr>
      <w:tr w14:paraId="25277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254" w:type="dxa"/>
            <w:vMerge w:val="restart"/>
            <w:tcBorders>
              <w:bottom w:val="nil"/>
            </w:tcBorders>
            <w:vAlign w:val="top"/>
          </w:tcPr>
          <w:p w14:paraId="1B0F9F39">
            <w:pPr>
              <w:keepNext w:val="0"/>
              <w:keepLines w:val="0"/>
              <w:pageBreakBefore w:val="0"/>
              <w:kinsoku/>
              <w:wordWrap/>
              <w:overflowPunct/>
              <w:topLinePunct w:val="0"/>
              <w:bidi w:val="0"/>
              <w:spacing w:line="257" w:lineRule="auto"/>
              <w:rPr>
                <w:rFonts w:ascii="Arial"/>
                <w:color w:val="000000" w:themeColor="text1"/>
                <w:sz w:val="21"/>
                <w14:textFill>
                  <w14:solidFill>
                    <w14:schemeClr w14:val="tx1"/>
                  </w14:solidFill>
                </w14:textFill>
              </w:rPr>
            </w:pPr>
          </w:p>
          <w:p w14:paraId="78BF9F86">
            <w:pPr>
              <w:keepNext w:val="0"/>
              <w:keepLines w:val="0"/>
              <w:pageBreakBefore w:val="0"/>
              <w:kinsoku/>
              <w:wordWrap/>
              <w:overflowPunct/>
              <w:topLinePunct w:val="0"/>
              <w:bidi w:val="0"/>
              <w:spacing w:line="258" w:lineRule="auto"/>
              <w:rPr>
                <w:rFonts w:ascii="Arial"/>
                <w:color w:val="000000" w:themeColor="text1"/>
                <w:sz w:val="21"/>
                <w14:textFill>
                  <w14:solidFill>
                    <w14:schemeClr w14:val="tx1"/>
                  </w14:solidFill>
                </w14:textFill>
              </w:rPr>
            </w:pPr>
          </w:p>
          <w:p w14:paraId="6890BABF">
            <w:pPr>
              <w:pStyle w:val="31"/>
              <w:keepNext w:val="0"/>
              <w:keepLines w:val="0"/>
              <w:pageBreakBefore w:val="0"/>
              <w:kinsoku/>
              <w:wordWrap/>
              <w:overflowPunct/>
              <w:topLinePunct w:val="0"/>
              <w:bidi w:val="0"/>
              <w:spacing w:before="65" w:line="229" w:lineRule="auto"/>
              <w:ind w:left="706"/>
              <w:rPr>
                <w:color w:val="000000" w:themeColor="text1"/>
                <w14:textFill>
                  <w14:solidFill>
                    <w14:schemeClr w14:val="tx1"/>
                  </w14:solidFill>
                </w14:textFill>
              </w:rPr>
            </w:pPr>
            <w:r>
              <w:rPr>
                <w:color w:val="000000" w:themeColor="text1"/>
                <w:spacing w:val="9"/>
                <w14:textFill>
                  <w14:solidFill>
                    <w14:schemeClr w14:val="tx1"/>
                  </w14:solidFill>
                </w14:textFill>
              </w:rPr>
              <w:t>联系方式</w:t>
            </w:r>
          </w:p>
        </w:tc>
        <w:tc>
          <w:tcPr>
            <w:tcW w:w="1035" w:type="dxa"/>
            <w:vAlign w:val="top"/>
          </w:tcPr>
          <w:p w14:paraId="0B327D3A">
            <w:pPr>
              <w:pStyle w:val="31"/>
              <w:keepNext w:val="0"/>
              <w:keepLines w:val="0"/>
              <w:pageBreakBefore w:val="0"/>
              <w:kinsoku/>
              <w:wordWrap/>
              <w:overflowPunct/>
              <w:topLinePunct w:val="0"/>
              <w:bidi w:val="0"/>
              <w:spacing w:before="237" w:line="230" w:lineRule="auto"/>
              <w:ind w:left="202"/>
              <w:rPr>
                <w:color w:val="000000" w:themeColor="text1"/>
                <w14:textFill>
                  <w14:solidFill>
                    <w14:schemeClr w14:val="tx1"/>
                  </w14:solidFill>
                </w14:textFill>
              </w:rPr>
            </w:pPr>
            <w:r>
              <w:rPr>
                <w:color w:val="000000" w:themeColor="text1"/>
                <w:spacing w:val="8"/>
                <w14:textFill>
                  <w14:solidFill>
                    <w14:schemeClr w14:val="tx1"/>
                  </w14:solidFill>
                </w14:textFill>
              </w:rPr>
              <w:t>联系人</w:t>
            </w:r>
          </w:p>
        </w:tc>
        <w:tc>
          <w:tcPr>
            <w:tcW w:w="1719" w:type="dxa"/>
            <w:vAlign w:val="top"/>
          </w:tcPr>
          <w:p w14:paraId="50379A41">
            <w:pPr>
              <w:keepNext w:val="0"/>
              <w:keepLines w:val="0"/>
              <w:pageBreakBefore w:val="0"/>
              <w:kinsoku/>
              <w:wordWrap/>
              <w:overflowPunct/>
              <w:topLinePunct w:val="0"/>
              <w:bidi w:val="0"/>
              <w:rPr>
                <w:rFonts w:ascii="Arial"/>
                <w:color w:val="000000" w:themeColor="text1"/>
                <w:sz w:val="21"/>
                <w14:textFill>
                  <w14:solidFill>
                    <w14:schemeClr w14:val="tx1"/>
                  </w14:solidFill>
                </w14:textFill>
              </w:rPr>
            </w:pPr>
          </w:p>
        </w:tc>
        <w:tc>
          <w:tcPr>
            <w:tcW w:w="1250" w:type="dxa"/>
            <w:vAlign w:val="top"/>
          </w:tcPr>
          <w:p w14:paraId="6819BD9A">
            <w:pPr>
              <w:pStyle w:val="31"/>
              <w:keepNext w:val="0"/>
              <w:keepLines w:val="0"/>
              <w:pageBreakBefore w:val="0"/>
              <w:kinsoku/>
              <w:wordWrap/>
              <w:overflowPunct/>
              <w:topLinePunct w:val="0"/>
              <w:bidi w:val="0"/>
              <w:spacing w:before="238" w:line="228" w:lineRule="auto"/>
              <w:ind w:left="223"/>
              <w:rPr>
                <w:rFonts w:hint="eastAsia" w:eastAsia="宋体"/>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传  真</w:t>
            </w:r>
          </w:p>
        </w:tc>
        <w:tc>
          <w:tcPr>
            <w:tcW w:w="2506" w:type="dxa"/>
            <w:vAlign w:val="top"/>
          </w:tcPr>
          <w:p w14:paraId="35D5E97D">
            <w:pPr>
              <w:keepNext w:val="0"/>
              <w:keepLines w:val="0"/>
              <w:pageBreakBefore w:val="0"/>
              <w:kinsoku/>
              <w:wordWrap/>
              <w:overflowPunct/>
              <w:topLinePunct w:val="0"/>
              <w:bidi w:val="0"/>
              <w:rPr>
                <w:rFonts w:ascii="Arial"/>
                <w:color w:val="000000" w:themeColor="text1"/>
                <w:sz w:val="21"/>
                <w14:textFill>
                  <w14:solidFill>
                    <w14:schemeClr w14:val="tx1"/>
                  </w14:solidFill>
                </w14:textFill>
              </w:rPr>
            </w:pPr>
          </w:p>
        </w:tc>
      </w:tr>
      <w:tr w14:paraId="01736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254" w:type="dxa"/>
            <w:vMerge w:val="continue"/>
            <w:tcBorders>
              <w:top w:val="nil"/>
            </w:tcBorders>
            <w:vAlign w:val="top"/>
          </w:tcPr>
          <w:p w14:paraId="36E9A8CC">
            <w:pPr>
              <w:keepNext w:val="0"/>
              <w:keepLines w:val="0"/>
              <w:pageBreakBefore w:val="0"/>
              <w:kinsoku/>
              <w:wordWrap/>
              <w:overflowPunct/>
              <w:topLinePunct w:val="0"/>
              <w:bidi w:val="0"/>
              <w:rPr>
                <w:rFonts w:ascii="Arial"/>
                <w:color w:val="000000" w:themeColor="text1"/>
                <w:sz w:val="21"/>
                <w14:textFill>
                  <w14:solidFill>
                    <w14:schemeClr w14:val="tx1"/>
                  </w14:solidFill>
                </w14:textFill>
              </w:rPr>
            </w:pPr>
          </w:p>
        </w:tc>
        <w:tc>
          <w:tcPr>
            <w:tcW w:w="1035" w:type="dxa"/>
            <w:vAlign w:val="top"/>
          </w:tcPr>
          <w:p w14:paraId="49B479C2">
            <w:pPr>
              <w:pStyle w:val="31"/>
              <w:keepNext w:val="0"/>
              <w:keepLines w:val="0"/>
              <w:pageBreakBefore w:val="0"/>
              <w:kinsoku/>
              <w:wordWrap/>
              <w:overflowPunct/>
              <w:topLinePunct w:val="0"/>
              <w:bidi w:val="0"/>
              <w:spacing w:before="236" w:line="228" w:lineRule="auto"/>
              <w:ind w:left="325"/>
              <w:rPr>
                <w:color w:val="000000" w:themeColor="text1"/>
                <w14:textFill>
                  <w14:solidFill>
                    <w14:schemeClr w14:val="tx1"/>
                  </w14:solidFill>
                </w14:textFill>
              </w:rPr>
            </w:pPr>
            <w:r>
              <w:rPr>
                <w:color w:val="000000" w:themeColor="text1"/>
                <w:spacing w:val="-1"/>
                <w14:textFill>
                  <w14:solidFill>
                    <w14:schemeClr w14:val="tx1"/>
                  </w14:solidFill>
                </w14:textFill>
              </w:rPr>
              <w:t>邮箱</w:t>
            </w:r>
          </w:p>
        </w:tc>
        <w:tc>
          <w:tcPr>
            <w:tcW w:w="1719" w:type="dxa"/>
            <w:vAlign w:val="top"/>
          </w:tcPr>
          <w:p w14:paraId="43BFF851">
            <w:pPr>
              <w:keepNext w:val="0"/>
              <w:keepLines w:val="0"/>
              <w:pageBreakBefore w:val="0"/>
              <w:kinsoku/>
              <w:wordWrap/>
              <w:overflowPunct/>
              <w:topLinePunct w:val="0"/>
              <w:bidi w:val="0"/>
              <w:rPr>
                <w:rFonts w:ascii="Arial"/>
                <w:color w:val="000000" w:themeColor="text1"/>
                <w:sz w:val="21"/>
                <w14:textFill>
                  <w14:solidFill>
                    <w14:schemeClr w14:val="tx1"/>
                  </w14:solidFill>
                </w14:textFill>
              </w:rPr>
            </w:pPr>
          </w:p>
        </w:tc>
        <w:tc>
          <w:tcPr>
            <w:tcW w:w="1250" w:type="dxa"/>
            <w:vAlign w:val="top"/>
          </w:tcPr>
          <w:p w14:paraId="537778AB">
            <w:pPr>
              <w:pStyle w:val="31"/>
              <w:keepNext w:val="0"/>
              <w:keepLines w:val="0"/>
              <w:pageBreakBefore w:val="0"/>
              <w:kinsoku/>
              <w:wordWrap/>
              <w:overflowPunct/>
              <w:topLinePunct w:val="0"/>
              <w:bidi w:val="0"/>
              <w:spacing w:before="236" w:line="227" w:lineRule="auto"/>
              <w:ind w:left="310"/>
              <w:rPr>
                <w:color w:val="000000" w:themeColor="text1"/>
                <w14:textFill>
                  <w14:solidFill>
                    <w14:schemeClr w14:val="tx1"/>
                  </w14:solidFill>
                </w14:textFill>
              </w:rPr>
            </w:pPr>
            <w:r>
              <w:rPr>
                <w:color w:val="000000" w:themeColor="text1"/>
                <w:spacing w:val="8"/>
                <w14:textFill>
                  <w14:solidFill>
                    <w14:schemeClr w14:val="tx1"/>
                  </w14:solidFill>
                </w14:textFill>
              </w:rPr>
              <w:t>手机号</w:t>
            </w:r>
          </w:p>
        </w:tc>
        <w:tc>
          <w:tcPr>
            <w:tcW w:w="2506" w:type="dxa"/>
            <w:vAlign w:val="top"/>
          </w:tcPr>
          <w:p w14:paraId="6624F983">
            <w:pPr>
              <w:keepNext w:val="0"/>
              <w:keepLines w:val="0"/>
              <w:pageBreakBefore w:val="0"/>
              <w:kinsoku/>
              <w:wordWrap/>
              <w:overflowPunct/>
              <w:topLinePunct w:val="0"/>
              <w:bidi w:val="0"/>
              <w:rPr>
                <w:rFonts w:ascii="Arial"/>
                <w:color w:val="000000" w:themeColor="text1"/>
                <w:sz w:val="21"/>
                <w14:textFill>
                  <w14:solidFill>
                    <w14:schemeClr w14:val="tx1"/>
                  </w14:solidFill>
                </w14:textFill>
              </w:rPr>
            </w:pPr>
          </w:p>
        </w:tc>
      </w:tr>
      <w:tr w14:paraId="03543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254" w:type="dxa"/>
            <w:vAlign w:val="top"/>
          </w:tcPr>
          <w:p w14:paraId="3BB51F23">
            <w:pPr>
              <w:pStyle w:val="31"/>
              <w:keepNext w:val="0"/>
              <w:keepLines w:val="0"/>
              <w:pageBreakBefore w:val="0"/>
              <w:kinsoku/>
              <w:wordWrap/>
              <w:overflowPunct/>
              <w:topLinePunct w:val="0"/>
              <w:bidi w:val="0"/>
              <w:spacing w:before="237" w:line="227" w:lineRule="auto"/>
              <w:ind w:left="708"/>
              <w:rPr>
                <w:color w:val="000000" w:themeColor="text1"/>
                <w14:textFill>
                  <w14:solidFill>
                    <w14:schemeClr w14:val="tx1"/>
                  </w14:solidFill>
                </w14:textFill>
              </w:rPr>
            </w:pPr>
            <w:r>
              <w:rPr>
                <w:rFonts w:hint="eastAsia"/>
                <w:color w:val="000000" w:themeColor="text1"/>
                <w14:textFill>
                  <w14:solidFill>
                    <w14:schemeClr w14:val="tx1"/>
                  </w14:solidFill>
                </w14:textFill>
              </w:rPr>
              <w:t>营业执照号</w:t>
            </w:r>
          </w:p>
        </w:tc>
        <w:tc>
          <w:tcPr>
            <w:tcW w:w="6510" w:type="dxa"/>
            <w:gridSpan w:val="4"/>
            <w:vAlign w:val="top"/>
          </w:tcPr>
          <w:p w14:paraId="53FD520B">
            <w:pPr>
              <w:keepNext w:val="0"/>
              <w:keepLines w:val="0"/>
              <w:pageBreakBefore w:val="0"/>
              <w:kinsoku/>
              <w:wordWrap/>
              <w:overflowPunct/>
              <w:topLinePunct w:val="0"/>
              <w:bidi w:val="0"/>
              <w:rPr>
                <w:rFonts w:ascii="Arial"/>
                <w:color w:val="000000" w:themeColor="text1"/>
                <w:sz w:val="21"/>
                <w14:textFill>
                  <w14:solidFill>
                    <w14:schemeClr w14:val="tx1"/>
                  </w14:solidFill>
                </w14:textFill>
              </w:rPr>
            </w:pPr>
          </w:p>
        </w:tc>
      </w:tr>
      <w:tr w14:paraId="3CA17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254" w:type="dxa"/>
            <w:vAlign w:val="top"/>
          </w:tcPr>
          <w:p w14:paraId="1437ADA7">
            <w:pPr>
              <w:pStyle w:val="31"/>
              <w:keepNext w:val="0"/>
              <w:keepLines w:val="0"/>
              <w:pageBreakBefore w:val="0"/>
              <w:kinsoku/>
              <w:wordWrap/>
              <w:overflowPunct/>
              <w:topLinePunct w:val="0"/>
              <w:bidi w:val="0"/>
              <w:spacing w:before="236" w:line="227" w:lineRule="auto"/>
              <w:ind w:left="281"/>
            </w:pPr>
            <w:r>
              <w:rPr>
                <w:spacing w:val="11"/>
              </w:rPr>
              <w:t>基本账户开户银行</w:t>
            </w:r>
          </w:p>
        </w:tc>
        <w:tc>
          <w:tcPr>
            <w:tcW w:w="6510" w:type="dxa"/>
            <w:gridSpan w:val="4"/>
            <w:vAlign w:val="top"/>
          </w:tcPr>
          <w:p w14:paraId="5F991604">
            <w:pPr>
              <w:keepNext w:val="0"/>
              <w:keepLines w:val="0"/>
              <w:pageBreakBefore w:val="0"/>
              <w:kinsoku/>
              <w:wordWrap/>
              <w:overflowPunct/>
              <w:topLinePunct w:val="0"/>
              <w:bidi w:val="0"/>
              <w:rPr>
                <w:rFonts w:ascii="Arial"/>
                <w:sz w:val="21"/>
              </w:rPr>
            </w:pPr>
          </w:p>
        </w:tc>
      </w:tr>
      <w:tr w14:paraId="6DAF6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254" w:type="dxa"/>
            <w:vAlign w:val="top"/>
          </w:tcPr>
          <w:p w14:paraId="2F4757DA">
            <w:pPr>
              <w:pStyle w:val="31"/>
              <w:keepNext w:val="0"/>
              <w:keepLines w:val="0"/>
              <w:pageBreakBefore w:val="0"/>
              <w:kinsoku/>
              <w:wordWrap/>
              <w:overflowPunct/>
              <w:topLinePunct w:val="0"/>
              <w:bidi w:val="0"/>
              <w:spacing w:before="237" w:line="227" w:lineRule="auto"/>
              <w:ind w:left="281"/>
            </w:pPr>
            <w:r>
              <w:rPr>
                <w:spacing w:val="11"/>
              </w:rPr>
              <w:t>基本账户银行账号</w:t>
            </w:r>
          </w:p>
        </w:tc>
        <w:tc>
          <w:tcPr>
            <w:tcW w:w="6510" w:type="dxa"/>
            <w:gridSpan w:val="4"/>
            <w:vAlign w:val="top"/>
          </w:tcPr>
          <w:p w14:paraId="67189D70">
            <w:pPr>
              <w:keepNext w:val="0"/>
              <w:keepLines w:val="0"/>
              <w:pageBreakBefore w:val="0"/>
              <w:kinsoku/>
              <w:wordWrap/>
              <w:overflowPunct/>
              <w:topLinePunct w:val="0"/>
              <w:bidi w:val="0"/>
              <w:rPr>
                <w:rFonts w:ascii="Arial"/>
                <w:sz w:val="21"/>
              </w:rPr>
            </w:pPr>
          </w:p>
        </w:tc>
      </w:tr>
      <w:tr w14:paraId="1C839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6" w:hRule="atLeast"/>
        </w:trPr>
        <w:tc>
          <w:tcPr>
            <w:tcW w:w="2254" w:type="dxa"/>
            <w:vAlign w:val="top"/>
          </w:tcPr>
          <w:p w14:paraId="4BA3CDB0">
            <w:pPr>
              <w:pStyle w:val="31"/>
              <w:keepNext w:val="0"/>
              <w:keepLines w:val="0"/>
              <w:pageBreakBefore w:val="0"/>
              <w:kinsoku/>
              <w:wordWrap/>
              <w:overflowPunct/>
              <w:topLinePunct w:val="0"/>
              <w:bidi w:val="0"/>
              <w:spacing w:before="136" w:line="228" w:lineRule="auto"/>
              <w:ind w:left="175"/>
            </w:pPr>
            <w:r>
              <w:rPr>
                <w:spacing w:val="11"/>
              </w:rPr>
              <w:t>投标人关联企业情况</w:t>
            </w:r>
          </w:p>
          <w:p w14:paraId="6939C137">
            <w:pPr>
              <w:pStyle w:val="31"/>
              <w:keepNext w:val="0"/>
              <w:keepLines w:val="0"/>
              <w:pageBreakBefore w:val="0"/>
              <w:kinsoku/>
              <w:wordWrap/>
              <w:overflowPunct/>
              <w:topLinePunct w:val="0"/>
              <w:bidi w:val="0"/>
              <w:spacing w:before="228" w:line="228" w:lineRule="auto"/>
              <w:ind w:left="183"/>
            </w:pPr>
            <w:r>
              <w:rPr>
                <w:spacing w:val="10"/>
              </w:rPr>
              <w:t>（包括但不限于与投</w:t>
            </w:r>
          </w:p>
          <w:p w14:paraId="2A29061D">
            <w:pPr>
              <w:pStyle w:val="31"/>
              <w:keepNext w:val="0"/>
              <w:keepLines w:val="0"/>
              <w:pageBreakBefore w:val="0"/>
              <w:kinsoku/>
              <w:wordWrap/>
              <w:overflowPunct/>
              <w:topLinePunct w:val="0"/>
              <w:bidi w:val="0"/>
              <w:spacing w:before="227" w:line="228" w:lineRule="auto"/>
              <w:ind w:left="116"/>
            </w:pPr>
            <w:r>
              <w:rPr>
                <w:spacing w:val="2"/>
              </w:rPr>
              <w:t>标人法定代表人（单位</w:t>
            </w:r>
          </w:p>
          <w:p w14:paraId="0AFA4559">
            <w:pPr>
              <w:pStyle w:val="31"/>
              <w:keepNext w:val="0"/>
              <w:keepLines w:val="0"/>
              <w:pageBreakBefore w:val="0"/>
              <w:kinsoku/>
              <w:wordWrap/>
              <w:overflowPunct/>
              <w:topLinePunct w:val="0"/>
              <w:bidi w:val="0"/>
              <w:spacing w:before="228" w:line="228" w:lineRule="auto"/>
              <w:ind w:left="123"/>
            </w:pPr>
            <w:r>
              <w:rPr>
                <w:spacing w:val="1"/>
              </w:rPr>
              <w:t>负责人）为同一人或者</w:t>
            </w:r>
          </w:p>
          <w:p w14:paraId="469E9A54">
            <w:pPr>
              <w:pStyle w:val="31"/>
              <w:keepNext w:val="0"/>
              <w:keepLines w:val="0"/>
              <w:pageBreakBefore w:val="0"/>
              <w:kinsoku/>
              <w:wordWrap/>
              <w:overflowPunct/>
              <w:topLinePunct w:val="0"/>
              <w:bidi w:val="0"/>
              <w:spacing w:before="228" w:line="228" w:lineRule="auto"/>
              <w:ind w:left="114"/>
            </w:pPr>
            <w:r>
              <w:rPr>
                <w:spacing w:val="2"/>
              </w:rPr>
              <w:t>存在控股、管理关系的</w:t>
            </w:r>
          </w:p>
          <w:p w14:paraId="504E1F3F">
            <w:pPr>
              <w:pStyle w:val="31"/>
              <w:keepNext w:val="0"/>
              <w:keepLines w:val="0"/>
              <w:pageBreakBefore w:val="0"/>
              <w:kinsoku/>
              <w:wordWrap/>
              <w:overflowPunct/>
              <w:topLinePunct w:val="0"/>
              <w:bidi w:val="0"/>
              <w:spacing w:before="228" w:line="228" w:lineRule="auto"/>
              <w:ind w:left="603"/>
            </w:pPr>
            <w:r>
              <w:rPr>
                <w:spacing w:val="7"/>
              </w:rPr>
              <w:t>不同单位）</w:t>
            </w:r>
          </w:p>
        </w:tc>
        <w:tc>
          <w:tcPr>
            <w:tcW w:w="6510" w:type="dxa"/>
            <w:gridSpan w:val="4"/>
            <w:vAlign w:val="top"/>
          </w:tcPr>
          <w:p w14:paraId="42673B5B">
            <w:pPr>
              <w:keepNext w:val="0"/>
              <w:keepLines w:val="0"/>
              <w:pageBreakBefore w:val="0"/>
              <w:kinsoku/>
              <w:wordWrap/>
              <w:overflowPunct/>
              <w:topLinePunct w:val="0"/>
              <w:bidi w:val="0"/>
              <w:rPr>
                <w:rFonts w:ascii="Arial"/>
                <w:sz w:val="21"/>
              </w:rPr>
            </w:pPr>
          </w:p>
        </w:tc>
      </w:tr>
      <w:tr w14:paraId="4AF73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2254" w:type="dxa"/>
            <w:vAlign w:val="top"/>
          </w:tcPr>
          <w:p w14:paraId="090F064B">
            <w:pPr>
              <w:pStyle w:val="31"/>
              <w:keepNext w:val="0"/>
              <w:keepLines w:val="0"/>
              <w:pageBreakBefore w:val="0"/>
              <w:kinsoku/>
              <w:wordWrap/>
              <w:overflowPunct/>
              <w:topLinePunct w:val="0"/>
              <w:bidi w:val="0"/>
              <w:spacing w:before="238" w:line="229" w:lineRule="auto"/>
              <w:ind w:left="922"/>
              <w:outlineLvl w:val="2"/>
            </w:pPr>
            <w:bookmarkStart w:id="62" w:name="_Toc15920"/>
            <w:bookmarkStart w:id="63" w:name="_Toc1809"/>
            <w:r>
              <w:rPr>
                <w:spacing w:val="5"/>
              </w:rPr>
              <w:t>备注</w:t>
            </w:r>
            <w:bookmarkEnd w:id="62"/>
            <w:bookmarkEnd w:id="63"/>
          </w:p>
        </w:tc>
        <w:tc>
          <w:tcPr>
            <w:tcW w:w="6510" w:type="dxa"/>
            <w:gridSpan w:val="4"/>
            <w:vAlign w:val="top"/>
          </w:tcPr>
          <w:p w14:paraId="188BB995">
            <w:pPr>
              <w:keepNext w:val="0"/>
              <w:keepLines w:val="0"/>
              <w:pageBreakBefore w:val="0"/>
              <w:kinsoku/>
              <w:wordWrap/>
              <w:overflowPunct/>
              <w:topLinePunct w:val="0"/>
              <w:bidi w:val="0"/>
              <w:rPr>
                <w:rFonts w:ascii="Arial"/>
                <w:sz w:val="21"/>
              </w:rPr>
            </w:pPr>
          </w:p>
        </w:tc>
      </w:tr>
    </w:tbl>
    <w:p w14:paraId="7BE18818">
      <w:pPr>
        <w:pStyle w:val="4"/>
        <w:keepNext w:val="0"/>
        <w:keepLines w:val="0"/>
        <w:pageBreakBefore w:val="0"/>
        <w:kinsoku/>
        <w:wordWrap/>
        <w:overflowPunct/>
        <w:topLinePunct w:val="0"/>
        <w:bidi w:val="0"/>
      </w:pPr>
    </w:p>
    <w:p w14:paraId="5AEB99C1">
      <w:pPr>
        <w:keepNext w:val="0"/>
        <w:keepLines w:val="0"/>
        <w:pageBreakBefore w:val="0"/>
        <w:kinsoku/>
        <w:wordWrap/>
        <w:overflowPunct/>
        <w:topLinePunct w:val="0"/>
        <w:bidi w:val="0"/>
        <w:spacing w:before="160" w:line="219" w:lineRule="auto"/>
        <w:ind w:left="3090"/>
        <w:outlineLvl w:val="2"/>
        <w:rPr>
          <w:rFonts w:ascii="宋体" w:hAnsi="宋体" w:eastAsia="宋体" w:cs="宋体"/>
          <w:sz w:val="24"/>
          <w:szCs w:val="24"/>
        </w:rPr>
      </w:pPr>
      <w:bookmarkStart w:id="64" w:name="bookmark41"/>
      <w:bookmarkEnd w:id="64"/>
      <w:bookmarkStart w:id="65" w:name="_Toc5079"/>
      <w:r>
        <w:rPr>
          <w:rFonts w:ascii="宋体" w:hAnsi="宋体" w:eastAsia="宋体" w:cs="宋体"/>
          <w:b/>
          <w:bCs/>
          <w:spacing w:val="-2"/>
          <w:sz w:val="24"/>
          <w:szCs w:val="24"/>
        </w:rPr>
        <w:br w:type="page"/>
      </w:r>
      <w:r>
        <w:rPr>
          <w:rFonts w:ascii="宋体" w:hAnsi="宋体" w:eastAsia="宋体" w:cs="宋体"/>
          <w:b/>
          <w:bCs/>
          <w:spacing w:val="-2"/>
          <w:sz w:val="24"/>
          <w:szCs w:val="24"/>
        </w:rPr>
        <w:t>（二）资格证明材料</w:t>
      </w:r>
      <w:bookmarkEnd w:id="65"/>
    </w:p>
    <w:p w14:paraId="37754E4C">
      <w:pPr>
        <w:keepNext w:val="0"/>
        <w:keepLines w:val="0"/>
        <w:pageBreakBefore w:val="0"/>
        <w:kinsoku/>
        <w:wordWrap/>
        <w:overflowPunct/>
        <w:topLinePunct w:val="0"/>
        <w:bidi w:val="0"/>
        <w:spacing w:before="205" w:line="227" w:lineRule="auto"/>
        <w:ind w:left="1119"/>
        <w:rPr>
          <w:rFonts w:ascii="宋体" w:hAnsi="宋体" w:eastAsia="宋体" w:cs="宋体"/>
          <w:sz w:val="20"/>
          <w:szCs w:val="20"/>
        </w:rPr>
      </w:pPr>
      <w:r>
        <w:rPr>
          <w:rFonts w:ascii="宋体" w:hAnsi="宋体" w:eastAsia="宋体" w:cs="宋体"/>
          <w:spacing w:val="9"/>
          <w:sz w:val="20"/>
          <w:szCs w:val="20"/>
        </w:rPr>
        <w:t>根据招标文件第三章评标办法中资格性审查表规定的内容进行提供</w:t>
      </w:r>
    </w:p>
    <w:p w14:paraId="5DE5A120">
      <w:pPr>
        <w:keepNext w:val="0"/>
        <w:keepLines w:val="0"/>
        <w:pageBreakBefore w:val="0"/>
        <w:kinsoku/>
        <w:wordWrap/>
        <w:overflowPunct/>
        <w:topLinePunct w:val="0"/>
        <w:bidi w:val="0"/>
        <w:spacing w:before="160" w:line="219" w:lineRule="auto"/>
        <w:ind w:left="2406"/>
        <w:outlineLvl w:val="2"/>
        <w:rPr>
          <w:rFonts w:ascii="宋体" w:hAnsi="宋体" w:eastAsia="宋体" w:cs="宋体"/>
          <w:sz w:val="24"/>
          <w:szCs w:val="24"/>
        </w:rPr>
      </w:pPr>
      <w:bookmarkStart w:id="66" w:name="bookmark42"/>
      <w:bookmarkEnd w:id="66"/>
      <w:bookmarkStart w:id="67" w:name="bookmark43"/>
      <w:bookmarkEnd w:id="67"/>
      <w:bookmarkStart w:id="68" w:name="_Toc13461"/>
      <w:r>
        <w:rPr>
          <w:rFonts w:ascii="宋体" w:hAnsi="宋体" w:eastAsia="宋体" w:cs="宋体"/>
          <w:b/>
          <w:bCs/>
          <w:sz w:val="24"/>
          <w:szCs w:val="24"/>
        </w:rPr>
        <w:br w:type="page"/>
      </w:r>
      <w:r>
        <w:rPr>
          <w:rFonts w:ascii="宋体" w:hAnsi="宋体" w:eastAsia="宋体" w:cs="宋体"/>
          <w:b/>
          <w:bCs/>
          <w:sz w:val="24"/>
          <w:szCs w:val="24"/>
        </w:rPr>
        <w:t>（三）享受政府采购政策扶持的证明材料</w:t>
      </w:r>
      <w:bookmarkEnd w:id="68"/>
    </w:p>
    <w:p w14:paraId="028AEB15">
      <w:pPr>
        <w:keepNext w:val="0"/>
        <w:keepLines w:val="0"/>
        <w:pageBreakBefore w:val="0"/>
        <w:kinsoku/>
        <w:wordWrap/>
        <w:overflowPunct/>
        <w:topLinePunct w:val="0"/>
        <w:bidi w:val="0"/>
        <w:spacing w:before="191" w:line="219" w:lineRule="auto"/>
        <w:ind w:left="2895"/>
        <w:rPr>
          <w:rFonts w:ascii="宋体" w:hAnsi="宋体" w:eastAsia="宋体" w:cs="宋体"/>
          <w:sz w:val="24"/>
          <w:szCs w:val="24"/>
        </w:rPr>
      </w:pPr>
      <w:r>
        <w:rPr>
          <w:rFonts w:ascii="宋体" w:hAnsi="宋体" w:eastAsia="宋体" w:cs="宋体"/>
          <w:b/>
          <w:bCs/>
          <w:spacing w:val="-1"/>
          <w:sz w:val="24"/>
          <w:szCs w:val="24"/>
        </w:rPr>
        <w:t>（一）中小企业声明函（如有）</w:t>
      </w:r>
    </w:p>
    <w:p w14:paraId="1305A9BA">
      <w:pPr>
        <w:keepNext w:val="0"/>
        <w:keepLines w:val="0"/>
        <w:pageBreakBefore w:val="0"/>
        <w:kinsoku/>
        <w:wordWrap/>
        <w:overflowPunct/>
        <w:topLinePunct w:val="0"/>
        <w:bidi w:val="0"/>
        <w:spacing w:before="267" w:line="219" w:lineRule="auto"/>
        <w:ind w:left="3170"/>
        <w:rPr>
          <w:rFonts w:ascii="宋体" w:hAnsi="宋体" w:eastAsia="宋体" w:cs="宋体"/>
          <w:sz w:val="24"/>
          <w:szCs w:val="24"/>
        </w:rPr>
      </w:pPr>
      <w:r>
        <w:rPr>
          <w:rFonts w:ascii="宋体" w:hAnsi="宋体" w:eastAsia="宋体" w:cs="宋体"/>
          <w:b/>
          <w:bCs/>
          <w:spacing w:val="-4"/>
          <w:sz w:val="24"/>
          <w:szCs w:val="24"/>
        </w:rPr>
        <w:t>中小企业声明函（工程、服务）</w:t>
      </w:r>
    </w:p>
    <w:p w14:paraId="09EB9A16">
      <w:pPr>
        <w:keepNext w:val="0"/>
        <w:keepLines w:val="0"/>
        <w:pageBreakBefore w:val="0"/>
        <w:kinsoku/>
        <w:wordWrap/>
        <w:overflowPunct/>
        <w:topLinePunct w:val="0"/>
        <w:bidi w:val="0"/>
        <w:spacing w:before="279" w:line="434" w:lineRule="auto"/>
        <w:ind w:right="91" w:firstLine="426"/>
        <w:jc w:val="both"/>
        <w:rPr>
          <w:rFonts w:ascii="宋体" w:hAnsi="宋体" w:eastAsia="宋体" w:cs="宋体"/>
          <w:sz w:val="20"/>
          <w:szCs w:val="20"/>
        </w:rPr>
      </w:pPr>
      <w:r>
        <w:rPr>
          <w:rFonts w:ascii="宋体" w:hAnsi="宋体" w:eastAsia="宋体" w:cs="宋体"/>
          <w:spacing w:val="11"/>
          <w:sz w:val="20"/>
          <w:szCs w:val="20"/>
        </w:rPr>
        <w:t>本公司（联合体）郑重声明，根据《政府采购促进中小企业发展管理</w:t>
      </w:r>
      <w:r>
        <w:rPr>
          <w:rFonts w:ascii="宋体" w:hAnsi="宋体" w:eastAsia="宋体" w:cs="宋体"/>
          <w:spacing w:val="10"/>
          <w:sz w:val="20"/>
          <w:szCs w:val="20"/>
        </w:rPr>
        <w:t>办法》</w:t>
      </w:r>
      <w:r>
        <w:rPr>
          <w:rFonts w:ascii="宋体" w:hAnsi="宋体" w:eastAsia="宋体" w:cs="宋体"/>
          <w:spacing w:val="-77"/>
          <w:sz w:val="20"/>
          <w:szCs w:val="20"/>
        </w:rPr>
        <w:t xml:space="preserve"> </w:t>
      </w:r>
      <w:r>
        <w:rPr>
          <w:rFonts w:ascii="宋体" w:hAnsi="宋体" w:eastAsia="宋体" w:cs="宋体"/>
          <w:spacing w:val="10"/>
          <w:sz w:val="20"/>
          <w:szCs w:val="20"/>
        </w:rPr>
        <w:t>（财库</w:t>
      </w:r>
      <w:r>
        <w:rPr>
          <w:rFonts w:ascii="宋体" w:hAnsi="宋体" w:eastAsia="宋体" w:cs="宋体"/>
          <w:spacing w:val="-71"/>
          <w:sz w:val="20"/>
          <w:szCs w:val="20"/>
        </w:rPr>
        <w:t xml:space="preserve"> </w:t>
      </w:r>
      <w:r>
        <w:rPr>
          <w:rFonts w:ascii="宋体" w:hAnsi="宋体" w:eastAsia="宋体" w:cs="宋体"/>
          <w:spacing w:val="10"/>
          <w:sz w:val="20"/>
          <w:szCs w:val="20"/>
        </w:rPr>
        <w:t>﹝2020﹞46</w:t>
      </w:r>
      <w:r>
        <w:rPr>
          <w:rFonts w:ascii="宋体" w:hAnsi="宋体" w:eastAsia="宋体" w:cs="宋体"/>
          <w:spacing w:val="5"/>
          <w:sz w:val="20"/>
          <w:szCs w:val="20"/>
        </w:rPr>
        <w:t>号）的规定，本公司（联合体）参加</w:t>
      </w:r>
      <w:r>
        <w:rPr>
          <w:rFonts w:ascii="宋体" w:hAnsi="宋体" w:eastAsia="宋体" w:cs="宋体"/>
          <w:i/>
          <w:iCs/>
          <w:spacing w:val="5"/>
          <w:sz w:val="21"/>
          <w:szCs w:val="21"/>
          <w:u w:val="single" w:color="auto"/>
        </w:rPr>
        <w:t>（单位名称）</w:t>
      </w:r>
      <w:r>
        <w:rPr>
          <w:rFonts w:ascii="宋体" w:hAnsi="宋体" w:eastAsia="宋体" w:cs="宋体"/>
          <w:spacing w:val="5"/>
          <w:sz w:val="20"/>
          <w:szCs w:val="20"/>
        </w:rPr>
        <w:t>的</w:t>
      </w:r>
      <w:r>
        <w:rPr>
          <w:rFonts w:ascii="宋体" w:hAnsi="宋体" w:eastAsia="宋体" w:cs="宋体"/>
          <w:i/>
          <w:iCs/>
          <w:spacing w:val="5"/>
          <w:sz w:val="21"/>
          <w:szCs w:val="21"/>
          <w:u w:val="single" w:color="auto"/>
        </w:rPr>
        <w:t>（项目名称）</w:t>
      </w:r>
      <w:r>
        <w:rPr>
          <w:rFonts w:ascii="宋体" w:hAnsi="宋体" w:eastAsia="宋体" w:cs="宋体"/>
          <w:spacing w:val="5"/>
          <w:sz w:val="20"/>
          <w:szCs w:val="20"/>
        </w:rPr>
        <w:t>采购活动，工程的施工单位全部为</w:t>
      </w:r>
      <w:r>
        <w:rPr>
          <w:rFonts w:ascii="宋体" w:hAnsi="宋体" w:eastAsia="宋体" w:cs="宋体"/>
          <w:spacing w:val="8"/>
          <w:sz w:val="20"/>
          <w:szCs w:val="20"/>
        </w:rPr>
        <w:t>符合政策要求的中小企业（或者：服务全部为符合政策要求的中小企业承接）。相关企业</w:t>
      </w:r>
      <w:r>
        <w:rPr>
          <w:rFonts w:ascii="宋体" w:hAnsi="宋体" w:eastAsia="宋体" w:cs="宋体"/>
          <w:spacing w:val="7"/>
          <w:sz w:val="20"/>
          <w:szCs w:val="20"/>
        </w:rPr>
        <w:t>（含联合体</w:t>
      </w:r>
      <w:r>
        <w:rPr>
          <w:rFonts w:ascii="宋体" w:hAnsi="宋体" w:eastAsia="宋体" w:cs="宋体"/>
          <w:spacing w:val="9"/>
          <w:sz w:val="20"/>
          <w:szCs w:val="20"/>
        </w:rPr>
        <w:t>中的中小企业、签订分包意向协议的中小企业）的具体情况如下：</w:t>
      </w:r>
    </w:p>
    <w:p w14:paraId="09739EA3">
      <w:pPr>
        <w:keepNext w:val="0"/>
        <w:keepLines w:val="0"/>
        <w:pageBreakBefore w:val="0"/>
        <w:kinsoku/>
        <w:wordWrap/>
        <w:overflowPunct/>
        <w:topLinePunct w:val="0"/>
        <w:bidi w:val="0"/>
        <w:spacing w:before="84" w:line="439" w:lineRule="auto"/>
        <w:ind w:right="37" w:firstLine="440"/>
        <w:rPr>
          <w:rFonts w:ascii="宋体" w:hAnsi="宋体" w:eastAsia="宋体" w:cs="宋体"/>
          <w:sz w:val="20"/>
          <w:szCs w:val="20"/>
        </w:rPr>
      </w:pPr>
      <w:r>
        <w:rPr>
          <w:rFonts w:ascii="宋体" w:hAnsi="宋体" w:eastAsia="宋体" w:cs="宋体"/>
          <w:spacing w:val="-2"/>
          <w:sz w:val="20"/>
          <w:szCs w:val="20"/>
        </w:rPr>
        <w:t>1.</w:t>
      </w:r>
      <w:r>
        <w:rPr>
          <w:rFonts w:ascii="宋体" w:hAnsi="宋体" w:eastAsia="宋体" w:cs="宋体"/>
          <w:spacing w:val="-2"/>
          <w:sz w:val="21"/>
          <w:szCs w:val="21"/>
          <w:u w:val="single" w:color="auto"/>
        </w:rPr>
        <w:t xml:space="preserve"> </w:t>
      </w:r>
      <w:r>
        <w:rPr>
          <w:rFonts w:ascii="宋体" w:hAnsi="宋体" w:eastAsia="宋体" w:cs="宋体"/>
          <w:i/>
          <w:iCs/>
          <w:spacing w:val="-2"/>
          <w:sz w:val="21"/>
          <w:szCs w:val="21"/>
          <w:u w:val="single" w:color="auto"/>
        </w:rPr>
        <w:t>（标的名称</w:t>
      </w:r>
      <w:r>
        <w:rPr>
          <w:rFonts w:ascii="宋体" w:hAnsi="宋体" w:eastAsia="宋体" w:cs="宋体"/>
          <w:i/>
          <w:iCs/>
          <w:spacing w:val="-43"/>
          <w:sz w:val="21"/>
          <w:szCs w:val="21"/>
          <w:u w:val="single" w:color="auto"/>
        </w:rPr>
        <w:t>）</w:t>
      </w:r>
      <w:r>
        <w:rPr>
          <w:rFonts w:ascii="宋体" w:hAnsi="宋体" w:eastAsia="宋体" w:cs="宋体"/>
          <w:spacing w:val="-55"/>
          <w:sz w:val="21"/>
          <w:szCs w:val="21"/>
          <w:u w:val="single" w:color="auto"/>
        </w:rPr>
        <w:t xml:space="preserve"> </w:t>
      </w:r>
      <w:r>
        <w:rPr>
          <w:rFonts w:ascii="宋体" w:hAnsi="宋体" w:eastAsia="宋体" w:cs="宋体"/>
          <w:spacing w:val="-43"/>
          <w:sz w:val="20"/>
          <w:szCs w:val="20"/>
        </w:rPr>
        <w:t>，</w:t>
      </w:r>
      <w:r>
        <w:rPr>
          <w:rFonts w:ascii="宋体" w:hAnsi="宋体" w:eastAsia="宋体" w:cs="宋体"/>
          <w:spacing w:val="-2"/>
          <w:sz w:val="20"/>
          <w:szCs w:val="20"/>
        </w:rPr>
        <w:t>属于</w:t>
      </w:r>
      <w:r>
        <w:rPr>
          <w:rFonts w:ascii="宋体" w:hAnsi="宋体" w:eastAsia="宋体" w:cs="宋体"/>
          <w:i/>
          <w:iCs/>
          <w:spacing w:val="-2"/>
          <w:sz w:val="21"/>
          <w:szCs w:val="21"/>
          <w:u w:val="single" w:color="auto"/>
        </w:rPr>
        <w:t>（采购文件中明确的所属行业）</w:t>
      </w:r>
      <w:r>
        <w:rPr>
          <w:rFonts w:ascii="宋体" w:hAnsi="宋体" w:eastAsia="宋体" w:cs="宋体"/>
          <w:spacing w:val="-2"/>
          <w:sz w:val="20"/>
          <w:szCs w:val="20"/>
        </w:rPr>
        <w:t>行业；承建（承接）企业为</w:t>
      </w:r>
      <w:r>
        <w:rPr>
          <w:rFonts w:ascii="宋体" w:hAnsi="宋体" w:eastAsia="宋体" w:cs="宋体"/>
          <w:i/>
          <w:iCs/>
          <w:spacing w:val="-2"/>
          <w:sz w:val="21"/>
          <w:szCs w:val="21"/>
          <w:u w:val="single" w:color="auto"/>
        </w:rPr>
        <w:t>（企业名称</w:t>
      </w:r>
      <w:r>
        <w:rPr>
          <w:rFonts w:ascii="宋体" w:hAnsi="宋体" w:eastAsia="宋体" w:cs="宋体"/>
          <w:i/>
          <w:iCs/>
          <w:spacing w:val="-43"/>
          <w:sz w:val="21"/>
          <w:szCs w:val="21"/>
        </w:rPr>
        <w:t>）</w:t>
      </w:r>
      <w:r>
        <w:rPr>
          <w:rFonts w:ascii="宋体" w:hAnsi="宋体" w:eastAsia="宋体" w:cs="宋体"/>
          <w:spacing w:val="-43"/>
          <w:sz w:val="20"/>
          <w:szCs w:val="20"/>
        </w:rPr>
        <w:t>，</w:t>
      </w:r>
      <w:r>
        <w:rPr>
          <w:rFonts w:ascii="宋体" w:hAnsi="宋体" w:eastAsia="宋体" w:cs="宋体"/>
          <w:spacing w:val="-2"/>
          <w:sz w:val="20"/>
          <w:szCs w:val="20"/>
        </w:rPr>
        <w:t>从业人员</w:t>
      </w:r>
      <w:r>
        <w:rPr>
          <w:rFonts w:ascii="宋体" w:hAnsi="宋体" w:eastAsia="宋体" w:cs="宋体"/>
          <w:spacing w:val="-97"/>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2"/>
          <w:sz w:val="20"/>
          <w:szCs w:val="20"/>
        </w:rPr>
        <w:t>人，营业收入为</w:t>
      </w:r>
      <w:r>
        <w:rPr>
          <w:rFonts w:ascii="宋体" w:hAnsi="宋体" w:eastAsia="宋体" w:cs="宋体"/>
          <w:spacing w:val="-2"/>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万元，资产总额为</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2"/>
          <w:sz w:val="20"/>
          <w:szCs w:val="20"/>
        </w:rPr>
        <w:t>万元</w:t>
      </w:r>
      <w:r>
        <w:rPr>
          <w:rFonts w:ascii="宋体" w:hAnsi="宋体" w:eastAsia="宋体" w:cs="宋体"/>
          <w:spacing w:val="-33"/>
          <w:sz w:val="20"/>
          <w:szCs w:val="20"/>
        </w:rPr>
        <w:t xml:space="preserve"> </w:t>
      </w:r>
      <w:r>
        <w:rPr>
          <w:rFonts w:ascii="宋体" w:hAnsi="宋体" w:eastAsia="宋体" w:cs="宋体"/>
          <w:spacing w:val="-2"/>
          <w:position w:val="10"/>
          <w:sz w:val="10"/>
          <w:szCs w:val="10"/>
        </w:rPr>
        <w:t>1</w:t>
      </w:r>
      <w:r>
        <w:rPr>
          <w:rFonts w:ascii="宋体" w:hAnsi="宋体" w:eastAsia="宋体" w:cs="宋体"/>
          <w:spacing w:val="-2"/>
          <w:sz w:val="20"/>
          <w:szCs w:val="20"/>
        </w:rPr>
        <w:t>，属于</w:t>
      </w:r>
      <w:r>
        <w:rPr>
          <w:rFonts w:ascii="宋体" w:hAnsi="宋体" w:eastAsia="宋体" w:cs="宋体"/>
          <w:i/>
          <w:iCs/>
          <w:spacing w:val="-2"/>
          <w:sz w:val="21"/>
          <w:szCs w:val="21"/>
          <w:u w:val="single" w:color="auto"/>
        </w:rPr>
        <w:t>（中型企业、小型企业、微型企业</w:t>
      </w:r>
      <w:r>
        <w:rPr>
          <w:rFonts w:ascii="宋体" w:hAnsi="宋体" w:eastAsia="宋体" w:cs="宋体"/>
          <w:i/>
          <w:iCs/>
          <w:spacing w:val="-45"/>
          <w:w w:val="82"/>
          <w:sz w:val="21"/>
          <w:szCs w:val="21"/>
        </w:rPr>
        <w:t>）</w:t>
      </w:r>
      <w:r>
        <w:rPr>
          <w:rFonts w:ascii="宋体" w:hAnsi="宋体" w:eastAsia="宋体" w:cs="宋体"/>
          <w:spacing w:val="-45"/>
          <w:w w:val="82"/>
          <w:sz w:val="20"/>
          <w:szCs w:val="20"/>
        </w:rPr>
        <w:t>；</w:t>
      </w:r>
    </w:p>
    <w:p w14:paraId="6D955C2D">
      <w:pPr>
        <w:keepNext w:val="0"/>
        <w:keepLines w:val="0"/>
        <w:pageBreakBefore w:val="0"/>
        <w:kinsoku/>
        <w:wordWrap/>
        <w:overflowPunct/>
        <w:topLinePunct w:val="0"/>
        <w:bidi w:val="0"/>
        <w:spacing w:before="2" w:line="439" w:lineRule="auto"/>
        <w:ind w:right="37" w:firstLine="427"/>
        <w:rPr>
          <w:rFonts w:ascii="宋体" w:hAnsi="宋体" w:eastAsia="宋体" w:cs="宋体"/>
          <w:sz w:val="20"/>
          <w:szCs w:val="20"/>
        </w:rPr>
      </w:pPr>
      <w:r>
        <w:rPr>
          <w:rFonts w:ascii="宋体" w:hAnsi="宋体" w:eastAsia="宋体" w:cs="宋体"/>
          <w:spacing w:val="-1"/>
          <w:sz w:val="20"/>
          <w:szCs w:val="20"/>
        </w:rPr>
        <w:t>2.</w:t>
      </w:r>
      <w:r>
        <w:rPr>
          <w:rFonts w:ascii="宋体" w:hAnsi="宋体" w:eastAsia="宋体" w:cs="宋体"/>
          <w:spacing w:val="-1"/>
          <w:sz w:val="21"/>
          <w:szCs w:val="21"/>
          <w:u w:val="single" w:color="auto"/>
        </w:rPr>
        <w:t xml:space="preserve"> </w:t>
      </w:r>
      <w:r>
        <w:rPr>
          <w:rFonts w:ascii="宋体" w:hAnsi="宋体" w:eastAsia="宋体" w:cs="宋体"/>
          <w:i/>
          <w:iCs/>
          <w:spacing w:val="-1"/>
          <w:sz w:val="21"/>
          <w:szCs w:val="21"/>
          <w:u w:val="single" w:color="auto"/>
        </w:rPr>
        <w:t>（标的名称</w:t>
      </w:r>
      <w:r>
        <w:rPr>
          <w:rFonts w:ascii="宋体" w:hAnsi="宋体" w:eastAsia="宋体" w:cs="宋体"/>
          <w:i/>
          <w:iCs/>
          <w:spacing w:val="-46"/>
          <w:sz w:val="21"/>
          <w:szCs w:val="21"/>
          <w:u w:val="single" w:color="auto"/>
        </w:rPr>
        <w:t>）</w:t>
      </w:r>
      <w:r>
        <w:rPr>
          <w:rFonts w:ascii="宋体" w:hAnsi="宋体" w:eastAsia="宋体" w:cs="宋体"/>
          <w:spacing w:val="-56"/>
          <w:sz w:val="21"/>
          <w:szCs w:val="21"/>
          <w:u w:val="single" w:color="auto"/>
        </w:rPr>
        <w:t xml:space="preserve"> </w:t>
      </w:r>
      <w:r>
        <w:rPr>
          <w:rFonts w:ascii="宋体" w:hAnsi="宋体" w:eastAsia="宋体" w:cs="宋体"/>
          <w:spacing w:val="-46"/>
          <w:sz w:val="20"/>
          <w:szCs w:val="20"/>
        </w:rPr>
        <w:t>，</w:t>
      </w:r>
      <w:r>
        <w:rPr>
          <w:rFonts w:ascii="宋体" w:hAnsi="宋体" w:eastAsia="宋体" w:cs="宋体"/>
          <w:spacing w:val="-1"/>
          <w:sz w:val="20"/>
          <w:szCs w:val="20"/>
        </w:rPr>
        <w:t>属于</w:t>
      </w:r>
      <w:r>
        <w:rPr>
          <w:rFonts w:ascii="宋体" w:hAnsi="宋体" w:eastAsia="宋体" w:cs="宋体"/>
          <w:i/>
          <w:iCs/>
          <w:spacing w:val="-1"/>
          <w:sz w:val="21"/>
          <w:szCs w:val="21"/>
          <w:u w:val="single" w:color="auto"/>
        </w:rPr>
        <w:t>（采购文件中明确的所属行业）</w:t>
      </w:r>
      <w:r>
        <w:rPr>
          <w:rFonts w:ascii="宋体" w:hAnsi="宋体" w:eastAsia="宋体" w:cs="宋体"/>
          <w:spacing w:val="-1"/>
          <w:sz w:val="20"/>
          <w:szCs w:val="20"/>
        </w:rPr>
        <w:t>行业</w:t>
      </w:r>
      <w:r>
        <w:rPr>
          <w:rFonts w:ascii="宋体" w:hAnsi="宋体" w:eastAsia="宋体" w:cs="宋体"/>
          <w:spacing w:val="-2"/>
          <w:sz w:val="20"/>
          <w:szCs w:val="20"/>
        </w:rPr>
        <w:t>；承建（承接）企业为</w:t>
      </w:r>
      <w:r>
        <w:rPr>
          <w:rFonts w:ascii="宋体" w:hAnsi="宋体" w:eastAsia="宋体" w:cs="宋体"/>
          <w:i/>
          <w:iCs/>
          <w:spacing w:val="-2"/>
          <w:sz w:val="21"/>
          <w:szCs w:val="21"/>
          <w:u w:val="single" w:color="auto"/>
        </w:rPr>
        <w:t>（企业名称</w:t>
      </w:r>
      <w:r>
        <w:rPr>
          <w:rFonts w:ascii="宋体" w:hAnsi="宋体" w:eastAsia="宋体" w:cs="宋体"/>
          <w:i/>
          <w:iCs/>
          <w:spacing w:val="-46"/>
          <w:sz w:val="21"/>
          <w:szCs w:val="21"/>
        </w:rPr>
        <w:t>）</w:t>
      </w:r>
      <w:r>
        <w:rPr>
          <w:rFonts w:ascii="宋体" w:hAnsi="宋体" w:eastAsia="宋体" w:cs="宋体"/>
          <w:spacing w:val="-46"/>
          <w:sz w:val="20"/>
          <w:szCs w:val="20"/>
        </w:rPr>
        <w:t>，</w:t>
      </w:r>
      <w:r>
        <w:rPr>
          <w:rFonts w:ascii="宋体" w:hAnsi="宋体" w:eastAsia="宋体" w:cs="宋体"/>
          <w:spacing w:val="1"/>
          <w:sz w:val="20"/>
          <w:szCs w:val="20"/>
        </w:rPr>
        <w:t>从业人员</w:t>
      </w:r>
      <w:r>
        <w:rPr>
          <w:rFonts w:ascii="宋体" w:hAnsi="宋体" w:eastAsia="宋体" w:cs="宋体"/>
          <w:spacing w:val="-96"/>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1"/>
          <w:sz w:val="20"/>
          <w:szCs w:val="20"/>
        </w:rPr>
        <w:t>人，营业收入为</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1"/>
          <w:sz w:val="20"/>
          <w:szCs w:val="20"/>
        </w:rPr>
        <w:t>万元，资产总额为</w:t>
      </w:r>
      <w:r>
        <w:rPr>
          <w:rFonts w:ascii="宋体" w:hAnsi="宋体" w:eastAsia="宋体" w:cs="宋体"/>
          <w:spacing w:val="1"/>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1"/>
          <w:sz w:val="20"/>
          <w:szCs w:val="20"/>
        </w:rPr>
        <w:t>万元，属于</w:t>
      </w:r>
      <w:r>
        <w:rPr>
          <w:rFonts w:ascii="宋体" w:hAnsi="宋体" w:eastAsia="宋体" w:cs="宋体"/>
          <w:i/>
          <w:iCs/>
          <w:spacing w:val="1"/>
          <w:sz w:val="21"/>
          <w:szCs w:val="21"/>
          <w:u w:val="single" w:color="auto"/>
        </w:rPr>
        <w:t>（中型企业、小型企业、微型企业</w:t>
      </w:r>
      <w:r>
        <w:rPr>
          <w:rFonts w:ascii="宋体" w:hAnsi="宋体" w:eastAsia="宋体" w:cs="宋体"/>
          <w:i/>
          <w:iCs/>
          <w:spacing w:val="-43"/>
          <w:w w:val="78"/>
          <w:sz w:val="21"/>
          <w:szCs w:val="21"/>
        </w:rPr>
        <w:t>）</w:t>
      </w:r>
      <w:r>
        <w:rPr>
          <w:rFonts w:ascii="宋体" w:hAnsi="宋体" w:eastAsia="宋体" w:cs="宋体"/>
          <w:spacing w:val="-43"/>
          <w:w w:val="78"/>
          <w:sz w:val="20"/>
          <w:szCs w:val="20"/>
        </w:rPr>
        <w:t>；</w:t>
      </w:r>
    </w:p>
    <w:p w14:paraId="3C5CC76D">
      <w:pPr>
        <w:keepNext w:val="0"/>
        <w:keepLines w:val="0"/>
        <w:pageBreakBefore w:val="0"/>
        <w:kinsoku/>
        <w:wordWrap/>
        <w:overflowPunct/>
        <w:topLinePunct w:val="0"/>
        <w:bidi w:val="0"/>
        <w:spacing w:line="310" w:lineRule="exact"/>
        <w:ind w:left="438"/>
        <w:rPr>
          <w:rFonts w:ascii="宋体" w:hAnsi="宋体" w:eastAsia="宋体" w:cs="宋体"/>
          <w:sz w:val="20"/>
          <w:szCs w:val="20"/>
        </w:rPr>
      </w:pPr>
      <w:r>
        <w:rPr>
          <w:rFonts w:ascii="宋体" w:hAnsi="宋体" w:eastAsia="宋体" w:cs="宋体"/>
          <w:spacing w:val="-2"/>
          <w:position w:val="2"/>
          <w:sz w:val="20"/>
          <w:szCs w:val="20"/>
        </w:rPr>
        <w:t>……</w:t>
      </w:r>
    </w:p>
    <w:p w14:paraId="7277F0A2">
      <w:pPr>
        <w:keepNext w:val="0"/>
        <w:keepLines w:val="0"/>
        <w:pageBreakBefore w:val="0"/>
        <w:kinsoku/>
        <w:wordWrap/>
        <w:overflowPunct/>
        <w:topLinePunct w:val="0"/>
        <w:bidi w:val="0"/>
        <w:spacing w:before="1" w:line="377" w:lineRule="auto"/>
        <w:ind w:left="5" w:right="70" w:firstLine="443"/>
        <w:rPr>
          <w:rFonts w:ascii="宋体" w:hAnsi="宋体" w:eastAsia="宋体" w:cs="宋体"/>
          <w:sz w:val="20"/>
          <w:szCs w:val="20"/>
        </w:rPr>
      </w:pPr>
      <w:r>
        <w:rPr>
          <w:rFonts w:ascii="宋体" w:hAnsi="宋体" w:eastAsia="宋体" w:cs="宋体"/>
          <w:spacing w:val="8"/>
          <w:sz w:val="20"/>
          <w:szCs w:val="20"/>
        </w:rPr>
        <w:t>以上企业，不属于大企业的分支机构，不存在控股股东为大</w:t>
      </w:r>
      <w:r>
        <w:rPr>
          <w:rFonts w:ascii="宋体" w:hAnsi="宋体" w:eastAsia="宋体" w:cs="宋体"/>
          <w:spacing w:val="7"/>
          <w:sz w:val="20"/>
          <w:szCs w:val="20"/>
        </w:rPr>
        <w:t>企业的情形，也不存在与大企业的负责人为同一人的情形。</w:t>
      </w:r>
    </w:p>
    <w:p w14:paraId="5BBFD6C3">
      <w:pPr>
        <w:keepNext w:val="0"/>
        <w:keepLines w:val="0"/>
        <w:pageBreakBefore w:val="0"/>
        <w:kinsoku/>
        <w:wordWrap/>
        <w:overflowPunct/>
        <w:topLinePunct w:val="0"/>
        <w:bidi w:val="0"/>
        <w:spacing w:before="1" w:line="226" w:lineRule="auto"/>
        <w:ind w:left="426"/>
        <w:rPr>
          <w:rFonts w:ascii="宋体" w:hAnsi="宋体" w:eastAsia="宋体" w:cs="宋体"/>
          <w:sz w:val="20"/>
          <w:szCs w:val="20"/>
        </w:rPr>
      </w:pPr>
      <w:r>
        <w:rPr>
          <w:rFonts w:ascii="宋体" w:hAnsi="宋体" w:eastAsia="宋体" w:cs="宋体"/>
          <w:spacing w:val="9"/>
          <w:sz w:val="20"/>
          <w:szCs w:val="20"/>
        </w:rPr>
        <w:t>本企业对上述声明内容的真实性负责。如有虚假，将依法承担相应责任。</w:t>
      </w:r>
    </w:p>
    <w:p w14:paraId="0B66FF95">
      <w:pPr>
        <w:pStyle w:val="4"/>
        <w:keepNext w:val="0"/>
        <w:keepLines w:val="0"/>
        <w:pageBreakBefore w:val="0"/>
        <w:kinsoku/>
        <w:wordWrap/>
        <w:overflowPunct/>
        <w:topLinePunct w:val="0"/>
        <w:bidi w:val="0"/>
        <w:spacing w:line="284" w:lineRule="auto"/>
      </w:pPr>
    </w:p>
    <w:p w14:paraId="686F9C81">
      <w:pPr>
        <w:pStyle w:val="4"/>
        <w:keepNext w:val="0"/>
        <w:keepLines w:val="0"/>
        <w:pageBreakBefore w:val="0"/>
        <w:kinsoku/>
        <w:wordWrap/>
        <w:overflowPunct/>
        <w:topLinePunct w:val="0"/>
        <w:bidi w:val="0"/>
        <w:spacing w:line="284" w:lineRule="auto"/>
      </w:pPr>
    </w:p>
    <w:p w14:paraId="33B23EE7">
      <w:pPr>
        <w:keepNext w:val="0"/>
        <w:keepLines w:val="0"/>
        <w:pageBreakBefore w:val="0"/>
        <w:kinsoku/>
        <w:wordWrap/>
        <w:overflowPunct/>
        <w:topLinePunct w:val="0"/>
        <w:bidi w:val="0"/>
        <w:spacing w:before="66" w:line="227" w:lineRule="auto"/>
        <w:ind w:left="4261"/>
        <w:rPr>
          <w:rFonts w:ascii="宋体" w:hAnsi="宋体" w:eastAsia="宋体" w:cs="宋体"/>
          <w:sz w:val="20"/>
          <w:szCs w:val="20"/>
        </w:rPr>
      </w:pPr>
      <w:r>
        <w:rPr>
          <w:rFonts w:ascii="宋体" w:hAnsi="宋体" w:eastAsia="宋体" w:cs="宋体"/>
          <w:spacing w:val="8"/>
          <w:sz w:val="20"/>
          <w:szCs w:val="20"/>
        </w:rPr>
        <w:t>企业名称（盖章</w:t>
      </w:r>
      <w:r>
        <w:rPr>
          <w:rFonts w:ascii="宋体" w:hAnsi="宋体" w:eastAsia="宋体" w:cs="宋体"/>
          <w:sz w:val="20"/>
          <w:szCs w:val="20"/>
        </w:rPr>
        <w:t>）：</w:t>
      </w:r>
    </w:p>
    <w:p w14:paraId="5DDF0E24">
      <w:pPr>
        <w:keepNext w:val="0"/>
        <w:keepLines w:val="0"/>
        <w:pageBreakBefore w:val="0"/>
        <w:kinsoku/>
        <w:wordWrap/>
        <w:overflowPunct/>
        <w:topLinePunct w:val="0"/>
        <w:bidi w:val="0"/>
        <w:spacing w:before="165" w:line="228" w:lineRule="auto"/>
        <w:ind w:left="4294"/>
        <w:rPr>
          <w:rFonts w:ascii="宋体" w:hAnsi="宋体" w:eastAsia="宋体" w:cs="宋体"/>
          <w:sz w:val="20"/>
          <w:szCs w:val="20"/>
        </w:rPr>
      </w:pPr>
      <w:r>
        <w:rPr>
          <w:rFonts w:ascii="宋体" w:hAnsi="宋体" w:eastAsia="宋体" w:cs="宋体"/>
          <w:spacing w:val="-9"/>
          <w:sz w:val="20"/>
          <w:szCs w:val="20"/>
        </w:rPr>
        <w:t>日期：</w:t>
      </w:r>
    </w:p>
    <w:p w14:paraId="5B43F1E7">
      <w:pPr>
        <w:pStyle w:val="4"/>
        <w:keepNext w:val="0"/>
        <w:keepLines w:val="0"/>
        <w:pageBreakBefore w:val="0"/>
        <w:kinsoku/>
        <w:wordWrap/>
        <w:overflowPunct/>
        <w:topLinePunct w:val="0"/>
        <w:bidi w:val="0"/>
        <w:spacing w:line="249" w:lineRule="auto"/>
      </w:pPr>
    </w:p>
    <w:p w14:paraId="1F9E7EA2">
      <w:pPr>
        <w:pStyle w:val="4"/>
        <w:keepNext w:val="0"/>
        <w:keepLines w:val="0"/>
        <w:pageBreakBefore w:val="0"/>
        <w:kinsoku/>
        <w:wordWrap/>
        <w:overflowPunct/>
        <w:topLinePunct w:val="0"/>
        <w:bidi w:val="0"/>
        <w:spacing w:line="249" w:lineRule="auto"/>
      </w:pPr>
    </w:p>
    <w:p w14:paraId="0CC92261">
      <w:pPr>
        <w:pStyle w:val="4"/>
        <w:keepNext w:val="0"/>
        <w:keepLines w:val="0"/>
        <w:pageBreakBefore w:val="0"/>
        <w:kinsoku/>
        <w:wordWrap/>
        <w:overflowPunct/>
        <w:topLinePunct w:val="0"/>
        <w:bidi w:val="0"/>
        <w:spacing w:line="249" w:lineRule="auto"/>
      </w:pPr>
    </w:p>
    <w:p w14:paraId="6BC22E15">
      <w:pPr>
        <w:pStyle w:val="4"/>
        <w:keepNext w:val="0"/>
        <w:keepLines w:val="0"/>
        <w:pageBreakBefore w:val="0"/>
        <w:kinsoku/>
        <w:wordWrap/>
        <w:overflowPunct/>
        <w:topLinePunct w:val="0"/>
        <w:bidi w:val="0"/>
        <w:spacing w:line="249" w:lineRule="auto"/>
      </w:pPr>
    </w:p>
    <w:p w14:paraId="120922B3">
      <w:pPr>
        <w:pStyle w:val="4"/>
        <w:keepNext w:val="0"/>
        <w:keepLines w:val="0"/>
        <w:pageBreakBefore w:val="0"/>
        <w:kinsoku/>
        <w:wordWrap/>
        <w:overflowPunct/>
        <w:topLinePunct w:val="0"/>
        <w:bidi w:val="0"/>
        <w:spacing w:line="249" w:lineRule="auto"/>
      </w:pPr>
    </w:p>
    <w:p w14:paraId="49603AA2">
      <w:pPr>
        <w:pStyle w:val="4"/>
        <w:keepNext w:val="0"/>
        <w:keepLines w:val="0"/>
        <w:pageBreakBefore w:val="0"/>
        <w:kinsoku/>
        <w:wordWrap/>
        <w:overflowPunct/>
        <w:topLinePunct w:val="0"/>
        <w:bidi w:val="0"/>
        <w:spacing w:line="250" w:lineRule="auto"/>
      </w:pPr>
      <w:r>
        <w:drawing>
          <wp:anchor distT="0" distB="0" distL="0" distR="0" simplePos="0" relativeHeight="251660288" behindDoc="0" locked="0" layoutInCell="1" allowOverlap="1">
            <wp:simplePos x="0" y="0"/>
            <wp:positionH relativeFrom="column">
              <wp:posOffset>27305</wp:posOffset>
            </wp:positionH>
            <wp:positionV relativeFrom="paragraph">
              <wp:posOffset>164465</wp:posOffset>
            </wp:positionV>
            <wp:extent cx="2510790" cy="10160"/>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7"/>
                    <a:stretch>
                      <a:fillRect/>
                    </a:stretch>
                  </pic:blipFill>
                  <pic:spPr>
                    <a:xfrm>
                      <a:off x="0" y="0"/>
                      <a:ext cx="2510789" cy="10160"/>
                    </a:xfrm>
                    <a:prstGeom prst="rect">
                      <a:avLst/>
                    </a:prstGeom>
                  </pic:spPr>
                </pic:pic>
              </a:graphicData>
            </a:graphic>
          </wp:anchor>
        </w:drawing>
      </w:r>
    </w:p>
    <w:p w14:paraId="30C9B188">
      <w:pPr>
        <w:keepNext w:val="0"/>
        <w:keepLines w:val="0"/>
        <w:pageBreakBefore w:val="0"/>
        <w:kinsoku/>
        <w:wordWrap/>
        <w:overflowPunct/>
        <w:topLinePunct w:val="0"/>
        <w:bidi w:val="0"/>
        <w:spacing w:before="66" w:line="381" w:lineRule="auto"/>
        <w:ind w:left="1" w:right="70" w:firstLine="426"/>
        <w:rPr>
          <w:rFonts w:ascii="宋体" w:hAnsi="宋体" w:eastAsia="宋体" w:cs="宋体"/>
          <w:sz w:val="20"/>
          <w:szCs w:val="20"/>
        </w:rPr>
      </w:pPr>
      <w:r>
        <w:rPr>
          <w:rFonts w:ascii="宋体" w:hAnsi="宋体" w:eastAsia="宋体" w:cs="宋体"/>
          <w:b/>
          <w:bCs/>
          <w:spacing w:val="8"/>
          <w:sz w:val="20"/>
          <w:szCs w:val="20"/>
        </w:rPr>
        <w:t>说明：</w:t>
      </w:r>
      <w:r>
        <w:rPr>
          <w:rFonts w:ascii="宋体" w:hAnsi="宋体" w:eastAsia="宋体" w:cs="宋体"/>
          <w:spacing w:val="8"/>
          <w:sz w:val="20"/>
          <w:szCs w:val="20"/>
        </w:rPr>
        <w:t>1、</w:t>
      </w:r>
      <w:r>
        <w:rPr>
          <w:rFonts w:ascii="宋体" w:hAnsi="宋体" w:eastAsia="宋体" w:cs="宋体"/>
          <w:spacing w:val="8"/>
          <w:position w:val="10"/>
          <w:sz w:val="10"/>
          <w:szCs w:val="10"/>
        </w:rPr>
        <w:t>1</w:t>
      </w:r>
      <w:r>
        <w:rPr>
          <w:rFonts w:ascii="宋体" w:hAnsi="宋体" w:eastAsia="宋体" w:cs="宋体"/>
          <w:spacing w:val="-10"/>
          <w:position w:val="10"/>
          <w:sz w:val="10"/>
          <w:szCs w:val="10"/>
        </w:rPr>
        <w:t xml:space="preserve"> </w:t>
      </w:r>
      <w:r>
        <w:rPr>
          <w:rFonts w:ascii="宋体" w:hAnsi="宋体" w:eastAsia="宋体" w:cs="宋体"/>
          <w:spacing w:val="8"/>
          <w:sz w:val="20"/>
          <w:szCs w:val="20"/>
        </w:rPr>
        <w:t>从业人员、营业收入、资产总额填报上一年度数据，无上一年度数据的新成立企业可</w:t>
      </w:r>
      <w:r>
        <w:rPr>
          <w:rFonts w:ascii="宋体" w:hAnsi="宋体" w:eastAsia="宋体" w:cs="宋体"/>
          <w:spacing w:val="4"/>
          <w:sz w:val="20"/>
          <w:szCs w:val="20"/>
        </w:rPr>
        <w:t>不填报。</w:t>
      </w:r>
    </w:p>
    <w:p w14:paraId="2BD7606A">
      <w:pPr>
        <w:keepNext w:val="0"/>
        <w:keepLines w:val="0"/>
        <w:pageBreakBefore w:val="0"/>
        <w:kinsoku/>
        <w:wordWrap/>
        <w:overflowPunct/>
        <w:topLinePunct w:val="0"/>
        <w:bidi w:val="0"/>
        <w:spacing w:before="10" w:line="377" w:lineRule="auto"/>
        <w:ind w:left="17" w:firstLine="410"/>
        <w:rPr>
          <w:rFonts w:ascii="宋体" w:hAnsi="宋体" w:eastAsia="宋体" w:cs="宋体"/>
          <w:sz w:val="20"/>
          <w:szCs w:val="20"/>
        </w:rPr>
      </w:pPr>
      <w:r>
        <w:rPr>
          <w:rFonts w:ascii="宋体" w:hAnsi="宋体" w:eastAsia="宋体" w:cs="宋体"/>
          <w:b/>
          <w:bCs/>
          <w:spacing w:val="10"/>
          <w:sz w:val="20"/>
          <w:szCs w:val="20"/>
        </w:rPr>
        <w:t>2、投标人属于中小微企业的填写，不属于的无需填写此项内容，不必签章，空白或删除均可。</w:t>
      </w:r>
      <w:r>
        <w:rPr>
          <w:rFonts w:ascii="宋体" w:hAnsi="宋体" w:eastAsia="宋体" w:cs="宋体"/>
          <w:b/>
          <w:bCs/>
          <w:spacing w:val="9"/>
          <w:sz w:val="20"/>
          <w:szCs w:val="20"/>
        </w:rPr>
        <w:t>中标人为小微企业的，随中标结果同时公告其《中小企业声明函》</w:t>
      </w:r>
      <w:r>
        <w:rPr>
          <w:rFonts w:ascii="宋体" w:hAnsi="宋体" w:eastAsia="宋体" w:cs="宋体"/>
          <w:spacing w:val="-48"/>
          <w:sz w:val="20"/>
          <w:szCs w:val="20"/>
        </w:rPr>
        <w:t xml:space="preserve"> </w:t>
      </w:r>
      <w:r>
        <w:rPr>
          <w:rFonts w:ascii="宋体" w:hAnsi="宋体" w:eastAsia="宋体" w:cs="宋体"/>
          <w:b/>
          <w:bCs/>
          <w:spacing w:val="9"/>
          <w:sz w:val="20"/>
          <w:szCs w:val="20"/>
        </w:rPr>
        <w:t>，接受社会监督。</w:t>
      </w:r>
    </w:p>
    <w:p w14:paraId="6BA2D5AD">
      <w:pPr>
        <w:keepNext w:val="0"/>
        <w:keepLines w:val="0"/>
        <w:pageBreakBefore w:val="0"/>
        <w:kinsoku/>
        <w:wordWrap/>
        <w:overflowPunct/>
        <w:topLinePunct w:val="0"/>
        <w:bidi w:val="0"/>
        <w:spacing w:before="82" w:line="219" w:lineRule="auto"/>
        <w:ind w:left="2407"/>
        <w:rPr>
          <w:rFonts w:ascii="宋体" w:hAnsi="宋体" w:eastAsia="宋体" w:cs="宋体"/>
          <w:sz w:val="24"/>
          <w:szCs w:val="24"/>
        </w:rPr>
      </w:pPr>
      <w:bookmarkStart w:id="69" w:name="bookmark44"/>
      <w:bookmarkEnd w:id="69"/>
      <w:r>
        <w:rPr>
          <w:rFonts w:ascii="宋体" w:hAnsi="宋体" w:eastAsia="宋体" w:cs="宋体"/>
          <w:b/>
          <w:bCs/>
          <w:spacing w:val="-1"/>
          <w:sz w:val="24"/>
          <w:szCs w:val="24"/>
        </w:rPr>
        <w:br w:type="page"/>
      </w:r>
      <w:r>
        <w:rPr>
          <w:rFonts w:ascii="宋体" w:hAnsi="宋体" w:eastAsia="宋体" w:cs="宋体"/>
          <w:b/>
          <w:bCs/>
          <w:spacing w:val="-1"/>
          <w:sz w:val="24"/>
          <w:szCs w:val="24"/>
        </w:rPr>
        <w:t>（二）残疾人福利性单位声明函（如有）</w:t>
      </w:r>
    </w:p>
    <w:p w14:paraId="4B8BAAF7">
      <w:pPr>
        <w:pStyle w:val="4"/>
        <w:keepNext w:val="0"/>
        <w:keepLines w:val="0"/>
        <w:pageBreakBefore w:val="0"/>
        <w:kinsoku/>
        <w:wordWrap/>
        <w:overflowPunct/>
        <w:topLinePunct w:val="0"/>
        <w:bidi w:val="0"/>
        <w:spacing w:line="266" w:lineRule="auto"/>
      </w:pPr>
    </w:p>
    <w:p w14:paraId="2B4312FB">
      <w:pPr>
        <w:pStyle w:val="4"/>
        <w:keepNext w:val="0"/>
        <w:keepLines w:val="0"/>
        <w:pageBreakBefore w:val="0"/>
        <w:kinsoku/>
        <w:wordWrap/>
        <w:overflowPunct/>
        <w:topLinePunct w:val="0"/>
        <w:bidi w:val="0"/>
        <w:spacing w:line="267" w:lineRule="auto"/>
      </w:pPr>
    </w:p>
    <w:p w14:paraId="7704E639">
      <w:pPr>
        <w:keepNext w:val="0"/>
        <w:keepLines w:val="0"/>
        <w:pageBreakBefore w:val="0"/>
        <w:kinsoku/>
        <w:wordWrap/>
        <w:overflowPunct/>
        <w:topLinePunct w:val="0"/>
        <w:bidi w:val="0"/>
        <w:spacing w:before="65" w:line="439" w:lineRule="auto"/>
        <w:ind w:firstLine="428"/>
        <w:jc w:val="both"/>
        <w:rPr>
          <w:rFonts w:ascii="宋体" w:hAnsi="宋体" w:eastAsia="宋体" w:cs="宋体"/>
          <w:sz w:val="20"/>
          <w:szCs w:val="20"/>
        </w:rPr>
      </w:pPr>
      <w:r>
        <w:rPr>
          <w:rFonts w:ascii="宋体" w:hAnsi="宋体" w:eastAsia="宋体" w:cs="宋体"/>
          <w:spacing w:val="6"/>
          <w:sz w:val="20"/>
          <w:szCs w:val="20"/>
        </w:rPr>
        <w:t>本单位郑重声明，根据《财政部</w:t>
      </w:r>
      <w:r>
        <w:rPr>
          <w:rFonts w:ascii="宋体" w:hAnsi="宋体" w:eastAsia="宋体" w:cs="宋体"/>
          <w:spacing w:val="39"/>
          <w:sz w:val="20"/>
          <w:szCs w:val="20"/>
        </w:rPr>
        <w:t xml:space="preserve"> </w:t>
      </w:r>
      <w:r>
        <w:rPr>
          <w:rFonts w:ascii="宋体" w:hAnsi="宋体" w:eastAsia="宋体" w:cs="宋体"/>
          <w:spacing w:val="6"/>
          <w:sz w:val="20"/>
          <w:szCs w:val="20"/>
        </w:rPr>
        <w:t>民政部</w:t>
      </w:r>
      <w:r>
        <w:rPr>
          <w:rFonts w:ascii="宋体" w:hAnsi="宋体" w:eastAsia="宋体" w:cs="宋体"/>
          <w:spacing w:val="36"/>
          <w:sz w:val="20"/>
          <w:szCs w:val="20"/>
        </w:rPr>
        <w:t xml:space="preserve"> </w:t>
      </w:r>
      <w:r>
        <w:rPr>
          <w:rFonts w:ascii="宋体" w:hAnsi="宋体" w:eastAsia="宋体" w:cs="宋体"/>
          <w:spacing w:val="6"/>
          <w:sz w:val="20"/>
          <w:szCs w:val="20"/>
        </w:rPr>
        <w:t>中国残疾人联合会关于促进残疾人就业政府采购政策的</w:t>
      </w:r>
      <w:r>
        <w:rPr>
          <w:rFonts w:ascii="宋体" w:hAnsi="宋体" w:eastAsia="宋体" w:cs="宋体"/>
          <w:spacing w:val="14"/>
          <w:sz w:val="20"/>
          <w:szCs w:val="20"/>
        </w:rPr>
        <w:t>通知》</w:t>
      </w:r>
      <w:r>
        <w:rPr>
          <w:rFonts w:ascii="宋体" w:hAnsi="宋体" w:eastAsia="宋体" w:cs="宋体"/>
          <w:spacing w:val="-65"/>
          <w:sz w:val="20"/>
          <w:szCs w:val="20"/>
        </w:rPr>
        <w:t xml:space="preserve"> </w:t>
      </w:r>
      <w:r>
        <w:rPr>
          <w:rFonts w:ascii="宋体" w:hAnsi="宋体" w:eastAsia="宋体" w:cs="宋体"/>
          <w:spacing w:val="14"/>
          <w:sz w:val="20"/>
          <w:szCs w:val="20"/>
        </w:rPr>
        <w:t>（财库〔2017〕</w:t>
      </w:r>
      <w:r>
        <w:rPr>
          <w:rFonts w:ascii="宋体" w:hAnsi="宋体" w:eastAsia="宋体" w:cs="宋体"/>
          <w:spacing w:val="-45"/>
          <w:sz w:val="20"/>
          <w:szCs w:val="20"/>
        </w:rPr>
        <w:t xml:space="preserve"> </w:t>
      </w:r>
      <w:r>
        <w:rPr>
          <w:rFonts w:ascii="宋体" w:hAnsi="宋体" w:eastAsia="宋体" w:cs="宋体"/>
          <w:spacing w:val="14"/>
          <w:sz w:val="20"/>
          <w:szCs w:val="20"/>
        </w:rPr>
        <w:t>141</w:t>
      </w:r>
      <w:r>
        <w:rPr>
          <w:rFonts w:ascii="宋体" w:hAnsi="宋体" w:eastAsia="宋体" w:cs="宋体"/>
          <w:spacing w:val="-26"/>
          <w:sz w:val="20"/>
          <w:szCs w:val="20"/>
        </w:rPr>
        <w:t xml:space="preserve"> </w:t>
      </w:r>
      <w:r>
        <w:rPr>
          <w:rFonts w:ascii="宋体" w:hAnsi="宋体" w:eastAsia="宋体" w:cs="宋体"/>
          <w:spacing w:val="14"/>
          <w:sz w:val="20"/>
          <w:szCs w:val="20"/>
        </w:rPr>
        <w:t>号）</w:t>
      </w:r>
      <w:r>
        <w:rPr>
          <w:rFonts w:ascii="宋体" w:hAnsi="宋体" w:eastAsia="宋体" w:cs="宋体"/>
          <w:spacing w:val="-45"/>
          <w:sz w:val="20"/>
          <w:szCs w:val="20"/>
        </w:rPr>
        <w:t xml:space="preserve"> </w:t>
      </w:r>
      <w:r>
        <w:rPr>
          <w:rFonts w:ascii="宋体" w:hAnsi="宋体" w:eastAsia="宋体" w:cs="宋体"/>
          <w:spacing w:val="14"/>
          <w:sz w:val="20"/>
          <w:szCs w:val="20"/>
        </w:rPr>
        <w:t>的规定，本单位为符合条件的残疾人福利性单位，且本单位参加</w:t>
      </w:r>
      <w:r>
        <w:rPr>
          <w:rFonts w:ascii="宋体" w:hAnsi="宋体" w:eastAsia="宋体" w:cs="宋体"/>
          <w:spacing w:val="8"/>
          <w:sz w:val="20"/>
          <w:szCs w:val="20"/>
        </w:rPr>
        <w:t>单位的</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8"/>
          <w:sz w:val="20"/>
          <w:szCs w:val="20"/>
        </w:rPr>
        <w:t>项目采购活动提供本单位制造的货物（由本单位承担工程/提供服务</w:t>
      </w:r>
      <w:r>
        <w:rPr>
          <w:rFonts w:ascii="宋体" w:hAnsi="宋体" w:eastAsia="宋体" w:cs="宋体"/>
          <w:spacing w:val="-6"/>
          <w:sz w:val="20"/>
          <w:szCs w:val="20"/>
        </w:rPr>
        <w:t>），</w:t>
      </w:r>
      <w:r>
        <w:rPr>
          <w:rFonts w:ascii="宋体" w:hAnsi="宋体" w:eastAsia="宋体" w:cs="宋体"/>
          <w:spacing w:val="8"/>
          <w:sz w:val="20"/>
          <w:szCs w:val="20"/>
        </w:rPr>
        <w:t>或者提供其</w:t>
      </w:r>
      <w:r>
        <w:rPr>
          <w:rFonts w:ascii="宋体" w:hAnsi="宋体" w:eastAsia="宋体" w:cs="宋体"/>
          <w:spacing w:val="9"/>
          <w:sz w:val="20"/>
          <w:szCs w:val="20"/>
        </w:rPr>
        <w:t>他残疾人福利性单位制造的货物（不包括使用非残疾人福利性单位注册商标的货物）。</w:t>
      </w:r>
    </w:p>
    <w:p w14:paraId="09A7971E">
      <w:pPr>
        <w:keepNext w:val="0"/>
        <w:keepLines w:val="0"/>
        <w:pageBreakBefore w:val="0"/>
        <w:kinsoku/>
        <w:wordWrap/>
        <w:overflowPunct/>
        <w:topLinePunct w:val="0"/>
        <w:bidi w:val="0"/>
        <w:spacing w:line="226" w:lineRule="auto"/>
        <w:ind w:left="428"/>
        <w:rPr>
          <w:rFonts w:ascii="宋体" w:hAnsi="宋体" w:eastAsia="宋体" w:cs="宋体"/>
          <w:sz w:val="20"/>
          <w:szCs w:val="20"/>
        </w:rPr>
      </w:pPr>
      <w:r>
        <w:rPr>
          <w:rFonts w:ascii="宋体" w:hAnsi="宋体" w:eastAsia="宋体" w:cs="宋体"/>
          <w:spacing w:val="9"/>
          <w:sz w:val="20"/>
          <w:szCs w:val="20"/>
        </w:rPr>
        <w:t>本单位对上述声明的真实性负责。如有虚假，将依法承担相应责任。</w:t>
      </w:r>
    </w:p>
    <w:p w14:paraId="5672BE1E">
      <w:pPr>
        <w:pStyle w:val="4"/>
        <w:keepNext w:val="0"/>
        <w:keepLines w:val="0"/>
        <w:pageBreakBefore w:val="0"/>
        <w:kinsoku/>
        <w:wordWrap/>
        <w:overflowPunct/>
        <w:topLinePunct w:val="0"/>
        <w:bidi w:val="0"/>
        <w:spacing w:line="276" w:lineRule="auto"/>
      </w:pPr>
    </w:p>
    <w:p w14:paraId="1A79EAA4">
      <w:pPr>
        <w:pStyle w:val="4"/>
        <w:keepNext w:val="0"/>
        <w:keepLines w:val="0"/>
        <w:pageBreakBefore w:val="0"/>
        <w:kinsoku/>
        <w:wordWrap/>
        <w:overflowPunct/>
        <w:topLinePunct w:val="0"/>
        <w:bidi w:val="0"/>
        <w:spacing w:line="277" w:lineRule="auto"/>
      </w:pPr>
    </w:p>
    <w:p w14:paraId="44DA7460">
      <w:pPr>
        <w:pStyle w:val="4"/>
        <w:keepNext w:val="0"/>
        <w:keepLines w:val="0"/>
        <w:pageBreakBefore w:val="0"/>
        <w:kinsoku/>
        <w:wordWrap/>
        <w:overflowPunct/>
        <w:topLinePunct w:val="0"/>
        <w:bidi w:val="0"/>
        <w:spacing w:line="277" w:lineRule="auto"/>
      </w:pPr>
    </w:p>
    <w:p w14:paraId="03EC67E6">
      <w:pPr>
        <w:pStyle w:val="4"/>
        <w:keepNext w:val="0"/>
        <w:keepLines w:val="0"/>
        <w:pageBreakBefore w:val="0"/>
        <w:kinsoku/>
        <w:wordWrap/>
        <w:overflowPunct/>
        <w:topLinePunct w:val="0"/>
        <w:bidi w:val="0"/>
        <w:spacing w:line="277" w:lineRule="auto"/>
      </w:pPr>
    </w:p>
    <w:p w14:paraId="6CBED7F1">
      <w:pPr>
        <w:keepNext w:val="0"/>
        <w:keepLines w:val="0"/>
        <w:pageBreakBefore w:val="0"/>
        <w:kinsoku/>
        <w:wordWrap/>
        <w:overflowPunct/>
        <w:topLinePunct w:val="0"/>
        <w:bidi w:val="0"/>
        <w:spacing w:before="65" w:line="227" w:lineRule="auto"/>
        <w:ind w:left="3856"/>
        <w:rPr>
          <w:rFonts w:ascii="宋体" w:hAnsi="宋体" w:eastAsia="宋体" w:cs="宋体"/>
          <w:sz w:val="20"/>
          <w:szCs w:val="20"/>
        </w:rPr>
      </w:pPr>
      <w:r>
        <w:rPr>
          <w:rFonts w:ascii="宋体" w:hAnsi="宋体" w:eastAsia="宋体" w:cs="宋体"/>
          <w:spacing w:val="8"/>
          <w:sz w:val="20"/>
          <w:szCs w:val="20"/>
        </w:rPr>
        <w:t>单位名称（盖章</w:t>
      </w:r>
      <w:r>
        <w:rPr>
          <w:rFonts w:ascii="宋体" w:hAnsi="宋体" w:eastAsia="宋体" w:cs="宋体"/>
          <w:spacing w:val="1"/>
          <w:sz w:val="20"/>
          <w:szCs w:val="20"/>
        </w:rPr>
        <w:t>）：</w:t>
      </w:r>
    </w:p>
    <w:p w14:paraId="39B1AA9C">
      <w:pPr>
        <w:keepNext w:val="0"/>
        <w:keepLines w:val="0"/>
        <w:pageBreakBefore w:val="0"/>
        <w:kinsoku/>
        <w:wordWrap/>
        <w:overflowPunct/>
        <w:topLinePunct w:val="0"/>
        <w:bidi w:val="0"/>
        <w:spacing w:before="230" w:line="228" w:lineRule="auto"/>
        <w:ind w:left="3995"/>
        <w:rPr>
          <w:rFonts w:ascii="宋体" w:hAnsi="宋体" w:eastAsia="宋体" w:cs="宋体"/>
          <w:sz w:val="20"/>
          <w:szCs w:val="20"/>
        </w:rPr>
      </w:pPr>
      <w:r>
        <w:rPr>
          <w:rFonts w:ascii="宋体" w:hAnsi="宋体" w:eastAsia="宋体" w:cs="宋体"/>
          <w:spacing w:val="-13"/>
          <w:sz w:val="20"/>
          <w:szCs w:val="20"/>
        </w:rPr>
        <w:t>日</w:t>
      </w:r>
      <w:r>
        <w:rPr>
          <w:rFonts w:ascii="宋体" w:hAnsi="宋体" w:eastAsia="宋体" w:cs="宋体"/>
          <w:spacing w:val="11"/>
          <w:sz w:val="20"/>
          <w:szCs w:val="20"/>
        </w:rPr>
        <w:t xml:space="preserve">  </w:t>
      </w:r>
      <w:r>
        <w:rPr>
          <w:rFonts w:ascii="宋体" w:hAnsi="宋体" w:eastAsia="宋体" w:cs="宋体"/>
          <w:spacing w:val="-13"/>
          <w:sz w:val="20"/>
          <w:szCs w:val="20"/>
        </w:rPr>
        <w:t>期：</w:t>
      </w:r>
    </w:p>
    <w:p w14:paraId="36ED1EDF">
      <w:pPr>
        <w:pStyle w:val="4"/>
        <w:keepNext w:val="0"/>
        <w:keepLines w:val="0"/>
        <w:pageBreakBefore w:val="0"/>
        <w:kinsoku/>
        <w:wordWrap/>
        <w:overflowPunct/>
        <w:topLinePunct w:val="0"/>
        <w:bidi w:val="0"/>
        <w:spacing w:line="351" w:lineRule="auto"/>
      </w:pPr>
    </w:p>
    <w:p w14:paraId="5DF322B3">
      <w:pPr>
        <w:pStyle w:val="4"/>
        <w:keepNext w:val="0"/>
        <w:keepLines w:val="0"/>
        <w:pageBreakBefore w:val="0"/>
        <w:kinsoku/>
        <w:wordWrap/>
        <w:overflowPunct/>
        <w:topLinePunct w:val="0"/>
        <w:bidi w:val="0"/>
        <w:spacing w:line="352" w:lineRule="auto"/>
      </w:pPr>
    </w:p>
    <w:p w14:paraId="467D75CE">
      <w:pPr>
        <w:keepNext w:val="0"/>
        <w:keepLines w:val="0"/>
        <w:pageBreakBefore w:val="0"/>
        <w:kinsoku/>
        <w:wordWrap/>
        <w:overflowPunct/>
        <w:topLinePunct w:val="0"/>
        <w:bidi w:val="0"/>
        <w:spacing w:before="66" w:line="516" w:lineRule="auto"/>
        <w:ind w:left="13" w:right="79" w:firstLine="415"/>
        <w:rPr>
          <w:rFonts w:ascii="宋体" w:hAnsi="宋体" w:eastAsia="宋体" w:cs="宋体"/>
          <w:sz w:val="20"/>
          <w:szCs w:val="20"/>
        </w:rPr>
      </w:pPr>
      <w:r>
        <w:rPr>
          <w:rFonts w:ascii="宋体" w:hAnsi="宋体" w:eastAsia="宋体" w:cs="宋体"/>
          <w:b/>
          <w:bCs/>
          <w:spacing w:val="11"/>
          <w:sz w:val="20"/>
          <w:szCs w:val="20"/>
        </w:rPr>
        <w:t>说明</w:t>
      </w:r>
      <w:r>
        <w:rPr>
          <w:rFonts w:ascii="宋体" w:hAnsi="宋体" w:eastAsia="宋体" w:cs="宋体"/>
          <w:b/>
          <w:bCs/>
          <w:spacing w:val="-15"/>
          <w:sz w:val="20"/>
          <w:szCs w:val="20"/>
        </w:rPr>
        <w:t>：</w:t>
      </w:r>
      <w:r>
        <w:rPr>
          <w:rFonts w:ascii="宋体" w:hAnsi="宋体" w:eastAsia="宋体" w:cs="宋体"/>
          <w:spacing w:val="-75"/>
          <w:sz w:val="20"/>
          <w:szCs w:val="20"/>
        </w:rPr>
        <w:t xml:space="preserve"> </w:t>
      </w:r>
      <w:r>
        <w:rPr>
          <w:rFonts w:ascii="宋体" w:hAnsi="宋体" w:eastAsia="宋体" w:cs="宋体"/>
          <w:spacing w:val="-15"/>
          <w:sz w:val="20"/>
          <w:szCs w:val="20"/>
        </w:rPr>
        <w:t>（</w:t>
      </w:r>
      <w:r>
        <w:rPr>
          <w:rFonts w:ascii="宋体" w:hAnsi="宋体" w:eastAsia="宋体" w:cs="宋体"/>
          <w:spacing w:val="11"/>
          <w:sz w:val="20"/>
          <w:szCs w:val="20"/>
        </w:rPr>
        <w:t>1）</w:t>
      </w:r>
      <w:r>
        <w:rPr>
          <w:rFonts w:ascii="宋体" w:hAnsi="宋体" w:eastAsia="宋体" w:cs="宋体"/>
          <w:spacing w:val="-58"/>
          <w:sz w:val="20"/>
          <w:szCs w:val="20"/>
        </w:rPr>
        <w:t xml:space="preserve"> </w:t>
      </w:r>
      <w:r>
        <w:rPr>
          <w:rFonts w:ascii="宋体" w:hAnsi="宋体" w:eastAsia="宋体" w:cs="宋体"/>
          <w:b/>
          <w:bCs/>
          <w:spacing w:val="11"/>
          <w:sz w:val="20"/>
          <w:szCs w:val="20"/>
        </w:rPr>
        <w:t>中标人为残疾人福利性单位的，随中标结果同时公告其《残疾人福</w:t>
      </w:r>
      <w:r>
        <w:rPr>
          <w:rFonts w:ascii="宋体" w:hAnsi="宋体" w:eastAsia="宋体" w:cs="宋体"/>
          <w:b/>
          <w:bCs/>
          <w:spacing w:val="10"/>
          <w:sz w:val="20"/>
          <w:szCs w:val="20"/>
        </w:rPr>
        <w:t>利性单位声明</w:t>
      </w:r>
      <w:r>
        <w:rPr>
          <w:rFonts w:ascii="宋体" w:hAnsi="宋体" w:eastAsia="宋体" w:cs="宋体"/>
          <w:b/>
          <w:bCs/>
          <w:spacing w:val="3"/>
          <w:sz w:val="20"/>
          <w:szCs w:val="20"/>
        </w:rPr>
        <w:t>函》</w:t>
      </w:r>
      <w:r>
        <w:rPr>
          <w:rFonts w:ascii="宋体" w:hAnsi="宋体" w:eastAsia="宋体" w:cs="宋体"/>
          <w:spacing w:val="-54"/>
          <w:sz w:val="20"/>
          <w:szCs w:val="20"/>
        </w:rPr>
        <w:t xml:space="preserve"> </w:t>
      </w:r>
      <w:r>
        <w:rPr>
          <w:rFonts w:ascii="宋体" w:hAnsi="宋体" w:eastAsia="宋体" w:cs="宋体"/>
          <w:b/>
          <w:bCs/>
          <w:spacing w:val="3"/>
          <w:sz w:val="20"/>
          <w:szCs w:val="20"/>
        </w:rPr>
        <w:t>，接受社会监督。</w:t>
      </w:r>
    </w:p>
    <w:p w14:paraId="59C183AB">
      <w:pPr>
        <w:keepNext w:val="0"/>
        <w:keepLines w:val="0"/>
        <w:pageBreakBefore w:val="0"/>
        <w:kinsoku/>
        <w:wordWrap/>
        <w:overflowPunct/>
        <w:topLinePunct w:val="0"/>
        <w:bidi w:val="0"/>
        <w:spacing w:line="517" w:lineRule="auto"/>
        <w:ind w:left="1" w:right="2" w:firstLine="435"/>
        <w:rPr>
          <w:rFonts w:ascii="宋体" w:hAnsi="宋体" w:eastAsia="宋体" w:cs="宋体"/>
          <w:sz w:val="20"/>
          <w:szCs w:val="20"/>
        </w:rPr>
      </w:pPr>
      <w:r>
        <w:rPr>
          <w:rFonts w:ascii="宋体" w:hAnsi="宋体" w:eastAsia="宋体" w:cs="宋体"/>
          <w:spacing w:val="10"/>
          <w:sz w:val="20"/>
          <w:szCs w:val="20"/>
        </w:rPr>
        <w:t>（2）中标人提供的《残疾人福利性单位声明函》与事实不符的，依照</w:t>
      </w:r>
      <w:r>
        <w:rPr>
          <w:rFonts w:ascii="宋体" w:hAnsi="宋体" w:eastAsia="宋体" w:cs="宋体"/>
          <w:spacing w:val="9"/>
          <w:sz w:val="20"/>
          <w:szCs w:val="20"/>
        </w:rPr>
        <w:t>《政府采购法》第七十七</w:t>
      </w:r>
      <w:r>
        <w:rPr>
          <w:rFonts w:ascii="宋体" w:hAnsi="宋体" w:eastAsia="宋体" w:cs="宋体"/>
          <w:spacing w:val="11"/>
          <w:sz w:val="20"/>
          <w:szCs w:val="20"/>
        </w:rPr>
        <w:t>条第一款的规定追究法律责任。</w:t>
      </w:r>
    </w:p>
    <w:p w14:paraId="2E39117F">
      <w:pPr>
        <w:keepNext w:val="0"/>
        <w:keepLines w:val="0"/>
        <w:pageBreakBefore w:val="0"/>
        <w:kinsoku/>
        <w:wordWrap/>
        <w:overflowPunct/>
        <w:topLinePunct w:val="0"/>
        <w:bidi w:val="0"/>
        <w:spacing w:before="1" w:line="227" w:lineRule="auto"/>
        <w:ind w:left="437"/>
        <w:rPr>
          <w:rFonts w:ascii="宋体" w:hAnsi="宋体" w:eastAsia="宋体" w:cs="宋体"/>
          <w:sz w:val="20"/>
          <w:szCs w:val="20"/>
        </w:rPr>
      </w:pPr>
      <w:r>
        <w:rPr>
          <w:rFonts w:ascii="宋体" w:hAnsi="宋体" w:eastAsia="宋体" w:cs="宋体"/>
          <w:spacing w:val="11"/>
          <w:sz w:val="20"/>
          <w:szCs w:val="20"/>
        </w:rPr>
        <w:t>（3） 残疾人福利性单位属于小型、微型企业的，不重复享受政策。</w:t>
      </w:r>
    </w:p>
    <w:p w14:paraId="555CE7CC">
      <w:pPr>
        <w:pStyle w:val="4"/>
        <w:keepNext w:val="0"/>
        <w:keepLines w:val="0"/>
        <w:pageBreakBefore w:val="0"/>
        <w:kinsoku/>
        <w:wordWrap/>
        <w:overflowPunct/>
        <w:topLinePunct w:val="0"/>
        <w:bidi w:val="0"/>
        <w:spacing w:line="245" w:lineRule="auto"/>
      </w:pPr>
    </w:p>
    <w:p w14:paraId="7840DDE2">
      <w:pPr>
        <w:keepNext w:val="0"/>
        <w:keepLines w:val="0"/>
        <w:pageBreakBefore w:val="0"/>
        <w:kinsoku/>
        <w:wordWrap/>
        <w:overflowPunct/>
        <w:topLinePunct w:val="0"/>
        <w:bidi w:val="0"/>
        <w:spacing w:before="65" w:line="520" w:lineRule="auto"/>
        <w:ind w:left="12" w:right="2" w:firstLine="425"/>
        <w:rPr>
          <w:rFonts w:ascii="宋体" w:hAnsi="宋体" w:eastAsia="宋体" w:cs="宋体"/>
          <w:sz w:val="20"/>
          <w:szCs w:val="20"/>
        </w:rPr>
      </w:pPr>
      <w:r>
        <w:rPr>
          <w:rFonts w:ascii="宋体" w:hAnsi="宋体" w:eastAsia="宋体" w:cs="宋体"/>
          <w:spacing w:val="10"/>
          <w:sz w:val="20"/>
          <w:szCs w:val="20"/>
        </w:rPr>
        <w:t>（4）投标人属于残疾人福利性单位的填写，不属于的无需填写此项内</w:t>
      </w:r>
      <w:r>
        <w:rPr>
          <w:rFonts w:ascii="宋体" w:hAnsi="宋体" w:eastAsia="宋体" w:cs="宋体"/>
          <w:spacing w:val="9"/>
          <w:sz w:val="20"/>
          <w:szCs w:val="20"/>
        </w:rPr>
        <w:t>容，不必签章，空白或删</w:t>
      </w:r>
      <w:r>
        <w:rPr>
          <w:rFonts w:ascii="宋体" w:hAnsi="宋体" w:eastAsia="宋体" w:cs="宋体"/>
          <w:spacing w:val="3"/>
          <w:sz w:val="20"/>
          <w:szCs w:val="20"/>
        </w:rPr>
        <w:t>除均可。</w:t>
      </w:r>
    </w:p>
    <w:p w14:paraId="1B5865C0">
      <w:pPr>
        <w:keepNext w:val="0"/>
        <w:keepLines w:val="0"/>
        <w:pageBreakBefore w:val="0"/>
        <w:kinsoku/>
        <w:wordWrap/>
        <w:overflowPunct/>
        <w:topLinePunct w:val="0"/>
        <w:bidi w:val="0"/>
        <w:spacing w:before="82" w:line="219" w:lineRule="auto"/>
        <w:ind w:left="2772"/>
        <w:outlineLvl w:val="9"/>
        <w:rPr>
          <w:rFonts w:ascii="宋体" w:hAnsi="宋体" w:eastAsia="宋体" w:cs="宋体"/>
          <w:sz w:val="24"/>
          <w:szCs w:val="24"/>
        </w:rPr>
      </w:pPr>
      <w:bookmarkStart w:id="70" w:name="bookmark45"/>
      <w:bookmarkEnd w:id="70"/>
      <w:r>
        <w:rPr>
          <w:rFonts w:ascii="宋体" w:hAnsi="宋体" w:eastAsia="宋体" w:cs="宋体"/>
          <w:b/>
          <w:bCs/>
          <w:spacing w:val="-1"/>
          <w:sz w:val="24"/>
          <w:szCs w:val="24"/>
        </w:rPr>
        <w:br w:type="page"/>
      </w:r>
      <w:r>
        <w:rPr>
          <w:rFonts w:ascii="宋体" w:hAnsi="宋体" w:eastAsia="宋体" w:cs="宋体"/>
          <w:b/>
          <w:bCs/>
          <w:spacing w:val="-1"/>
          <w:sz w:val="24"/>
          <w:szCs w:val="24"/>
        </w:rPr>
        <w:t>（三）监狱企业证明文件（如有）</w:t>
      </w:r>
    </w:p>
    <w:p w14:paraId="62BD10E1">
      <w:pPr>
        <w:keepNext w:val="0"/>
        <w:keepLines w:val="0"/>
        <w:pageBreakBefore w:val="0"/>
        <w:kinsoku/>
        <w:wordWrap/>
        <w:overflowPunct/>
        <w:topLinePunct w:val="0"/>
        <w:bidi w:val="0"/>
        <w:spacing w:before="125" w:line="228" w:lineRule="auto"/>
        <w:ind w:right="21"/>
        <w:jc w:val="right"/>
        <w:rPr>
          <w:rFonts w:ascii="宋体" w:hAnsi="宋体" w:eastAsia="宋体" w:cs="宋体"/>
          <w:sz w:val="20"/>
          <w:szCs w:val="20"/>
        </w:rPr>
      </w:pPr>
      <w:r>
        <w:rPr>
          <w:rFonts w:ascii="宋体" w:hAnsi="宋体" w:eastAsia="宋体" w:cs="宋体"/>
          <w:spacing w:val="11"/>
          <w:sz w:val="20"/>
          <w:szCs w:val="20"/>
        </w:rPr>
        <w:t>省级以上监狱管理局、戒毒管理局（含新疆生产建设兵团）</w:t>
      </w:r>
      <w:r>
        <w:rPr>
          <w:rFonts w:ascii="宋体" w:hAnsi="宋体" w:eastAsia="宋体" w:cs="宋体"/>
          <w:spacing w:val="-49"/>
          <w:sz w:val="20"/>
          <w:szCs w:val="20"/>
        </w:rPr>
        <w:t xml:space="preserve"> </w:t>
      </w:r>
      <w:r>
        <w:rPr>
          <w:rFonts w:ascii="宋体" w:hAnsi="宋体" w:eastAsia="宋体" w:cs="宋体"/>
          <w:spacing w:val="11"/>
          <w:sz w:val="20"/>
          <w:szCs w:val="20"/>
        </w:rPr>
        <w:t>出具的属于监狱企业的证明文件。</w:t>
      </w:r>
    </w:p>
    <w:p w14:paraId="323BF3DA">
      <w:pPr>
        <w:pStyle w:val="4"/>
        <w:keepNext w:val="0"/>
        <w:keepLines w:val="0"/>
        <w:pageBreakBefore w:val="0"/>
        <w:kinsoku/>
        <w:wordWrap/>
        <w:overflowPunct/>
        <w:topLinePunct w:val="0"/>
        <w:bidi w:val="0"/>
        <w:spacing w:line="295" w:lineRule="auto"/>
      </w:pPr>
    </w:p>
    <w:p w14:paraId="0B5C6236">
      <w:pPr>
        <w:keepNext w:val="0"/>
        <w:keepLines w:val="0"/>
        <w:pageBreakBefore w:val="0"/>
        <w:kinsoku/>
        <w:wordWrap/>
        <w:overflowPunct/>
        <w:topLinePunct w:val="0"/>
        <w:bidi w:val="0"/>
        <w:spacing w:before="65" w:line="520" w:lineRule="auto"/>
        <w:ind w:firstLine="427"/>
        <w:rPr>
          <w:rFonts w:ascii="宋体" w:hAnsi="宋体" w:eastAsia="宋体" w:cs="宋体"/>
          <w:sz w:val="20"/>
          <w:szCs w:val="20"/>
        </w:rPr>
      </w:pPr>
      <w:r>
        <w:rPr>
          <w:rFonts w:ascii="宋体" w:hAnsi="宋体" w:eastAsia="宋体" w:cs="宋体"/>
          <w:b/>
          <w:bCs/>
          <w:spacing w:val="13"/>
          <w:sz w:val="20"/>
          <w:szCs w:val="20"/>
        </w:rPr>
        <w:t>说明：</w:t>
      </w:r>
      <w:r>
        <w:rPr>
          <w:rFonts w:ascii="宋体" w:hAnsi="宋体" w:eastAsia="宋体" w:cs="宋体"/>
          <w:spacing w:val="13"/>
          <w:sz w:val="20"/>
          <w:szCs w:val="20"/>
        </w:rPr>
        <w:t>投标人属于监狱企业的附相关证明文</w:t>
      </w:r>
      <w:r>
        <w:rPr>
          <w:rFonts w:ascii="宋体" w:hAnsi="宋体" w:eastAsia="宋体" w:cs="宋体"/>
          <w:spacing w:val="12"/>
          <w:sz w:val="20"/>
          <w:szCs w:val="20"/>
        </w:rPr>
        <w:t>件，不属于的无需提供此项内容，不必签章，空白</w:t>
      </w:r>
      <w:r>
        <w:rPr>
          <w:rFonts w:ascii="宋体" w:hAnsi="宋体" w:eastAsia="宋体" w:cs="宋体"/>
          <w:spacing w:val="8"/>
          <w:sz w:val="20"/>
          <w:szCs w:val="20"/>
        </w:rPr>
        <w:t>或删除均可。</w:t>
      </w:r>
    </w:p>
    <w:p w14:paraId="64837014">
      <w:pPr>
        <w:keepNext w:val="0"/>
        <w:keepLines w:val="0"/>
        <w:pageBreakBefore w:val="0"/>
        <w:kinsoku/>
        <w:wordWrap/>
        <w:overflowPunct/>
        <w:topLinePunct w:val="0"/>
        <w:bidi w:val="0"/>
        <w:spacing w:before="219" w:line="219" w:lineRule="auto"/>
        <w:ind w:left="2605"/>
        <w:outlineLvl w:val="1"/>
        <w:rPr>
          <w:rFonts w:ascii="宋体" w:hAnsi="宋体" w:eastAsia="宋体" w:cs="宋体"/>
          <w:sz w:val="28"/>
          <w:szCs w:val="28"/>
        </w:rPr>
      </w:pPr>
      <w:bookmarkStart w:id="71" w:name="bookmark46"/>
      <w:bookmarkEnd w:id="71"/>
      <w:bookmarkStart w:id="72" w:name="_Toc30364"/>
      <w:r>
        <w:rPr>
          <w:rFonts w:ascii="宋体" w:hAnsi="宋体" w:eastAsia="宋体" w:cs="宋体"/>
          <w:b/>
          <w:bCs/>
          <w:spacing w:val="-1"/>
          <w:sz w:val="28"/>
          <w:szCs w:val="28"/>
        </w:rPr>
        <w:br w:type="page"/>
      </w:r>
      <w:r>
        <w:rPr>
          <w:rFonts w:ascii="宋体" w:hAnsi="宋体" w:eastAsia="宋体" w:cs="宋体"/>
          <w:b/>
          <w:bCs/>
          <w:spacing w:val="-1"/>
          <w:sz w:val="28"/>
          <w:szCs w:val="28"/>
        </w:rPr>
        <w:t>六、技术标部分证明材料</w:t>
      </w:r>
      <w:bookmarkEnd w:id="72"/>
    </w:p>
    <w:p w14:paraId="661AB2AE">
      <w:pPr>
        <w:keepNext w:val="0"/>
        <w:keepLines w:val="0"/>
        <w:pageBreakBefore w:val="0"/>
        <w:kinsoku/>
        <w:wordWrap/>
        <w:overflowPunct/>
        <w:topLinePunct w:val="0"/>
        <w:bidi w:val="0"/>
        <w:spacing w:before="257" w:line="227" w:lineRule="auto"/>
        <w:ind w:left="1222"/>
        <w:rPr>
          <w:rFonts w:ascii="宋体" w:hAnsi="宋体" w:eastAsia="宋体" w:cs="宋体"/>
          <w:sz w:val="20"/>
          <w:szCs w:val="20"/>
        </w:rPr>
      </w:pPr>
      <w:r>
        <w:rPr>
          <w:rFonts w:ascii="宋体" w:hAnsi="宋体" w:eastAsia="宋体" w:cs="宋体"/>
          <w:spacing w:val="9"/>
          <w:sz w:val="20"/>
          <w:szCs w:val="20"/>
        </w:rPr>
        <w:t>根据招标文件第三章评标办法中技术标部分要求的内容进行提供</w:t>
      </w:r>
    </w:p>
    <w:p w14:paraId="0BDFBF17">
      <w:pPr>
        <w:keepNext w:val="0"/>
        <w:keepLines w:val="0"/>
        <w:pageBreakBefore w:val="0"/>
        <w:kinsoku/>
        <w:wordWrap/>
        <w:overflowPunct/>
        <w:topLinePunct w:val="0"/>
        <w:bidi w:val="0"/>
        <w:spacing w:before="219" w:line="219" w:lineRule="auto"/>
        <w:ind w:left="3139"/>
        <w:outlineLvl w:val="1"/>
        <w:rPr>
          <w:rFonts w:ascii="宋体" w:hAnsi="宋体" w:eastAsia="宋体" w:cs="宋体"/>
          <w:sz w:val="28"/>
          <w:szCs w:val="28"/>
        </w:rPr>
      </w:pPr>
      <w:bookmarkStart w:id="73" w:name="bookmark47"/>
      <w:bookmarkEnd w:id="73"/>
      <w:bookmarkStart w:id="74" w:name="bookmark48"/>
      <w:bookmarkEnd w:id="74"/>
      <w:bookmarkStart w:id="75" w:name="_Toc6002"/>
      <w:r>
        <w:rPr>
          <w:rFonts w:ascii="宋体" w:hAnsi="宋体" w:eastAsia="宋体" w:cs="宋体"/>
          <w:b/>
          <w:bCs/>
          <w:spacing w:val="-1"/>
          <w:sz w:val="28"/>
          <w:szCs w:val="28"/>
        </w:rPr>
        <w:br w:type="page"/>
      </w:r>
      <w:r>
        <w:rPr>
          <w:rFonts w:ascii="宋体" w:hAnsi="宋体" w:eastAsia="宋体" w:cs="宋体"/>
          <w:b/>
          <w:bCs/>
          <w:spacing w:val="-1"/>
          <w:sz w:val="28"/>
          <w:szCs w:val="28"/>
        </w:rPr>
        <w:t>七、综合标部分证明材料</w:t>
      </w:r>
      <w:bookmarkEnd w:id="75"/>
    </w:p>
    <w:p w14:paraId="73D06948">
      <w:pPr>
        <w:keepNext w:val="0"/>
        <w:keepLines w:val="0"/>
        <w:pageBreakBefore w:val="0"/>
        <w:kinsoku/>
        <w:wordWrap/>
        <w:overflowPunct/>
        <w:topLinePunct w:val="0"/>
        <w:bidi w:val="0"/>
        <w:spacing w:before="243" w:line="219" w:lineRule="auto"/>
        <w:ind w:left="2773"/>
        <w:outlineLvl w:val="2"/>
        <w:rPr>
          <w:rFonts w:hint="eastAsia" w:ascii="宋体" w:hAnsi="宋体" w:eastAsia="宋体" w:cs="宋体"/>
          <w:sz w:val="24"/>
          <w:szCs w:val="24"/>
          <w:lang w:eastAsia="zh-CN"/>
        </w:rPr>
      </w:pPr>
      <w:bookmarkStart w:id="76" w:name="_Toc17691"/>
      <w:r>
        <w:rPr>
          <w:rFonts w:ascii="宋体" w:hAnsi="宋体" w:eastAsia="宋体" w:cs="宋体"/>
          <w:b/>
          <w:bCs/>
          <w:spacing w:val="-1"/>
          <w:sz w:val="24"/>
          <w:szCs w:val="24"/>
        </w:rPr>
        <w:t>（</w:t>
      </w:r>
      <w:r>
        <w:rPr>
          <w:rFonts w:ascii="宋体" w:hAnsi="宋体" w:eastAsia="宋体" w:cs="宋体"/>
          <w:b/>
          <w:bCs/>
          <w:color w:val="000000" w:themeColor="text1"/>
          <w:spacing w:val="-1"/>
          <w:sz w:val="24"/>
          <w:szCs w:val="24"/>
          <w14:textFill>
            <w14:solidFill>
              <w14:schemeClr w14:val="tx1"/>
            </w14:solidFill>
          </w14:textFill>
        </w:rPr>
        <w:t>一）近年来完成的项目</w:t>
      </w:r>
      <w:r>
        <w:rPr>
          <w:rFonts w:hint="eastAsia" w:ascii="宋体" w:hAnsi="宋体" w:eastAsia="宋体" w:cs="宋体"/>
          <w:b/>
          <w:bCs/>
          <w:color w:val="000000" w:themeColor="text1"/>
          <w:spacing w:val="-1"/>
          <w:sz w:val="24"/>
          <w:szCs w:val="24"/>
          <w:lang w:val="en-US" w:eastAsia="zh-CN"/>
          <w14:textFill>
            <w14:solidFill>
              <w14:schemeClr w14:val="tx1"/>
            </w14:solidFill>
          </w14:textFill>
        </w:rPr>
        <w:t>业绩</w:t>
      </w:r>
      <w:bookmarkEnd w:id="76"/>
    </w:p>
    <w:p w14:paraId="19620B3C">
      <w:pPr>
        <w:keepNext w:val="0"/>
        <w:keepLines w:val="0"/>
        <w:pageBreakBefore w:val="0"/>
        <w:kinsoku/>
        <w:wordWrap/>
        <w:overflowPunct/>
        <w:topLinePunct w:val="0"/>
        <w:bidi w:val="0"/>
        <w:spacing w:line="72" w:lineRule="exact"/>
      </w:pPr>
    </w:p>
    <w:p w14:paraId="66806669">
      <w:pPr>
        <w:keepNext w:val="0"/>
        <w:keepLines w:val="0"/>
        <w:pageBreakBefore w:val="0"/>
        <w:kinsoku/>
        <w:wordWrap/>
        <w:overflowPunct/>
        <w:topLinePunct w:val="0"/>
        <w:bidi w:val="0"/>
        <w:spacing w:before="132" w:line="227" w:lineRule="auto"/>
        <w:ind w:left="123"/>
        <w:rPr>
          <w:rFonts w:ascii="宋体" w:hAnsi="宋体" w:eastAsia="宋体" w:cs="宋体"/>
          <w:spacing w:val="12"/>
          <w:sz w:val="20"/>
          <w:szCs w:val="20"/>
        </w:rPr>
      </w:pPr>
    </w:p>
    <w:p w14:paraId="24E99331">
      <w:pPr>
        <w:keepNext w:val="0"/>
        <w:keepLines w:val="0"/>
        <w:pageBreakBefore w:val="0"/>
        <w:kinsoku/>
        <w:wordWrap/>
        <w:overflowPunct/>
        <w:topLinePunct w:val="0"/>
        <w:bidi w:val="0"/>
        <w:spacing w:before="132" w:line="227" w:lineRule="auto"/>
        <w:ind w:left="123"/>
        <w:rPr>
          <w:rFonts w:ascii="宋体" w:hAnsi="宋体" w:eastAsia="宋体" w:cs="宋体"/>
          <w:sz w:val="20"/>
          <w:szCs w:val="20"/>
        </w:rPr>
      </w:pPr>
      <w:r>
        <w:rPr>
          <w:rFonts w:ascii="宋体" w:hAnsi="宋体" w:eastAsia="宋体" w:cs="宋体"/>
          <w:spacing w:val="12"/>
          <w:sz w:val="20"/>
          <w:szCs w:val="20"/>
        </w:rPr>
        <w:t>备注：应附合同等资料，具体以招标文件第三章评标办法要求的业绩证明材料为准。</w:t>
      </w:r>
    </w:p>
    <w:p w14:paraId="41041E9F">
      <w:pPr>
        <w:pStyle w:val="4"/>
        <w:keepNext w:val="0"/>
        <w:keepLines w:val="0"/>
        <w:pageBreakBefore w:val="0"/>
        <w:kinsoku/>
        <w:wordWrap/>
        <w:overflowPunct/>
        <w:topLinePunct w:val="0"/>
        <w:bidi w:val="0"/>
        <w:spacing w:line="254" w:lineRule="auto"/>
      </w:pPr>
    </w:p>
    <w:p w14:paraId="64F0664D">
      <w:pPr>
        <w:pStyle w:val="4"/>
        <w:keepNext w:val="0"/>
        <w:keepLines w:val="0"/>
        <w:pageBreakBefore w:val="0"/>
        <w:kinsoku/>
        <w:wordWrap/>
        <w:overflowPunct/>
        <w:topLinePunct w:val="0"/>
        <w:bidi w:val="0"/>
        <w:spacing w:line="254" w:lineRule="auto"/>
      </w:pPr>
    </w:p>
    <w:p w14:paraId="6AD0F134">
      <w:pPr>
        <w:pStyle w:val="4"/>
        <w:keepNext w:val="0"/>
        <w:keepLines w:val="0"/>
        <w:pageBreakBefore w:val="0"/>
        <w:kinsoku/>
        <w:wordWrap/>
        <w:overflowPunct/>
        <w:topLinePunct w:val="0"/>
        <w:bidi w:val="0"/>
        <w:spacing w:line="254" w:lineRule="auto"/>
      </w:pPr>
    </w:p>
    <w:p w14:paraId="5EF0B83C">
      <w:pPr>
        <w:pStyle w:val="4"/>
        <w:keepNext w:val="0"/>
        <w:keepLines w:val="0"/>
        <w:pageBreakBefore w:val="0"/>
        <w:kinsoku/>
        <w:wordWrap/>
        <w:overflowPunct/>
        <w:topLinePunct w:val="0"/>
        <w:bidi w:val="0"/>
        <w:spacing w:line="254" w:lineRule="auto"/>
      </w:pPr>
    </w:p>
    <w:p w14:paraId="20EB2542">
      <w:pPr>
        <w:pStyle w:val="4"/>
        <w:keepNext w:val="0"/>
        <w:keepLines w:val="0"/>
        <w:pageBreakBefore w:val="0"/>
        <w:kinsoku/>
        <w:wordWrap/>
        <w:overflowPunct/>
        <w:topLinePunct w:val="0"/>
        <w:bidi w:val="0"/>
        <w:spacing w:line="254" w:lineRule="auto"/>
      </w:pPr>
    </w:p>
    <w:p w14:paraId="4AA47FC8">
      <w:pPr>
        <w:pStyle w:val="4"/>
        <w:keepNext w:val="0"/>
        <w:keepLines w:val="0"/>
        <w:pageBreakBefore w:val="0"/>
        <w:kinsoku/>
        <w:wordWrap/>
        <w:overflowPunct/>
        <w:topLinePunct w:val="0"/>
        <w:bidi w:val="0"/>
        <w:spacing w:line="254" w:lineRule="auto"/>
      </w:pPr>
    </w:p>
    <w:p w14:paraId="7B441112">
      <w:pPr>
        <w:pStyle w:val="4"/>
        <w:keepNext w:val="0"/>
        <w:keepLines w:val="0"/>
        <w:pageBreakBefore w:val="0"/>
        <w:kinsoku/>
        <w:wordWrap/>
        <w:overflowPunct/>
        <w:topLinePunct w:val="0"/>
        <w:bidi w:val="0"/>
        <w:spacing w:line="254" w:lineRule="auto"/>
      </w:pPr>
    </w:p>
    <w:p w14:paraId="7DFEFFC0">
      <w:pPr>
        <w:pStyle w:val="4"/>
        <w:keepNext w:val="0"/>
        <w:keepLines w:val="0"/>
        <w:pageBreakBefore w:val="0"/>
        <w:kinsoku/>
        <w:wordWrap/>
        <w:overflowPunct/>
        <w:topLinePunct w:val="0"/>
        <w:bidi w:val="0"/>
        <w:spacing w:line="254" w:lineRule="auto"/>
      </w:pPr>
    </w:p>
    <w:p w14:paraId="796C706E">
      <w:pPr>
        <w:keepNext w:val="0"/>
        <w:keepLines w:val="0"/>
        <w:pageBreakBefore w:val="0"/>
        <w:kinsoku/>
        <w:wordWrap/>
        <w:overflowPunct/>
        <w:topLinePunct w:val="0"/>
        <w:bidi w:val="0"/>
        <w:spacing w:before="243" w:line="219" w:lineRule="auto"/>
        <w:ind w:left="2773"/>
        <w:outlineLvl w:val="2"/>
        <w:rPr>
          <w:rFonts w:hint="eastAsia" w:ascii="宋体" w:hAnsi="宋体" w:eastAsia="宋体" w:cs="宋体"/>
          <w:sz w:val="24"/>
          <w:szCs w:val="24"/>
          <w:lang w:eastAsia="zh-CN"/>
        </w:rPr>
      </w:pPr>
      <w:bookmarkStart w:id="77" w:name="bookmark49"/>
      <w:bookmarkEnd w:id="77"/>
      <w:bookmarkStart w:id="78" w:name="_Toc31954"/>
      <w:r>
        <w:rPr>
          <w:rFonts w:ascii="宋体" w:hAnsi="宋体" w:eastAsia="宋体" w:cs="宋体"/>
          <w:b/>
          <w:bCs/>
          <w:spacing w:val="-1"/>
          <w:sz w:val="24"/>
          <w:szCs w:val="24"/>
        </w:rPr>
        <w:t>（</w:t>
      </w:r>
      <w:r>
        <w:rPr>
          <w:rFonts w:hint="eastAsia" w:ascii="宋体" w:hAnsi="宋体" w:eastAsia="宋体" w:cs="宋体"/>
          <w:b/>
          <w:bCs/>
          <w:color w:val="000000" w:themeColor="text1"/>
          <w:spacing w:val="-1"/>
          <w:sz w:val="24"/>
          <w:szCs w:val="24"/>
          <w:lang w:val="en-US" w:eastAsia="zh-CN"/>
          <w14:textFill>
            <w14:solidFill>
              <w14:schemeClr w14:val="tx1"/>
            </w14:solidFill>
          </w14:textFill>
        </w:rPr>
        <w:t>二</w:t>
      </w:r>
      <w:r>
        <w:rPr>
          <w:rFonts w:ascii="宋体" w:hAnsi="宋体" w:eastAsia="宋体" w:cs="宋体"/>
          <w:b/>
          <w:bCs/>
          <w:color w:val="000000" w:themeColor="text1"/>
          <w:spacing w:val="-1"/>
          <w:sz w:val="24"/>
          <w:szCs w:val="24"/>
          <w14:textFill>
            <w14:solidFill>
              <w14:schemeClr w14:val="tx1"/>
            </w14:solidFill>
          </w14:textFill>
        </w:rPr>
        <w:t>）</w:t>
      </w:r>
      <w:r>
        <w:rPr>
          <w:rFonts w:hint="eastAsia" w:ascii="宋体" w:hAnsi="宋体" w:eastAsia="宋体" w:cs="宋体"/>
          <w:b/>
          <w:bCs/>
          <w:color w:val="000000" w:themeColor="text1"/>
          <w:spacing w:val="-1"/>
          <w:sz w:val="24"/>
          <w:szCs w:val="24"/>
          <w:lang w:eastAsia="zh-CN"/>
          <w14:textFill>
            <w14:solidFill>
              <w14:schemeClr w14:val="tx1"/>
            </w14:solidFill>
          </w14:textFill>
        </w:rPr>
        <w:t>企业实力</w:t>
      </w:r>
      <w:bookmarkEnd w:id="78"/>
    </w:p>
    <w:p w14:paraId="0D9AF38A">
      <w:pPr>
        <w:keepNext w:val="0"/>
        <w:keepLines w:val="0"/>
        <w:pageBreakBefore w:val="0"/>
        <w:kinsoku/>
        <w:wordWrap/>
        <w:overflowPunct/>
        <w:topLinePunct w:val="0"/>
        <w:bidi w:val="0"/>
        <w:spacing w:before="219" w:line="219" w:lineRule="auto"/>
        <w:ind w:left="3164"/>
        <w:outlineLvl w:val="1"/>
        <w:rPr>
          <w:rFonts w:ascii="宋体" w:hAnsi="宋体" w:eastAsia="宋体" w:cs="宋体"/>
          <w:sz w:val="28"/>
          <w:szCs w:val="28"/>
        </w:rPr>
      </w:pPr>
      <w:bookmarkStart w:id="79" w:name="bookmark51"/>
      <w:bookmarkEnd w:id="79"/>
      <w:bookmarkStart w:id="80" w:name="_Toc11"/>
      <w:r>
        <w:rPr>
          <w:rFonts w:ascii="宋体" w:hAnsi="宋体" w:eastAsia="宋体" w:cs="宋体"/>
          <w:b/>
          <w:bCs/>
          <w:spacing w:val="-1"/>
          <w:sz w:val="28"/>
          <w:szCs w:val="28"/>
        </w:rPr>
        <w:br w:type="page"/>
      </w:r>
      <w:r>
        <w:rPr>
          <w:rFonts w:ascii="宋体" w:hAnsi="宋体" w:eastAsia="宋体" w:cs="宋体"/>
          <w:b/>
          <w:bCs/>
          <w:spacing w:val="-1"/>
          <w:sz w:val="28"/>
          <w:szCs w:val="28"/>
        </w:rPr>
        <w:t>八、反商业贿赂承诺书</w:t>
      </w:r>
      <w:bookmarkEnd w:id="80"/>
    </w:p>
    <w:p w14:paraId="248453AC">
      <w:pPr>
        <w:pStyle w:val="4"/>
        <w:keepNext w:val="0"/>
        <w:keepLines w:val="0"/>
        <w:pageBreakBefore w:val="0"/>
        <w:kinsoku/>
        <w:wordWrap/>
        <w:overflowPunct/>
        <w:topLinePunct w:val="0"/>
        <w:bidi w:val="0"/>
        <w:spacing w:line="331" w:lineRule="auto"/>
      </w:pPr>
    </w:p>
    <w:p w14:paraId="5CCD64B4">
      <w:pPr>
        <w:pStyle w:val="4"/>
        <w:keepNext w:val="0"/>
        <w:keepLines w:val="0"/>
        <w:pageBreakBefore w:val="0"/>
        <w:kinsoku/>
        <w:wordWrap/>
        <w:overflowPunct/>
        <w:topLinePunct w:val="0"/>
        <w:bidi w:val="0"/>
        <w:spacing w:line="332" w:lineRule="auto"/>
      </w:pPr>
    </w:p>
    <w:p w14:paraId="2784C380">
      <w:pPr>
        <w:keepNext w:val="0"/>
        <w:keepLines w:val="0"/>
        <w:pageBreakBefore w:val="0"/>
        <w:kinsoku/>
        <w:wordWrap/>
        <w:overflowPunct/>
        <w:topLinePunct w:val="0"/>
        <w:bidi w:val="0"/>
        <w:spacing w:before="65" w:line="228" w:lineRule="auto"/>
        <w:rPr>
          <w:rFonts w:ascii="宋体" w:hAnsi="宋体" w:eastAsia="宋体" w:cs="宋体"/>
          <w:sz w:val="20"/>
          <w:szCs w:val="20"/>
        </w:rPr>
      </w:pPr>
      <w:r>
        <w:rPr>
          <w:rFonts w:ascii="宋体" w:hAnsi="宋体" w:eastAsia="宋体" w:cs="宋体"/>
          <w:spacing w:val="6"/>
          <w:sz w:val="20"/>
          <w:szCs w:val="20"/>
        </w:rPr>
        <w:t>我公司承诺：</w:t>
      </w:r>
    </w:p>
    <w:p w14:paraId="7E89466E">
      <w:pPr>
        <w:keepNext w:val="0"/>
        <w:keepLines w:val="0"/>
        <w:pageBreakBefore w:val="0"/>
        <w:kinsoku/>
        <w:wordWrap/>
        <w:overflowPunct/>
        <w:topLinePunct w:val="0"/>
        <w:bidi w:val="0"/>
        <w:spacing w:before="230" w:line="227" w:lineRule="auto"/>
        <w:ind w:left="425"/>
        <w:rPr>
          <w:rFonts w:ascii="宋体" w:hAnsi="宋体" w:eastAsia="宋体" w:cs="宋体"/>
          <w:sz w:val="20"/>
          <w:szCs w:val="20"/>
        </w:rPr>
      </w:pPr>
      <w:r>
        <w:rPr>
          <w:rFonts w:ascii="宋体" w:hAnsi="宋体" w:eastAsia="宋体" w:cs="宋体"/>
          <w:spacing w:val="8"/>
          <w:sz w:val="20"/>
          <w:szCs w:val="20"/>
        </w:rPr>
        <w:t>在本次招标活动中，我公司保证做到：</w:t>
      </w:r>
    </w:p>
    <w:p w14:paraId="7370DE3D">
      <w:pPr>
        <w:keepNext w:val="0"/>
        <w:keepLines w:val="0"/>
        <w:pageBreakBefore w:val="0"/>
        <w:kinsoku/>
        <w:wordWrap/>
        <w:overflowPunct/>
        <w:topLinePunct w:val="0"/>
        <w:bidi w:val="0"/>
        <w:spacing w:before="226" w:line="227" w:lineRule="auto"/>
        <w:ind w:left="429"/>
        <w:rPr>
          <w:rFonts w:ascii="宋体" w:hAnsi="宋体" w:eastAsia="宋体" w:cs="宋体"/>
          <w:sz w:val="20"/>
          <w:szCs w:val="20"/>
        </w:rPr>
      </w:pPr>
      <w:r>
        <w:rPr>
          <w:rFonts w:ascii="宋体" w:hAnsi="宋体" w:eastAsia="宋体" w:cs="宋体"/>
          <w:spacing w:val="8"/>
          <w:sz w:val="20"/>
          <w:szCs w:val="20"/>
        </w:rPr>
        <w:t>一、公平竞争参加本次招标活动。</w:t>
      </w:r>
    </w:p>
    <w:p w14:paraId="358AD4C6">
      <w:pPr>
        <w:keepNext w:val="0"/>
        <w:keepLines w:val="0"/>
        <w:pageBreakBefore w:val="0"/>
        <w:kinsoku/>
        <w:wordWrap/>
        <w:overflowPunct/>
        <w:topLinePunct w:val="0"/>
        <w:bidi w:val="0"/>
        <w:spacing w:before="231" w:line="439" w:lineRule="auto"/>
        <w:ind w:left="1" w:firstLine="428"/>
        <w:rPr>
          <w:rFonts w:ascii="宋体" w:hAnsi="宋体" w:eastAsia="宋体" w:cs="宋体"/>
          <w:sz w:val="20"/>
          <w:szCs w:val="20"/>
        </w:rPr>
      </w:pPr>
      <w:r>
        <w:rPr>
          <w:rFonts w:ascii="宋体" w:hAnsi="宋体" w:eastAsia="宋体" w:cs="宋体"/>
          <w:spacing w:val="8"/>
          <w:sz w:val="20"/>
          <w:szCs w:val="20"/>
        </w:rPr>
        <w:t>二、杜绝任何形式的商业贿赂行为。不向国家工作人员</w:t>
      </w:r>
      <w:r>
        <w:rPr>
          <w:rFonts w:ascii="宋体" w:hAnsi="宋体" w:eastAsia="宋体" w:cs="宋体"/>
          <w:spacing w:val="7"/>
          <w:sz w:val="20"/>
          <w:szCs w:val="20"/>
        </w:rPr>
        <w:t>、采购代理机构工作人员、评审专家及其</w:t>
      </w:r>
      <w:r>
        <w:rPr>
          <w:rFonts w:ascii="宋体" w:hAnsi="宋体" w:eastAsia="宋体" w:cs="宋体"/>
          <w:spacing w:val="8"/>
          <w:sz w:val="20"/>
          <w:szCs w:val="20"/>
        </w:rPr>
        <w:t>亲属提供礼品礼金、有价证券、购物券、回扣、佣金、咨询费、劳务费、赞助费、宣传</w:t>
      </w:r>
      <w:r>
        <w:rPr>
          <w:rFonts w:ascii="宋体" w:hAnsi="宋体" w:eastAsia="宋体" w:cs="宋体"/>
          <w:spacing w:val="7"/>
          <w:sz w:val="20"/>
          <w:szCs w:val="20"/>
        </w:rPr>
        <w:t>费、宴请；不</w:t>
      </w:r>
      <w:r>
        <w:rPr>
          <w:rFonts w:ascii="宋体" w:hAnsi="宋体" w:eastAsia="宋体" w:cs="宋体"/>
          <w:spacing w:val="9"/>
          <w:sz w:val="20"/>
          <w:szCs w:val="20"/>
        </w:rPr>
        <w:t>为其报销各种消费凭证，不支付其旅游、娱乐等费用。</w:t>
      </w:r>
    </w:p>
    <w:p w14:paraId="012EA7A0">
      <w:pPr>
        <w:keepNext w:val="0"/>
        <w:keepLines w:val="0"/>
        <w:pageBreakBefore w:val="0"/>
        <w:kinsoku/>
        <w:wordWrap/>
        <w:overflowPunct/>
        <w:topLinePunct w:val="0"/>
        <w:bidi w:val="0"/>
        <w:spacing w:before="1" w:line="441" w:lineRule="auto"/>
        <w:ind w:left="16" w:firstLine="410"/>
        <w:rPr>
          <w:rFonts w:ascii="宋体" w:hAnsi="宋体" w:eastAsia="宋体" w:cs="宋体"/>
          <w:sz w:val="20"/>
          <w:szCs w:val="20"/>
        </w:rPr>
      </w:pPr>
      <w:r>
        <w:rPr>
          <w:rFonts w:ascii="宋体" w:hAnsi="宋体" w:eastAsia="宋体" w:cs="宋体"/>
          <w:spacing w:val="8"/>
          <w:sz w:val="20"/>
          <w:szCs w:val="20"/>
        </w:rPr>
        <w:t>三、若出现上述行为，我公司及参与投标的工作人员愿意接受按</w:t>
      </w:r>
      <w:r>
        <w:rPr>
          <w:rFonts w:ascii="宋体" w:hAnsi="宋体" w:eastAsia="宋体" w:cs="宋体"/>
          <w:spacing w:val="7"/>
          <w:sz w:val="20"/>
          <w:szCs w:val="20"/>
        </w:rPr>
        <w:t>照国家法律法规等有关规定给予</w:t>
      </w:r>
      <w:r>
        <w:rPr>
          <w:rFonts w:ascii="宋体" w:hAnsi="宋体" w:eastAsia="宋体" w:cs="宋体"/>
          <w:sz w:val="20"/>
          <w:szCs w:val="20"/>
        </w:rPr>
        <w:t>的处罚。</w:t>
      </w:r>
    </w:p>
    <w:p w14:paraId="2293C278">
      <w:pPr>
        <w:pStyle w:val="4"/>
        <w:keepNext w:val="0"/>
        <w:keepLines w:val="0"/>
        <w:pageBreakBefore w:val="0"/>
        <w:kinsoku/>
        <w:wordWrap/>
        <w:overflowPunct/>
        <w:topLinePunct w:val="0"/>
        <w:bidi w:val="0"/>
        <w:spacing w:line="291" w:lineRule="auto"/>
      </w:pPr>
    </w:p>
    <w:p w14:paraId="178A292E">
      <w:pPr>
        <w:pStyle w:val="4"/>
        <w:keepNext w:val="0"/>
        <w:keepLines w:val="0"/>
        <w:pageBreakBefore w:val="0"/>
        <w:kinsoku/>
        <w:wordWrap/>
        <w:overflowPunct/>
        <w:topLinePunct w:val="0"/>
        <w:bidi w:val="0"/>
        <w:spacing w:line="291" w:lineRule="auto"/>
      </w:pPr>
    </w:p>
    <w:p w14:paraId="48E0A808">
      <w:pPr>
        <w:pStyle w:val="4"/>
        <w:keepNext w:val="0"/>
        <w:keepLines w:val="0"/>
        <w:pageBreakBefore w:val="0"/>
        <w:kinsoku/>
        <w:wordWrap/>
        <w:overflowPunct/>
        <w:topLinePunct w:val="0"/>
        <w:bidi w:val="0"/>
        <w:spacing w:line="291" w:lineRule="auto"/>
      </w:pPr>
    </w:p>
    <w:p w14:paraId="7945D425">
      <w:pPr>
        <w:keepNext w:val="0"/>
        <w:keepLines w:val="0"/>
        <w:pageBreakBefore w:val="0"/>
        <w:kinsoku/>
        <w:wordWrap/>
        <w:overflowPunct/>
        <w:topLinePunct w:val="0"/>
        <w:bidi w:val="0"/>
        <w:spacing w:before="66" w:line="227" w:lineRule="auto"/>
        <w:ind w:left="1"/>
        <w:rPr>
          <w:rFonts w:ascii="宋体" w:hAnsi="宋体" w:eastAsia="宋体" w:cs="宋体"/>
          <w:sz w:val="20"/>
          <w:szCs w:val="20"/>
        </w:rPr>
      </w:pPr>
      <w:r>
        <w:rPr>
          <w:rFonts w:ascii="宋体" w:hAnsi="宋体" w:eastAsia="宋体" w:cs="宋体"/>
          <w:spacing w:val="11"/>
          <w:sz w:val="20"/>
          <w:szCs w:val="20"/>
        </w:rPr>
        <w:t>投标人（盖电子签章</w:t>
      </w:r>
      <w:r>
        <w:rPr>
          <w:rFonts w:ascii="宋体" w:hAnsi="宋体" w:eastAsia="宋体" w:cs="宋体"/>
          <w:spacing w:val="-6"/>
          <w:sz w:val="20"/>
          <w:szCs w:val="20"/>
        </w:rPr>
        <w:t>）</w:t>
      </w:r>
      <w:r>
        <w:rPr>
          <w:rFonts w:ascii="宋体" w:hAnsi="宋体" w:eastAsia="宋体" w:cs="宋体"/>
          <w:spacing w:val="-57"/>
          <w:sz w:val="20"/>
          <w:szCs w:val="20"/>
        </w:rPr>
        <w:t xml:space="preserve"> </w:t>
      </w:r>
      <w:r>
        <w:rPr>
          <w:rFonts w:ascii="宋体" w:hAnsi="宋体" w:eastAsia="宋体" w:cs="宋体"/>
          <w:spacing w:val="-6"/>
          <w:sz w:val="20"/>
          <w:szCs w:val="20"/>
        </w:rPr>
        <w:t>：</w:t>
      </w:r>
      <w:r>
        <w:rPr>
          <w:rFonts w:ascii="宋体" w:hAnsi="宋体" w:eastAsia="宋体" w:cs="宋体"/>
          <w:sz w:val="20"/>
          <w:szCs w:val="20"/>
          <w:u w:val="single" w:color="auto"/>
        </w:rPr>
        <w:t xml:space="preserve">                  </w:t>
      </w:r>
    </w:p>
    <w:p w14:paraId="17BCFA5F">
      <w:pPr>
        <w:keepNext w:val="0"/>
        <w:keepLines w:val="0"/>
        <w:pageBreakBefore w:val="0"/>
        <w:kinsoku/>
        <w:wordWrap/>
        <w:overflowPunct/>
        <w:topLinePunct w:val="0"/>
        <w:bidi w:val="0"/>
        <w:spacing w:before="231" w:line="227" w:lineRule="auto"/>
        <w:rPr>
          <w:rFonts w:ascii="宋体" w:hAnsi="宋体" w:eastAsia="宋体" w:cs="宋体"/>
          <w:sz w:val="20"/>
          <w:szCs w:val="20"/>
        </w:rPr>
      </w:pPr>
      <w:r>
        <w:rPr>
          <w:rFonts w:ascii="宋体" w:hAnsi="宋体" w:eastAsia="宋体" w:cs="宋体"/>
          <w:spacing w:val="9"/>
          <w:sz w:val="20"/>
          <w:szCs w:val="20"/>
        </w:rPr>
        <w:t>法定代表人或其委托代理人（签字或盖章</w:t>
      </w:r>
      <w:r>
        <w:rPr>
          <w:rFonts w:ascii="宋体" w:hAnsi="宋体" w:eastAsia="宋体" w:cs="宋体"/>
          <w:spacing w:val="13"/>
          <w:sz w:val="20"/>
          <w:szCs w:val="20"/>
        </w:rPr>
        <w:t>）：</w:t>
      </w:r>
      <w:r>
        <w:rPr>
          <w:rFonts w:ascii="宋体" w:hAnsi="宋体" w:eastAsia="宋体" w:cs="宋体"/>
          <w:sz w:val="20"/>
          <w:szCs w:val="20"/>
          <w:u w:val="single" w:color="auto"/>
        </w:rPr>
        <w:t xml:space="preserve">                </w:t>
      </w:r>
    </w:p>
    <w:p w14:paraId="1E68FA4A">
      <w:pPr>
        <w:keepNext w:val="0"/>
        <w:keepLines w:val="0"/>
        <w:pageBreakBefore w:val="0"/>
        <w:kinsoku/>
        <w:wordWrap/>
        <w:overflowPunct/>
        <w:topLinePunct w:val="0"/>
        <w:bidi w:val="0"/>
        <w:spacing w:before="229" w:line="228" w:lineRule="auto"/>
        <w:ind w:left="35"/>
        <w:outlineLvl w:val="9"/>
        <w:rPr>
          <w:rFonts w:ascii="宋体" w:hAnsi="宋体" w:eastAsia="宋体" w:cs="宋体"/>
          <w:sz w:val="20"/>
          <w:szCs w:val="20"/>
        </w:rPr>
      </w:pPr>
      <w:r>
        <w:rPr>
          <w:rFonts w:ascii="宋体" w:hAnsi="宋体" w:eastAsia="宋体" w:cs="宋体"/>
          <w:spacing w:val="-3"/>
          <w:sz w:val="20"/>
          <w:szCs w:val="20"/>
        </w:rPr>
        <w:t>日期：</w:t>
      </w:r>
      <w:r>
        <w:rPr>
          <w:rFonts w:ascii="宋体" w:hAnsi="宋体" w:eastAsia="宋体" w:cs="宋体"/>
          <w:spacing w:val="5"/>
          <w:sz w:val="20"/>
          <w:szCs w:val="20"/>
          <w:u w:val="single" w:color="auto"/>
        </w:rPr>
        <w:t xml:space="preserve">        </w:t>
      </w:r>
      <w:r>
        <w:rPr>
          <w:rFonts w:ascii="宋体" w:hAnsi="宋体" w:eastAsia="宋体" w:cs="宋体"/>
          <w:spacing w:val="-92"/>
          <w:sz w:val="20"/>
          <w:szCs w:val="20"/>
        </w:rPr>
        <w:t xml:space="preserve"> </w:t>
      </w:r>
      <w:r>
        <w:rPr>
          <w:rFonts w:ascii="宋体" w:hAnsi="宋体" w:eastAsia="宋体" w:cs="宋体"/>
          <w:spacing w:val="-3"/>
          <w:sz w:val="20"/>
          <w:szCs w:val="20"/>
        </w:rPr>
        <w:t>年</w:t>
      </w:r>
      <w:r>
        <w:rPr>
          <w:rFonts w:ascii="宋体" w:hAnsi="宋体" w:eastAsia="宋体" w:cs="宋体"/>
          <w:spacing w:val="4"/>
          <w:sz w:val="20"/>
          <w:szCs w:val="20"/>
          <w:u w:val="single" w:color="auto"/>
        </w:rPr>
        <w:t xml:space="preserve">    </w:t>
      </w:r>
      <w:r>
        <w:rPr>
          <w:rFonts w:ascii="宋体" w:hAnsi="宋体" w:eastAsia="宋体" w:cs="宋体"/>
          <w:spacing w:val="-83"/>
          <w:sz w:val="20"/>
          <w:szCs w:val="20"/>
        </w:rPr>
        <w:t xml:space="preserve"> </w:t>
      </w:r>
      <w:r>
        <w:rPr>
          <w:rFonts w:ascii="宋体" w:hAnsi="宋体" w:eastAsia="宋体" w:cs="宋体"/>
          <w:spacing w:val="-3"/>
          <w:sz w:val="20"/>
          <w:szCs w:val="20"/>
        </w:rPr>
        <w:t>月</w:t>
      </w:r>
      <w:r>
        <w:rPr>
          <w:rFonts w:ascii="宋体" w:hAnsi="宋体" w:eastAsia="宋体" w:cs="宋体"/>
          <w:spacing w:val="-97"/>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3"/>
          <w:sz w:val="20"/>
          <w:szCs w:val="20"/>
        </w:rPr>
        <w:t>日</w:t>
      </w:r>
    </w:p>
    <w:p w14:paraId="6287519F">
      <w:pPr>
        <w:keepNext w:val="0"/>
        <w:keepLines w:val="0"/>
        <w:pageBreakBefore w:val="0"/>
        <w:kinsoku/>
        <w:wordWrap/>
        <w:overflowPunct/>
        <w:topLinePunct w:val="0"/>
        <w:bidi w:val="0"/>
        <w:spacing w:before="219" w:line="219" w:lineRule="auto"/>
        <w:ind w:left="1615"/>
        <w:outlineLvl w:val="1"/>
        <w:rPr>
          <w:rFonts w:ascii="宋体" w:hAnsi="宋体" w:eastAsia="宋体" w:cs="宋体"/>
          <w:sz w:val="28"/>
          <w:szCs w:val="28"/>
        </w:rPr>
      </w:pPr>
      <w:bookmarkStart w:id="81" w:name="bookmark52"/>
      <w:bookmarkEnd w:id="81"/>
      <w:bookmarkStart w:id="82" w:name="_Toc29171"/>
      <w:r>
        <w:rPr>
          <w:rFonts w:ascii="宋体" w:hAnsi="宋体" w:eastAsia="宋体" w:cs="宋体"/>
          <w:b/>
          <w:bCs/>
          <w:spacing w:val="-1"/>
          <w:sz w:val="28"/>
          <w:szCs w:val="28"/>
        </w:rPr>
        <w:br w:type="page"/>
      </w:r>
      <w:r>
        <w:rPr>
          <w:rFonts w:ascii="宋体" w:hAnsi="宋体" w:eastAsia="宋体" w:cs="宋体"/>
          <w:b/>
          <w:bCs/>
          <w:spacing w:val="-1"/>
          <w:sz w:val="28"/>
          <w:szCs w:val="28"/>
        </w:rPr>
        <w:t>九、投标人认为需要提交的其他证明材料</w:t>
      </w:r>
      <w:bookmarkEnd w:id="82"/>
    </w:p>
    <w:sectPr>
      <w:footerReference r:id="rId5" w:type="default"/>
      <w:pgSz w:w="11905" w:h="16839"/>
      <w:pgMar w:top="1431" w:right="1785" w:bottom="1045" w:left="1785" w:header="0"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CF05D">
    <w:pPr>
      <w:spacing w:line="173" w:lineRule="auto"/>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0265D5">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C0265D5">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8553F6"/>
    <w:multiLevelType w:val="multilevel"/>
    <w:tmpl w:val="8D8553F6"/>
    <w:lvl w:ilvl="0" w:tentative="0">
      <w:start w:val="1"/>
      <w:numFmt w:val="chineseCounting"/>
      <w:suff w:val="nothing"/>
      <w:lvlText w:val="%1、"/>
      <w:lvlJc w:val="left"/>
      <w:pPr>
        <w:ind w:left="0" w:firstLine="0"/>
      </w:pPr>
      <w:rPr>
        <w:rFonts w:hint="eastAsia"/>
      </w:rPr>
    </w:lvl>
    <w:lvl w:ilvl="1" w:tentative="0">
      <w:start w:val="1"/>
      <w:numFmt w:val="chineseCounting"/>
      <w:pStyle w:val="2"/>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E40BDEDA"/>
    <w:multiLevelType w:val="singleLevel"/>
    <w:tmpl w:val="E40BDEDA"/>
    <w:lvl w:ilvl="0" w:tentative="0">
      <w:start w:val="10"/>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7B4925"/>
    <w:rsid w:val="0136732D"/>
    <w:rsid w:val="015C08D4"/>
    <w:rsid w:val="01B91D0C"/>
    <w:rsid w:val="01D029AF"/>
    <w:rsid w:val="028E4F47"/>
    <w:rsid w:val="02F254D6"/>
    <w:rsid w:val="03E868D9"/>
    <w:rsid w:val="06CC23E7"/>
    <w:rsid w:val="080C0FE9"/>
    <w:rsid w:val="082869E7"/>
    <w:rsid w:val="083B791F"/>
    <w:rsid w:val="08816652"/>
    <w:rsid w:val="08FC0E5C"/>
    <w:rsid w:val="09385CEE"/>
    <w:rsid w:val="0A3A687F"/>
    <w:rsid w:val="0AF84DCD"/>
    <w:rsid w:val="0C494D2A"/>
    <w:rsid w:val="0D7C256C"/>
    <w:rsid w:val="0DA07BD0"/>
    <w:rsid w:val="11BA7B07"/>
    <w:rsid w:val="12833484"/>
    <w:rsid w:val="14FD2118"/>
    <w:rsid w:val="17356167"/>
    <w:rsid w:val="189B3AC2"/>
    <w:rsid w:val="1E916B91"/>
    <w:rsid w:val="1EAA4A5F"/>
    <w:rsid w:val="1EE12DE6"/>
    <w:rsid w:val="1EE61C9C"/>
    <w:rsid w:val="20357512"/>
    <w:rsid w:val="21027465"/>
    <w:rsid w:val="21522184"/>
    <w:rsid w:val="228414DB"/>
    <w:rsid w:val="23906919"/>
    <w:rsid w:val="239C675E"/>
    <w:rsid w:val="241C052D"/>
    <w:rsid w:val="2430024D"/>
    <w:rsid w:val="26C32B62"/>
    <w:rsid w:val="27FD46C4"/>
    <w:rsid w:val="2C5C1A8E"/>
    <w:rsid w:val="2C891ED6"/>
    <w:rsid w:val="2FBD5B34"/>
    <w:rsid w:val="30A669FD"/>
    <w:rsid w:val="32CF5ADE"/>
    <w:rsid w:val="34F140F0"/>
    <w:rsid w:val="370A20E7"/>
    <w:rsid w:val="379443BE"/>
    <w:rsid w:val="379957E6"/>
    <w:rsid w:val="39B9281C"/>
    <w:rsid w:val="39CB3D5D"/>
    <w:rsid w:val="3D1D4D02"/>
    <w:rsid w:val="3DB66B25"/>
    <w:rsid w:val="3E3143FD"/>
    <w:rsid w:val="3E864749"/>
    <w:rsid w:val="3ED454B4"/>
    <w:rsid w:val="405D190B"/>
    <w:rsid w:val="45486BFC"/>
    <w:rsid w:val="455B28F7"/>
    <w:rsid w:val="474433F3"/>
    <w:rsid w:val="47D7488F"/>
    <w:rsid w:val="487B2E45"/>
    <w:rsid w:val="48B65D2E"/>
    <w:rsid w:val="48F36E7F"/>
    <w:rsid w:val="4A625318"/>
    <w:rsid w:val="4B394D3C"/>
    <w:rsid w:val="4B456229"/>
    <w:rsid w:val="4D52686A"/>
    <w:rsid w:val="4DC56B4E"/>
    <w:rsid w:val="4E4A047A"/>
    <w:rsid w:val="501871CB"/>
    <w:rsid w:val="502E0626"/>
    <w:rsid w:val="52862B12"/>
    <w:rsid w:val="52D153BA"/>
    <w:rsid w:val="53734A39"/>
    <w:rsid w:val="560B2135"/>
    <w:rsid w:val="56B20E9A"/>
    <w:rsid w:val="56B23ED5"/>
    <w:rsid w:val="59D85306"/>
    <w:rsid w:val="5B04501F"/>
    <w:rsid w:val="5B220E4F"/>
    <w:rsid w:val="5B841BB9"/>
    <w:rsid w:val="5F7F1715"/>
    <w:rsid w:val="5F987607"/>
    <w:rsid w:val="6070010A"/>
    <w:rsid w:val="60F31CBA"/>
    <w:rsid w:val="63923DF6"/>
    <w:rsid w:val="64D70FAB"/>
    <w:rsid w:val="657874A5"/>
    <w:rsid w:val="65A63F53"/>
    <w:rsid w:val="669E4476"/>
    <w:rsid w:val="67AA2C7D"/>
    <w:rsid w:val="69B61AD7"/>
    <w:rsid w:val="6A410F0B"/>
    <w:rsid w:val="6A8E65B0"/>
    <w:rsid w:val="6B6614D1"/>
    <w:rsid w:val="6BE92BEE"/>
    <w:rsid w:val="6DD62441"/>
    <w:rsid w:val="6ED20C84"/>
    <w:rsid w:val="70BA662E"/>
    <w:rsid w:val="717A3C13"/>
    <w:rsid w:val="75656CA2"/>
    <w:rsid w:val="7791148D"/>
    <w:rsid w:val="77E048EF"/>
    <w:rsid w:val="78725FEB"/>
    <w:rsid w:val="7A8A6D94"/>
    <w:rsid w:val="7AC56533"/>
    <w:rsid w:val="7B1C7EED"/>
    <w:rsid w:val="7B9B7B99"/>
    <w:rsid w:val="7C6447CF"/>
    <w:rsid w:val="7CE315D5"/>
    <w:rsid w:val="7CE87DA1"/>
    <w:rsid w:val="7D8A00A9"/>
    <w:rsid w:val="7E2D6BDC"/>
    <w:rsid w:val="7EA07D6A"/>
    <w:rsid w:val="7F273E45"/>
    <w:rsid w:val="7F4A13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unhideWhenUsed/>
    <w:qFormat/>
    <w:uiPriority w:val="0"/>
    <w:pPr>
      <w:keepNext/>
      <w:keepLines/>
      <w:numPr>
        <w:ilvl w:val="1"/>
        <w:numId w:val="1"/>
      </w:numPr>
      <w:spacing w:before="20" w:beforeLines="0" w:beforeAutospacing="0" w:after="20" w:afterLines="0" w:afterAutospacing="0" w:line="240" w:lineRule="auto"/>
      <w:outlineLvl w:val="1"/>
    </w:pPr>
    <w:rPr>
      <w:rFonts w:ascii="Arial" w:hAnsi="Arial" w:eastAsia="宋体"/>
      <w:b/>
      <w:sz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semiHidden/>
    <w:qFormat/>
    <w:uiPriority w:val="0"/>
    <w:rPr>
      <w:rFonts w:ascii="Arial" w:hAnsi="Arial" w:eastAsia="Arial" w:cs="Arial"/>
      <w:sz w:val="21"/>
      <w:szCs w:val="21"/>
      <w:lang w:val="en-US" w:eastAsia="en-US" w:bidi="ar-SA"/>
    </w:rPr>
  </w:style>
  <w:style w:type="paragraph" w:customStyle="1" w:styleId="5">
    <w:name w:val="Default"/>
    <w:basedOn w:val="6"/>
    <w:next w:val="1"/>
    <w:qFormat/>
    <w:uiPriority w:val="99"/>
    <w:pPr>
      <w:widowControl w:val="0"/>
      <w:autoSpaceDE w:val="0"/>
      <w:autoSpaceDN w:val="0"/>
      <w:adjustRightInd w:val="0"/>
    </w:pPr>
    <w:rPr>
      <w:rFonts w:ascii="宋体" w:cs="宋体"/>
      <w:color w:val="000000"/>
      <w:sz w:val="24"/>
      <w:szCs w:val="24"/>
      <w:lang w:val="en-US" w:eastAsia="zh-CN" w:bidi="ar-SA"/>
    </w:rPr>
  </w:style>
  <w:style w:type="paragraph" w:styleId="6">
    <w:name w:val="Body Text 2"/>
    <w:basedOn w:val="1"/>
    <w:next w:val="1"/>
    <w:qFormat/>
    <w:uiPriority w:val="99"/>
    <w:pPr>
      <w:autoSpaceDE w:val="0"/>
      <w:autoSpaceDN w:val="0"/>
      <w:adjustRightInd w:val="0"/>
      <w:spacing w:line="480" w:lineRule="exact"/>
      <w:jc w:val="left"/>
    </w:pPr>
    <w:rPr>
      <w:kern w:val="0"/>
      <w:sz w:val="24"/>
    </w:rPr>
  </w:style>
  <w:style w:type="paragraph" w:styleId="7">
    <w:name w:val="Body Text Indent"/>
    <w:basedOn w:val="1"/>
    <w:next w:val="8"/>
    <w:qFormat/>
    <w:uiPriority w:val="99"/>
    <w:pPr>
      <w:tabs>
        <w:tab w:val="left" w:pos="945"/>
        <w:tab w:val="left" w:pos="1155"/>
      </w:tabs>
      <w:ind w:firstLine="435"/>
    </w:pPr>
    <w:rPr>
      <w:kern w:val="0"/>
      <w:sz w:val="24"/>
    </w:rPr>
  </w:style>
  <w:style w:type="paragraph" w:styleId="8">
    <w:name w:val="envelope return"/>
    <w:basedOn w:val="1"/>
    <w:unhideWhenUsed/>
    <w:qFormat/>
    <w:uiPriority w:val="99"/>
    <w:pPr>
      <w:snapToGrid w:val="0"/>
    </w:pPr>
    <w:rPr>
      <w:rFonts w:ascii="Arial" w:hAnsi="Arial"/>
    </w:rPr>
  </w:style>
  <w:style w:type="paragraph" w:styleId="9">
    <w:name w:val="toc 3"/>
    <w:basedOn w:val="1"/>
    <w:next w:val="1"/>
    <w:qFormat/>
    <w:uiPriority w:val="0"/>
    <w:pPr>
      <w:ind w:left="840" w:leftChars="4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Body Text First Indent"/>
    <w:next w:val="15"/>
    <w:qFormat/>
    <w:uiPriority w:val="0"/>
    <w:pPr>
      <w:widowControl w:val="0"/>
      <w:adjustRightInd w:val="0"/>
      <w:spacing w:line="360" w:lineRule="auto"/>
      <w:ind w:firstLine="420" w:firstLineChars="100"/>
      <w:textAlignment w:val="baseline"/>
    </w:pPr>
    <w:rPr>
      <w:rFonts w:ascii="楷体_GB2312" w:hAnsi="Times New Roman" w:eastAsia="楷体_GB2312" w:cs="Times New Roman"/>
      <w:sz w:val="28"/>
      <w:lang w:val="en-US" w:eastAsia="zh-CN" w:bidi="ar-SA"/>
    </w:rPr>
  </w:style>
  <w:style w:type="paragraph" w:styleId="15">
    <w:name w:val="Body Text First Indent 2"/>
    <w:next w:val="1"/>
    <w:qFormat/>
    <w:uiPriority w:val="0"/>
    <w:pPr>
      <w:widowControl w:val="0"/>
      <w:spacing w:after="120" w:line="360" w:lineRule="auto"/>
      <w:ind w:left="420" w:leftChars="200" w:firstLine="200" w:firstLineChars="200"/>
      <w:jc w:val="both"/>
    </w:pPr>
    <w:rPr>
      <w:rFonts w:ascii="Times New Roman" w:hAnsi="Times New Roman" w:eastAsia="宋体" w:cs="Times New Roman"/>
      <w:kern w:val="2"/>
      <w:sz w:val="21"/>
      <w:szCs w:val="24"/>
      <w:lang w:val="en-US" w:eastAsia="zh-CN" w:bidi="ar-SA"/>
    </w:rPr>
  </w:style>
  <w:style w:type="character" w:styleId="18">
    <w:name w:val="Strong"/>
    <w:basedOn w:val="17"/>
    <w:qFormat/>
    <w:uiPriority w:val="0"/>
    <w:rPr>
      <w:b/>
      <w:bCs/>
    </w:rPr>
  </w:style>
  <w:style w:type="character" w:styleId="19">
    <w:name w:val="FollowedHyperlink"/>
    <w:basedOn w:val="17"/>
    <w:qFormat/>
    <w:uiPriority w:val="0"/>
    <w:rPr>
      <w:color w:val="5C5C5C"/>
      <w:u w:val="none"/>
    </w:rPr>
  </w:style>
  <w:style w:type="character" w:styleId="20">
    <w:name w:val="Emphasis"/>
    <w:basedOn w:val="17"/>
    <w:qFormat/>
    <w:uiPriority w:val="0"/>
    <w:rPr>
      <w:b/>
      <w:bCs/>
      <w:color w:val="333333"/>
      <w:shd w:val="clear" w:fill="FFFFFF"/>
    </w:rPr>
  </w:style>
  <w:style w:type="character" w:styleId="21">
    <w:name w:val="HTML Definition"/>
    <w:basedOn w:val="17"/>
    <w:qFormat/>
    <w:uiPriority w:val="0"/>
  </w:style>
  <w:style w:type="character" w:styleId="22">
    <w:name w:val="HTML Typewriter"/>
    <w:basedOn w:val="17"/>
    <w:qFormat/>
    <w:uiPriority w:val="0"/>
    <w:rPr>
      <w:rFonts w:ascii="monospace" w:hAnsi="monospace" w:eastAsia="monospace" w:cs="monospace"/>
      <w:sz w:val="20"/>
    </w:rPr>
  </w:style>
  <w:style w:type="character" w:styleId="23">
    <w:name w:val="HTML Acronym"/>
    <w:basedOn w:val="17"/>
    <w:qFormat/>
    <w:uiPriority w:val="0"/>
  </w:style>
  <w:style w:type="character" w:styleId="24">
    <w:name w:val="HTML Variable"/>
    <w:basedOn w:val="17"/>
    <w:qFormat/>
    <w:uiPriority w:val="0"/>
  </w:style>
  <w:style w:type="character" w:styleId="25">
    <w:name w:val="Hyperlink"/>
    <w:basedOn w:val="17"/>
    <w:qFormat/>
    <w:uiPriority w:val="0"/>
    <w:rPr>
      <w:color w:val="5C5C5C"/>
      <w:u w:val="none"/>
    </w:rPr>
  </w:style>
  <w:style w:type="character" w:styleId="26">
    <w:name w:val="HTML Code"/>
    <w:basedOn w:val="17"/>
    <w:qFormat/>
    <w:uiPriority w:val="0"/>
    <w:rPr>
      <w:rFonts w:hint="default" w:ascii="monospace" w:hAnsi="monospace" w:eastAsia="monospace" w:cs="monospace"/>
      <w:sz w:val="20"/>
    </w:rPr>
  </w:style>
  <w:style w:type="character" w:styleId="27">
    <w:name w:val="HTML Cite"/>
    <w:basedOn w:val="17"/>
    <w:qFormat/>
    <w:uiPriority w:val="0"/>
    <w:rPr>
      <w:vanish/>
      <w:bdr w:val="single" w:color="EBEBEB" w:sz="6" w:space="0"/>
      <w:shd w:val="clear" w:fill="FFFFFF"/>
    </w:rPr>
  </w:style>
  <w:style w:type="character" w:styleId="28">
    <w:name w:val="HTML Keyboard"/>
    <w:basedOn w:val="17"/>
    <w:qFormat/>
    <w:uiPriority w:val="0"/>
    <w:rPr>
      <w:rFonts w:hint="default" w:ascii="monospace" w:hAnsi="monospace" w:eastAsia="monospace" w:cs="monospace"/>
      <w:sz w:val="20"/>
    </w:rPr>
  </w:style>
  <w:style w:type="character" w:styleId="29">
    <w:name w:val="HTML Sample"/>
    <w:basedOn w:val="17"/>
    <w:qFormat/>
    <w:uiPriority w:val="0"/>
    <w:rPr>
      <w:rFonts w:hint="default" w:ascii="monospace" w:hAnsi="monospace" w:eastAsia="monospace" w:cs="monospace"/>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Table Text"/>
    <w:basedOn w:val="1"/>
    <w:semiHidden/>
    <w:qFormat/>
    <w:uiPriority w:val="0"/>
    <w:rPr>
      <w:rFonts w:ascii="宋体" w:hAnsi="宋体" w:eastAsia="宋体" w:cs="宋体"/>
      <w:sz w:val="20"/>
      <w:szCs w:val="20"/>
      <w:lang w:val="en-US" w:eastAsia="en-US" w:bidi="ar-SA"/>
    </w:rPr>
  </w:style>
  <w:style w:type="character" w:customStyle="1" w:styleId="32">
    <w:name w:val="hover"/>
    <w:basedOn w:val="17"/>
    <w:qFormat/>
    <w:uiPriority w:val="0"/>
  </w:style>
  <w:style w:type="character" w:customStyle="1" w:styleId="33">
    <w:name w:val="hover1"/>
    <w:basedOn w:val="17"/>
    <w:qFormat/>
    <w:uiPriority w:val="0"/>
    <w:rPr>
      <w:color w:val="2590EB"/>
    </w:rPr>
  </w:style>
  <w:style w:type="character" w:customStyle="1" w:styleId="34">
    <w:name w:val="hover2"/>
    <w:basedOn w:val="17"/>
    <w:qFormat/>
    <w:uiPriority w:val="0"/>
    <w:rPr>
      <w:color w:val="2590EB"/>
    </w:rPr>
  </w:style>
  <w:style w:type="character" w:customStyle="1" w:styleId="35">
    <w:name w:val="hover3"/>
    <w:basedOn w:val="17"/>
    <w:qFormat/>
    <w:uiPriority w:val="0"/>
    <w:rPr>
      <w:color w:val="2590EB"/>
      <w:shd w:val="clear" w:fill="E9F4F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72</Pages>
  <Words>2887</Words>
  <Characters>3217</Characters>
  <TotalTime>48</TotalTime>
  <ScaleCrop>false</ScaleCrop>
  <LinksUpToDate>false</LinksUpToDate>
  <CharactersWithSpaces>3423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2026-02-12T15:46:00Z</dcterms:created>
  <dc:creator>20100314/sun</dc:creator>
  <cp:lastModifiedBy>藝凡</cp:lastModifiedBy>
  <dcterms:modified xsi:type="dcterms:W3CDTF">2026-04-10T01:55:03Z</dcterms:modified>
  <dc:title>信息广场电梯</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2026-03-26T10:47:19Z</vt:filetime>
  </property>
  <property fmtid="{D5CDD505-2E9C-101B-9397-08002B2CF9AE}" pid="4" name="KSOProductBuildVer">
    <vt:lpwstr>2052-12.1.0.25225</vt:lpwstr>
  </property>
  <property fmtid="{D5CDD505-2E9C-101B-9397-08002B2CF9AE}" pid="5" name="ICV">
    <vt:lpwstr>4597803D887F4858BCE029AD720CEB72_13</vt:lpwstr>
  </property>
  <property fmtid="{D5CDD505-2E9C-101B-9397-08002B2CF9AE}" pid="6" name="KSOTemplateDocerSaveRecord">
    <vt:lpwstr>eyJoZGlkIjoiZjQ4ZmU3ODQ1NzFmYzgwYzE3ZTcyYTQyMzI0MmI4ZGUiLCJ1c2VySWQiOiI0MjI2ODU2MTIifQ==</vt:lpwstr>
  </property>
</Properties>
</file>