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3D8B78">
      <w:pPr>
        <w:adjustRightInd w:val="0"/>
        <w:snapToGrid w:val="0"/>
        <w:spacing w:line="360" w:lineRule="auto"/>
        <w:rPr>
          <w:rFonts w:hint="eastAsia" w:ascii="宋体" w:hAnsi="宋体" w:eastAsia="宋体" w:cs="宋体"/>
          <w:b/>
          <w:sz w:val="40"/>
          <w:szCs w:val="40"/>
          <w:highlight w:val="none"/>
        </w:rPr>
      </w:pPr>
    </w:p>
    <w:p w14:paraId="0869CF5C">
      <w:pPr>
        <w:adjustRightInd w:val="0"/>
        <w:snapToGrid w:val="0"/>
        <w:spacing w:line="360" w:lineRule="auto"/>
        <w:jc w:val="center"/>
        <w:rPr>
          <w:rFonts w:hint="eastAsia" w:ascii="宋体" w:hAnsi="宋体" w:eastAsia="宋体" w:cs="宋体"/>
          <w:b/>
          <w:sz w:val="44"/>
          <w:szCs w:val="44"/>
          <w:highlight w:val="none"/>
          <w:lang w:eastAsia="zh-CN"/>
        </w:rPr>
      </w:pPr>
      <w:r>
        <w:rPr>
          <w:rFonts w:hint="eastAsia" w:ascii="宋体" w:hAnsi="宋体" w:eastAsia="宋体" w:cs="宋体"/>
          <w:b/>
          <w:sz w:val="44"/>
          <w:szCs w:val="44"/>
          <w:highlight w:val="none"/>
          <w:lang w:eastAsia="zh-CN"/>
        </w:rPr>
        <w:t>灵宝市尹庄镇中心小学改扩建南教学楼项目</w:t>
      </w:r>
    </w:p>
    <w:p w14:paraId="25EE2088">
      <w:pPr>
        <w:pStyle w:val="21"/>
        <w:rPr>
          <w:rFonts w:hint="eastAsia" w:ascii="宋体" w:hAnsi="宋体" w:eastAsia="宋体" w:cs="宋体"/>
          <w:highlight w:val="none"/>
          <w:lang w:eastAsia="zh-CN"/>
        </w:rPr>
      </w:pPr>
    </w:p>
    <w:p w14:paraId="2D698590">
      <w:pPr>
        <w:adjustRightInd w:val="0"/>
        <w:snapToGrid w:val="0"/>
        <w:spacing w:line="360" w:lineRule="auto"/>
        <w:jc w:val="center"/>
        <w:rPr>
          <w:rFonts w:hint="eastAsia" w:ascii="宋体" w:hAnsi="宋体" w:eastAsia="宋体" w:cs="宋体"/>
          <w:b/>
          <w:sz w:val="52"/>
          <w:szCs w:val="52"/>
          <w:highlight w:val="none"/>
        </w:rPr>
      </w:pPr>
      <w:r>
        <w:rPr>
          <w:rFonts w:hint="eastAsia" w:ascii="宋体" w:hAnsi="宋体" w:eastAsia="宋体" w:cs="宋体"/>
          <w:b/>
          <w:sz w:val="72"/>
          <w:szCs w:val="72"/>
          <w:highlight w:val="none"/>
        </w:rPr>
        <w:t>竞争性磋商文件</w:t>
      </w:r>
    </w:p>
    <w:p w14:paraId="59517CA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rPr>
        <w:t>项目编号：</w:t>
      </w:r>
      <w:r>
        <w:rPr>
          <w:rFonts w:hint="eastAsia" w:ascii="宋体" w:hAnsi="宋体" w:eastAsia="宋体" w:cs="宋体"/>
          <w:b/>
          <w:bCs/>
          <w:color w:val="000000"/>
          <w:sz w:val="32"/>
          <w:szCs w:val="32"/>
          <w:highlight w:val="none"/>
          <w:lang w:val="en-US" w:eastAsia="zh-CN"/>
        </w:rPr>
        <w:t>灵宝竞磋采购-2025-52；LBGZ[2025]116-ZC079</w:t>
      </w:r>
    </w:p>
    <w:p w14:paraId="01F9D99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宋体"/>
          <w:b/>
          <w:bCs/>
          <w:color w:val="000000"/>
          <w:sz w:val="32"/>
          <w:szCs w:val="32"/>
          <w:highlight w:val="none"/>
          <w:lang w:val="en-US" w:eastAsia="zh-CN"/>
        </w:rPr>
      </w:pPr>
    </w:p>
    <w:p w14:paraId="61796872">
      <w:pPr>
        <w:adjustRightInd w:val="0"/>
        <w:snapToGrid w:val="0"/>
        <w:spacing w:line="360" w:lineRule="auto"/>
        <w:jc w:val="center"/>
        <w:rPr>
          <w:rFonts w:hint="eastAsia" w:ascii="宋体" w:hAnsi="宋体" w:eastAsia="宋体" w:cs="宋体"/>
          <w:b/>
          <w:bCs/>
          <w:color w:val="000000"/>
          <w:sz w:val="32"/>
          <w:szCs w:val="32"/>
          <w:highlight w:val="none"/>
          <w:lang w:val="en-US"/>
        </w:rPr>
      </w:pPr>
      <w:r>
        <w:rPr>
          <w:rFonts w:hint="eastAsia" w:ascii="宋体" w:hAnsi="宋体" w:eastAsia="宋体" w:cs="Times New Roman"/>
          <w:b/>
          <w:color w:val="auto"/>
          <w:kern w:val="2"/>
          <w:sz w:val="30"/>
          <w:szCs w:val="30"/>
          <w:highlight w:val="none"/>
          <w:lang w:val="en-US" w:eastAsia="zh-CN" w:bidi="ar-SA"/>
        </w:rPr>
        <w:drawing>
          <wp:inline distT="0" distB="0" distL="114300" distR="114300">
            <wp:extent cx="2914650" cy="2714625"/>
            <wp:effectExtent l="0" t="0" r="0" b="9525"/>
            <wp:docPr id="4" name="图片 4" descr="544b2702bf58566d80663de2542f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44b2702bf58566d80663de2542f7c4"/>
                    <pic:cNvPicPr>
                      <a:picLocks noChangeAspect="1"/>
                    </pic:cNvPicPr>
                  </pic:nvPicPr>
                  <pic:blipFill>
                    <a:blip r:embed="rId9"/>
                    <a:stretch>
                      <a:fillRect/>
                    </a:stretch>
                  </pic:blipFill>
                  <pic:spPr>
                    <a:xfrm>
                      <a:off x="0" y="0"/>
                      <a:ext cx="2914650" cy="2714625"/>
                    </a:xfrm>
                    <a:prstGeom prst="rect">
                      <a:avLst/>
                    </a:prstGeom>
                  </pic:spPr>
                </pic:pic>
              </a:graphicData>
            </a:graphic>
          </wp:inline>
        </w:drawing>
      </w:r>
    </w:p>
    <w:p w14:paraId="6ED418A1">
      <w:pPr>
        <w:adjustRightInd w:val="0"/>
        <w:snapToGrid w:val="0"/>
        <w:spacing w:line="360" w:lineRule="auto"/>
        <w:rPr>
          <w:rFonts w:hint="eastAsia" w:ascii="宋体" w:hAnsi="宋体" w:eastAsia="宋体" w:cs="宋体"/>
          <w:sz w:val="28"/>
          <w:szCs w:val="28"/>
          <w:highlight w:val="none"/>
        </w:rPr>
      </w:pPr>
    </w:p>
    <w:p w14:paraId="38591322">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lang w:val="en-US" w:eastAsia="zh-CN"/>
        </w:rPr>
        <w:t>招标单位</w:t>
      </w:r>
      <w:r>
        <w:rPr>
          <w:rFonts w:hint="eastAsia" w:ascii="宋体" w:hAnsi="宋体" w:eastAsia="宋体" w:cs="宋体"/>
          <w:b/>
          <w:spacing w:val="-6"/>
          <w:sz w:val="32"/>
          <w:szCs w:val="32"/>
          <w:highlight w:val="none"/>
        </w:rPr>
        <w:t>：</w:t>
      </w:r>
      <w:r>
        <w:rPr>
          <w:rFonts w:hint="eastAsia" w:ascii="宋体" w:hAnsi="宋体" w:eastAsia="宋体" w:cs="宋体"/>
          <w:b/>
          <w:spacing w:val="-6"/>
          <w:sz w:val="32"/>
          <w:szCs w:val="32"/>
          <w:highlight w:val="none"/>
          <w:lang w:eastAsia="zh-CN"/>
        </w:rPr>
        <w:t>灵宝市尹庄镇中心小学</w:t>
      </w:r>
    </w:p>
    <w:p w14:paraId="65AB7CAB">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lang w:eastAsia="zh-CN"/>
        </w:rPr>
      </w:pPr>
      <w:r>
        <w:rPr>
          <w:rFonts w:hint="eastAsia" w:ascii="宋体" w:hAnsi="宋体" w:eastAsia="宋体" w:cs="宋体"/>
          <w:b/>
          <w:spacing w:val="-6"/>
          <w:sz w:val="32"/>
          <w:szCs w:val="32"/>
          <w:highlight w:val="none"/>
        </w:rPr>
        <w:t>代理机构：</w:t>
      </w:r>
      <w:r>
        <w:rPr>
          <w:rFonts w:hint="eastAsia" w:ascii="宋体" w:hAnsi="宋体" w:eastAsia="宋体" w:cs="宋体"/>
          <w:b/>
          <w:spacing w:val="-6"/>
          <w:sz w:val="32"/>
          <w:szCs w:val="32"/>
          <w:highlight w:val="none"/>
          <w:lang w:eastAsia="zh-CN"/>
        </w:rPr>
        <w:t>河南洲禾建设工程有限公司</w:t>
      </w:r>
    </w:p>
    <w:p w14:paraId="02ACBABF">
      <w:pPr>
        <w:tabs>
          <w:tab w:val="left" w:pos="-1155"/>
          <w:tab w:val="left" w:pos="-1050"/>
        </w:tabs>
        <w:adjustRightInd w:val="0"/>
        <w:snapToGrid w:val="0"/>
        <w:spacing w:line="480" w:lineRule="auto"/>
        <w:ind w:firstLine="2165" w:firstLineChars="700"/>
        <w:jc w:val="left"/>
        <w:rPr>
          <w:rFonts w:hint="eastAsia" w:ascii="宋体" w:hAnsi="宋体" w:eastAsia="宋体" w:cs="宋体"/>
          <w:b/>
          <w:spacing w:val="-6"/>
          <w:sz w:val="32"/>
          <w:szCs w:val="32"/>
          <w:highlight w:val="none"/>
        </w:rPr>
      </w:pPr>
      <w:r>
        <w:rPr>
          <w:rFonts w:hint="eastAsia" w:ascii="宋体" w:hAnsi="宋体" w:eastAsia="宋体" w:cs="宋体"/>
          <w:b/>
          <w:spacing w:val="-6"/>
          <w:sz w:val="32"/>
          <w:szCs w:val="32"/>
          <w:highlight w:val="none"/>
        </w:rPr>
        <w:t xml:space="preserve">日 </w:t>
      </w:r>
      <w:r>
        <w:rPr>
          <w:rFonts w:hint="eastAsia" w:ascii="宋体" w:hAnsi="宋体" w:eastAsia="宋体" w:cs="宋体"/>
          <w:b/>
          <w:spacing w:val="-6"/>
          <w:sz w:val="32"/>
          <w:szCs w:val="32"/>
          <w:highlight w:val="none"/>
          <w:lang w:val="en-US" w:eastAsia="zh-CN"/>
        </w:rPr>
        <w:t xml:space="preserve">  </w:t>
      </w:r>
      <w:r>
        <w:rPr>
          <w:rFonts w:hint="eastAsia" w:ascii="宋体" w:hAnsi="宋体" w:eastAsia="宋体" w:cs="宋体"/>
          <w:b/>
          <w:spacing w:val="-6"/>
          <w:sz w:val="32"/>
          <w:szCs w:val="32"/>
          <w:highlight w:val="none"/>
        </w:rPr>
        <w:t xml:space="preserve"> 期：二○二</w:t>
      </w:r>
      <w:r>
        <w:rPr>
          <w:rFonts w:hint="eastAsia" w:ascii="宋体" w:hAnsi="宋体" w:eastAsia="宋体" w:cs="宋体"/>
          <w:b/>
          <w:spacing w:val="-6"/>
          <w:sz w:val="32"/>
          <w:szCs w:val="32"/>
          <w:highlight w:val="none"/>
          <w:lang w:val="en-US" w:eastAsia="zh-CN"/>
        </w:rPr>
        <w:t>五</w:t>
      </w:r>
      <w:r>
        <w:rPr>
          <w:rFonts w:hint="eastAsia" w:ascii="宋体" w:hAnsi="宋体" w:eastAsia="宋体" w:cs="宋体"/>
          <w:b/>
          <w:spacing w:val="-6"/>
          <w:sz w:val="32"/>
          <w:szCs w:val="32"/>
          <w:highlight w:val="none"/>
        </w:rPr>
        <w:t xml:space="preserve"> 年 </w:t>
      </w:r>
      <w:r>
        <w:rPr>
          <w:rFonts w:hint="eastAsia" w:ascii="宋体" w:hAnsi="宋体" w:eastAsia="宋体" w:cs="宋体"/>
          <w:b/>
          <w:spacing w:val="-6"/>
          <w:sz w:val="32"/>
          <w:szCs w:val="32"/>
          <w:highlight w:val="none"/>
          <w:lang w:val="en-US" w:eastAsia="zh-CN"/>
        </w:rPr>
        <w:t>五</w:t>
      </w:r>
      <w:r>
        <w:rPr>
          <w:rFonts w:hint="eastAsia" w:ascii="宋体" w:hAnsi="宋体" w:eastAsia="宋体" w:cs="宋体"/>
          <w:b/>
          <w:spacing w:val="-6"/>
          <w:sz w:val="32"/>
          <w:szCs w:val="32"/>
          <w:highlight w:val="none"/>
        </w:rPr>
        <w:t xml:space="preserve"> 月</w:t>
      </w:r>
    </w:p>
    <w:p w14:paraId="26F34CB1">
      <w:pPr>
        <w:shd w:val="solid" w:color="FFFFFF" w:fill="auto"/>
        <w:autoSpaceDN w:val="0"/>
        <w:adjustRightInd w:val="0"/>
        <w:snapToGrid w:val="0"/>
        <w:spacing w:line="360" w:lineRule="auto"/>
        <w:rPr>
          <w:rFonts w:hint="eastAsia" w:ascii="宋体" w:hAnsi="宋体" w:eastAsia="宋体" w:cs="宋体"/>
          <w:b/>
          <w:sz w:val="32"/>
          <w:szCs w:val="32"/>
          <w:highlight w:val="none"/>
        </w:rPr>
        <w:sectPr>
          <w:footerReference r:id="rId3" w:type="default"/>
          <w:pgSz w:w="11907" w:h="16840"/>
          <w:pgMar w:top="1587" w:right="1531" w:bottom="1587" w:left="1531" w:header="851" w:footer="992" w:gutter="0"/>
          <w:pgBorders>
            <w:top w:val="none" w:sz="0" w:space="0"/>
            <w:left w:val="none" w:sz="0" w:space="0"/>
            <w:bottom w:val="none" w:sz="0" w:space="0"/>
            <w:right w:val="none" w:sz="0" w:space="0"/>
          </w:pgBorders>
          <w:pgNumType w:start="1"/>
          <w:cols w:space="720" w:num="1"/>
          <w:docGrid w:linePitch="312" w:charSpace="0"/>
        </w:sectPr>
      </w:pPr>
    </w:p>
    <w:p w14:paraId="14B7268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color w:val="000000"/>
          <w:sz w:val="30"/>
          <w:szCs w:val="30"/>
          <w:highlight w:val="none"/>
        </w:rPr>
      </w:pPr>
    </w:p>
    <w:p w14:paraId="1320A7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val="0"/>
          <w:kern w:val="44"/>
          <w:sz w:val="32"/>
          <w:szCs w:val="32"/>
          <w:highlight w:val="none"/>
        </w:rPr>
      </w:pPr>
      <w:bookmarkStart w:id="0" w:name="_Toc22293"/>
      <w:bookmarkStart w:id="1" w:name="_Toc26856"/>
      <w:r>
        <w:rPr>
          <w:rFonts w:hint="eastAsia" w:ascii="宋体" w:hAnsi="宋体" w:eastAsia="宋体" w:cs="宋体"/>
          <w:b/>
          <w:bCs w:val="0"/>
          <w:kern w:val="44"/>
          <w:sz w:val="32"/>
          <w:szCs w:val="32"/>
          <w:highlight w:val="none"/>
        </w:rPr>
        <w:t>目  录</w:t>
      </w:r>
      <w:bookmarkEnd w:id="0"/>
      <w:bookmarkEnd w:id="1"/>
    </w:p>
    <w:p w14:paraId="2653E30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p w14:paraId="04C61DA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 w:val="0"/>
          <w:bCs/>
          <w:sz w:val="32"/>
          <w:szCs w:val="32"/>
          <w:highlight w:val="none"/>
        </w:rPr>
        <w:fldChar w:fldCharType="begin"/>
      </w:r>
      <w:r>
        <w:rPr>
          <w:rFonts w:hint="eastAsia" w:ascii="宋体" w:hAnsi="宋体" w:eastAsia="宋体" w:cs="宋体"/>
          <w:b w:val="0"/>
          <w:bCs/>
          <w:sz w:val="32"/>
          <w:szCs w:val="32"/>
          <w:highlight w:val="none"/>
        </w:rPr>
        <w:instrText xml:space="preserve">TOC \o "1-1" \h \u </w:instrText>
      </w:r>
      <w:r>
        <w:rPr>
          <w:rFonts w:hint="eastAsia" w:ascii="宋体" w:hAnsi="宋体" w:eastAsia="宋体" w:cs="宋体"/>
          <w:b w:val="0"/>
          <w:bCs/>
          <w:sz w:val="32"/>
          <w:szCs w:val="32"/>
          <w:highlight w:val="none"/>
        </w:rPr>
        <w:fldChar w:fldCharType="separate"/>
      </w: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_Toc8929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第一章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rPr>
        <w:t>竞争性磋商公告</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_Toc8929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1</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FF558A">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_Toc7461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第二章</w:t>
      </w:r>
      <w:r>
        <w:rPr>
          <w:rFonts w:hint="eastAsia" w:ascii="宋体" w:hAnsi="宋体" w:eastAsia="宋体" w:cs="宋体"/>
          <w:bCs/>
          <w:sz w:val="32"/>
          <w:szCs w:val="32"/>
          <w:highlight w:val="none"/>
          <w:lang w:val="en-US" w:eastAsia="zh-CN"/>
        </w:rPr>
        <w:t xml:space="preserve"> </w:t>
      </w:r>
      <w:r>
        <w:rPr>
          <w:rFonts w:hint="eastAsia" w:ascii="宋体" w:hAnsi="宋体" w:eastAsia="宋体" w:cs="宋体"/>
          <w:bCs/>
          <w:sz w:val="32"/>
          <w:szCs w:val="32"/>
          <w:highlight w:val="none"/>
          <w:lang w:eastAsia="zh-CN"/>
        </w:rPr>
        <w:t>投标人</w:t>
      </w:r>
      <w:r>
        <w:rPr>
          <w:rFonts w:hint="eastAsia" w:ascii="宋体" w:hAnsi="宋体" w:eastAsia="宋体" w:cs="宋体"/>
          <w:bCs/>
          <w:sz w:val="32"/>
          <w:szCs w:val="32"/>
          <w:highlight w:val="none"/>
        </w:rPr>
        <w:t>须知</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6</w:t>
      </w:r>
      <w:r>
        <w:rPr>
          <w:rFonts w:hint="eastAsia" w:ascii="宋体" w:hAnsi="宋体" w:eastAsia="宋体" w:cs="宋体"/>
          <w:bCs/>
          <w:sz w:val="32"/>
          <w:szCs w:val="32"/>
          <w:highlight w:val="none"/>
        </w:rPr>
        <w:fldChar w:fldCharType="end"/>
      </w:r>
    </w:p>
    <w:p w14:paraId="6D0569F1">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_Toc18532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三</w:t>
      </w:r>
      <w:r>
        <w:rPr>
          <w:rFonts w:hint="eastAsia" w:ascii="宋体" w:hAnsi="宋体" w:eastAsia="宋体" w:cs="宋体"/>
          <w:bCs/>
          <w:sz w:val="32"/>
          <w:szCs w:val="32"/>
          <w:highlight w:val="none"/>
        </w:rPr>
        <w:t>章</w:t>
      </w:r>
      <w:r>
        <w:rPr>
          <w:rFonts w:hint="eastAsia" w:ascii="宋体" w:hAnsi="宋体" w:eastAsia="宋体" w:cs="宋体"/>
          <w:bCs/>
          <w:sz w:val="32"/>
          <w:szCs w:val="32"/>
          <w:highlight w:val="none"/>
          <w:lang w:val="en-US" w:eastAsia="zh-CN"/>
        </w:rPr>
        <w:t xml:space="preserve"> 评标办法（综合评分法）</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_Toc18532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25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505637F7">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_Toc6637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lang w:val="en-US" w:eastAsia="zh-CN"/>
        </w:rPr>
        <w:t>第四章 合同条款</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_Toc6637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35</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9DA0119">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_Toc10207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五</w:t>
      </w:r>
      <w:r>
        <w:rPr>
          <w:rFonts w:hint="eastAsia" w:ascii="宋体" w:hAnsi="宋体" w:eastAsia="宋体" w:cs="宋体"/>
          <w:bCs/>
          <w:sz w:val="32"/>
          <w:szCs w:val="32"/>
          <w:highlight w:val="none"/>
        </w:rPr>
        <w:t>章 工程量清单（另附）</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_Toc10207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62</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49609236">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lang w:val="en-US" w:eastAsia="zh-CN"/>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_Toc20730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六</w:t>
      </w:r>
      <w:r>
        <w:rPr>
          <w:rFonts w:hint="eastAsia" w:ascii="宋体" w:hAnsi="宋体" w:eastAsia="宋体" w:cs="宋体"/>
          <w:bCs/>
          <w:sz w:val="32"/>
          <w:szCs w:val="32"/>
          <w:highlight w:val="none"/>
        </w:rPr>
        <w:t>章 图纸（另附）</w:t>
      </w:r>
      <w:r>
        <w:rPr>
          <w:rFonts w:hint="eastAsia" w:ascii="宋体" w:hAnsi="宋体" w:eastAsia="宋体" w:cs="宋体"/>
          <w:sz w:val="32"/>
          <w:szCs w:val="32"/>
          <w:highlight w:val="none"/>
        </w:rPr>
        <w:tab/>
      </w:r>
      <w:r>
        <w:rPr>
          <w:rFonts w:hint="eastAsia" w:ascii="宋体" w:hAnsi="宋体" w:eastAsia="宋体" w:cs="宋体"/>
          <w:sz w:val="32"/>
          <w:szCs w:val="32"/>
          <w:highlight w:val="none"/>
          <w:lang w:val="en-US" w:eastAsia="zh-CN"/>
        </w:rPr>
        <w:t>5</w:t>
      </w:r>
      <w:r>
        <w:rPr>
          <w:rFonts w:hint="eastAsia" w:ascii="宋体" w:hAnsi="宋体" w:eastAsia="宋体" w:cs="宋体"/>
          <w:bCs/>
          <w:sz w:val="32"/>
          <w:szCs w:val="32"/>
          <w:highlight w:val="none"/>
        </w:rPr>
        <w:fldChar w:fldCharType="end"/>
      </w:r>
      <w:r>
        <w:rPr>
          <w:rFonts w:hint="eastAsia" w:ascii="宋体" w:hAnsi="宋体" w:eastAsia="宋体" w:cs="宋体"/>
          <w:bCs/>
          <w:sz w:val="32"/>
          <w:szCs w:val="32"/>
          <w:highlight w:val="none"/>
          <w:lang w:val="en-US" w:eastAsia="zh-CN"/>
        </w:rPr>
        <w:t>0</w:t>
      </w:r>
    </w:p>
    <w:p w14:paraId="75301084">
      <w:pPr>
        <w:pStyle w:val="18"/>
        <w:pageBreakBefore w:val="0"/>
        <w:tabs>
          <w:tab w:val="right" w:leader="dot" w:pos="9072"/>
        </w:tabs>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32"/>
          <w:szCs w:val="32"/>
          <w:highlight w:val="none"/>
        </w:rPr>
      </w:pPr>
      <w:r>
        <w:rPr>
          <w:rFonts w:hint="eastAsia" w:ascii="宋体" w:hAnsi="宋体" w:eastAsia="宋体" w:cs="宋体"/>
          <w:bCs/>
          <w:sz w:val="32"/>
          <w:szCs w:val="32"/>
          <w:highlight w:val="none"/>
        </w:rPr>
        <w:fldChar w:fldCharType="begin"/>
      </w:r>
      <w:r>
        <w:rPr>
          <w:rFonts w:hint="eastAsia" w:ascii="宋体" w:hAnsi="宋体" w:eastAsia="宋体" w:cs="宋体"/>
          <w:bCs/>
          <w:sz w:val="32"/>
          <w:szCs w:val="32"/>
          <w:highlight w:val="none"/>
        </w:rPr>
        <w:instrText xml:space="preserve"> HYPERLINK \l _Toc7428 </w:instrText>
      </w:r>
      <w:r>
        <w:rPr>
          <w:rFonts w:hint="eastAsia" w:ascii="宋体" w:hAnsi="宋体" w:eastAsia="宋体" w:cs="宋体"/>
          <w:bCs/>
          <w:sz w:val="32"/>
          <w:szCs w:val="32"/>
          <w:highlight w:val="none"/>
        </w:rPr>
        <w:fldChar w:fldCharType="separate"/>
      </w:r>
      <w:r>
        <w:rPr>
          <w:rFonts w:hint="eastAsia" w:ascii="宋体" w:hAnsi="宋体" w:eastAsia="宋体" w:cs="宋体"/>
          <w:bCs/>
          <w:sz w:val="32"/>
          <w:szCs w:val="32"/>
          <w:highlight w:val="none"/>
        </w:rPr>
        <w:t>第</w:t>
      </w:r>
      <w:r>
        <w:rPr>
          <w:rFonts w:hint="eastAsia" w:ascii="宋体" w:hAnsi="宋体" w:eastAsia="宋体" w:cs="宋体"/>
          <w:bCs/>
          <w:sz w:val="32"/>
          <w:szCs w:val="32"/>
          <w:highlight w:val="none"/>
          <w:lang w:val="en-US" w:eastAsia="zh-CN"/>
        </w:rPr>
        <w:t>七</w:t>
      </w:r>
      <w:r>
        <w:rPr>
          <w:rFonts w:hint="eastAsia" w:ascii="宋体" w:hAnsi="宋体" w:eastAsia="宋体" w:cs="宋体"/>
          <w:bCs/>
          <w:sz w:val="32"/>
          <w:szCs w:val="32"/>
          <w:highlight w:val="none"/>
        </w:rPr>
        <w:t xml:space="preserve">章 </w:t>
      </w:r>
      <w:r>
        <w:rPr>
          <w:rFonts w:hint="eastAsia" w:ascii="宋体" w:hAnsi="宋体" w:eastAsia="宋体" w:cs="宋体"/>
          <w:bCs/>
          <w:sz w:val="32"/>
          <w:szCs w:val="32"/>
          <w:highlight w:val="none"/>
          <w:lang w:eastAsia="zh-CN"/>
        </w:rPr>
        <w:t>投标文件</w:t>
      </w:r>
      <w:r>
        <w:rPr>
          <w:rFonts w:hint="eastAsia" w:ascii="宋体" w:hAnsi="宋体" w:eastAsia="宋体" w:cs="宋体"/>
          <w:bCs/>
          <w:sz w:val="32"/>
          <w:szCs w:val="32"/>
          <w:highlight w:val="none"/>
        </w:rPr>
        <w:t>格式</w:t>
      </w:r>
      <w:r>
        <w:rPr>
          <w:rFonts w:hint="eastAsia" w:ascii="宋体" w:hAnsi="宋体" w:eastAsia="宋体" w:cs="宋体"/>
          <w:sz w:val="32"/>
          <w:szCs w:val="32"/>
          <w:highlight w:val="none"/>
        </w:rPr>
        <w:tab/>
      </w:r>
      <w:r>
        <w:rPr>
          <w:rFonts w:hint="eastAsia" w:ascii="宋体" w:hAnsi="宋体" w:eastAsia="宋体" w:cs="宋体"/>
          <w:sz w:val="32"/>
          <w:szCs w:val="32"/>
          <w:highlight w:val="none"/>
        </w:rPr>
        <w:fldChar w:fldCharType="begin"/>
      </w:r>
      <w:r>
        <w:rPr>
          <w:rFonts w:hint="eastAsia" w:ascii="宋体" w:hAnsi="宋体" w:eastAsia="宋体" w:cs="宋体"/>
          <w:sz w:val="32"/>
          <w:szCs w:val="32"/>
          <w:highlight w:val="none"/>
        </w:rPr>
        <w:instrText xml:space="preserve"> PAGEREF _Toc7428 \h </w:instrText>
      </w:r>
      <w:r>
        <w:rPr>
          <w:rFonts w:hint="eastAsia" w:ascii="宋体" w:hAnsi="宋体" w:eastAsia="宋体" w:cs="宋体"/>
          <w:sz w:val="32"/>
          <w:szCs w:val="32"/>
          <w:highlight w:val="none"/>
        </w:rPr>
        <w:fldChar w:fldCharType="separate"/>
      </w:r>
      <w:r>
        <w:rPr>
          <w:rFonts w:hint="eastAsia" w:ascii="宋体" w:hAnsi="宋体" w:eastAsia="宋体" w:cs="宋体"/>
          <w:sz w:val="32"/>
          <w:szCs w:val="32"/>
          <w:highlight w:val="none"/>
        </w:rPr>
        <w:t>64</w:t>
      </w:r>
      <w:r>
        <w:rPr>
          <w:rFonts w:hint="eastAsia" w:ascii="宋体" w:hAnsi="宋体" w:eastAsia="宋体" w:cs="宋体"/>
          <w:sz w:val="32"/>
          <w:szCs w:val="32"/>
          <w:highlight w:val="none"/>
        </w:rPr>
        <w:fldChar w:fldCharType="end"/>
      </w:r>
      <w:r>
        <w:rPr>
          <w:rFonts w:hint="eastAsia" w:ascii="宋体" w:hAnsi="宋体" w:eastAsia="宋体" w:cs="宋体"/>
          <w:bCs/>
          <w:sz w:val="32"/>
          <w:szCs w:val="32"/>
          <w:highlight w:val="none"/>
        </w:rPr>
        <w:fldChar w:fldCharType="end"/>
      </w:r>
    </w:p>
    <w:p w14:paraId="76565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0"/>
          <w:szCs w:val="30"/>
          <w:highlight w:val="none"/>
        </w:rPr>
      </w:pPr>
      <w:r>
        <w:rPr>
          <w:rFonts w:hint="eastAsia" w:ascii="宋体" w:hAnsi="宋体" w:eastAsia="宋体" w:cs="宋体"/>
          <w:bCs/>
          <w:sz w:val="32"/>
          <w:szCs w:val="32"/>
          <w:highlight w:val="none"/>
        </w:rPr>
        <w:fldChar w:fldCharType="end"/>
      </w:r>
    </w:p>
    <w:p w14:paraId="341A0C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742C330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10D57C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kern w:val="0"/>
          <w:sz w:val="24"/>
          <w:szCs w:val="24"/>
          <w:highlight w:val="none"/>
        </w:rPr>
      </w:pPr>
    </w:p>
    <w:p w14:paraId="697D81D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8"/>
          <w:szCs w:val="28"/>
          <w:highlight w:val="none"/>
        </w:rPr>
      </w:pPr>
    </w:p>
    <w:p w14:paraId="3DA73B5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sectPr>
          <w:footerReference r:id="rId4" w:type="default"/>
          <w:pgSz w:w="11906" w:h="16838"/>
          <w:pgMar w:top="1247" w:right="1417" w:bottom="1134" w:left="1417" w:header="851" w:footer="992" w:gutter="0"/>
          <w:pgBorders>
            <w:top w:val="none" w:sz="0" w:space="0"/>
            <w:left w:val="none" w:sz="0" w:space="0"/>
            <w:bottom w:val="none" w:sz="0" w:space="0"/>
            <w:right w:val="none" w:sz="0" w:space="0"/>
          </w:pgBorders>
          <w:pgNumType w:fmt="numberInDash" w:start="2"/>
          <w:cols w:space="720" w:num="1"/>
          <w:docGrid w:type="lines" w:linePitch="312" w:charSpace="0"/>
        </w:sectPr>
      </w:pPr>
      <w:bookmarkStart w:id="2" w:name="_Toc69718831"/>
      <w:bookmarkEnd w:id="2"/>
      <w:bookmarkStart w:id="3" w:name="_Toc28061"/>
      <w:bookmarkStart w:id="1128" w:name="_GoBack"/>
      <w:bookmarkEnd w:id="1128"/>
    </w:p>
    <w:p w14:paraId="37C85490">
      <w:pPr>
        <w:keepNext/>
        <w:keepLines/>
        <w:pageBreakBefore w:val="0"/>
        <w:widowControl w:val="0"/>
        <w:numPr>
          <w:ilvl w:val="0"/>
          <w:numId w:val="1"/>
        </w:numPr>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4" w:name="_Toc8929"/>
      <w:r>
        <w:rPr>
          <w:rFonts w:hint="eastAsia" w:ascii="宋体" w:hAnsi="宋体" w:eastAsia="宋体" w:cs="宋体"/>
          <w:b/>
          <w:bCs/>
          <w:sz w:val="36"/>
          <w:szCs w:val="36"/>
          <w:highlight w:val="none"/>
        </w:rPr>
        <w:t>竞争性磋商公告</w:t>
      </w:r>
      <w:bookmarkEnd w:id="3"/>
      <w:bookmarkEnd w:id="4"/>
    </w:p>
    <w:p w14:paraId="0E6133B2">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jc w:val="center"/>
        <w:textAlignment w:val="auto"/>
        <w:rPr>
          <w:rFonts w:hint="eastAsia" w:ascii="宋体" w:hAnsi="宋体" w:eastAsia="宋体" w:cs="宋体"/>
          <w:b/>
          <w:bCs/>
          <w:sz w:val="28"/>
          <w:szCs w:val="28"/>
          <w:highlight w:val="none"/>
          <w:lang w:eastAsia="zh-CN"/>
        </w:rPr>
      </w:pPr>
      <w:bookmarkStart w:id="5" w:name="_Toc114"/>
      <w:bookmarkStart w:id="6" w:name="_Toc7461"/>
      <w:r>
        <w:rPr>
          <w:rFonts w:hint="eastAsia" w:ascii="宋体" w:hAnsi="宋体" w:eastAsia="宋体" w:cs="宋体"/>
          <w:b/>
          <w:bCs/>
          <w:sz w:val="28"/>
          <w:szCs w:val="28"/>
          <w:highlight w:val="none"/>
          <w:lang w:eastAsia="zh-CN"/>
        </w:rPr>
        <w:t>灵宝市尹庄镇中心小学改扩建南教学楼项目</w:t>
      </w:r>
    </w:p>
    <w:p w14:paraId="148CFF1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一、招标条件</w:t>
      </w:r>
    </w:p>
    <w:p w14:paraId="06DE2C3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河南洲禾建设工程有限公司</w:t>
      </w:r>
      <w:r>
        <w:rPr>
          <w:rFonts w:hint="eastAsia" w:ascii="宋体" w:hAnsi="宋体" w:eastAsia="宋体" w:cs="宋体"/>
          <w:sz w:val="28"/>
          <w:szCs w:val="28"/>
          <w:highlight w:val="none"/>
        </w:rPr>
        <w:t>受</w:t>
      </w:r>
      <w:r>
        <w:rPr>
          <w:rFonts w:hint="eastAsia" w:ascii="宋体" w:hAnsi="宋体" w:eastAsia="宋体" w:cs="宋体"/>
          <w:sz w:val="28"/>
          <w:szCs w:val="28"/>
          <w:highlight w:val="none"/>
          <w:lang w:eastAsia="zh-CN"/>
        </w:rPr>
        <w:t>灵宝市尹庄镇中心小学</w:t>
      </w:r>
      <w:r>
        <w:rPr>
          <w:rFonts w:hint="eastAsia" w:ascii="宋体" w:hAnsi="宋体" w:eastAsia="宋体" w:cs="宋体"/>
          <w:sz w:val="28"/>
          <w:szCs w:val="28"/>
          <w:highlight w:val="none"/>
        </w:rPr>
        <w:t>的委托，就</w:t>
      </w:r>
      <w:r>
        <w:rPr>
          <w:rFonts w:hint="eastAsia" w:ascii="宋体" w:hAnsi="宋体" w:eastAsia="宋体" w:cs="宋体"/>
          <w:sz w:val="28"/>
          <w:szCs w:val="28"/>
          <w:highlight w:val="none"/>
          <w:lang w:eastAsia="zh-CN"/>
        </w:rPr>
        <w:t>灵宝市尹庄镇中心小学改扩建南教学楼项目</w:t>
      </w:r>
      <w:r>
        <w:rPr>
          <w:rFonts w:hint="eastAsia" w:ascii="宋体" w:hAnsi="宋体" w:eastAsia="宋体" w:cs="宋体"/>
          <w:sz w:val="28"/>
          <w:szCs w:val="28"/>
          <w:highlight w:val="none"/>
        </w:rPr>
        <w:t>进行竞争性磋商，项目已具备招标条件，欢迎符合资格条件的</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参加磋商。</w:t>
      </w:r>
    </w:p>
    <w:p w14:paraId="3DDE387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二、项目概况</w:t>
      </w:r>
    </w:p>
    <w:p w14:paraId="4A102E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1.项目名称：</w:t>
      </w:r>
      <w:r>
        <w:rPr>
          <w:rFonts w:hint="eastAsia" w:ascii="宋体" w:hAnsi="宋体" w:eastAsia="宋体" w:cs="宋体"/>
          <w:sz w:val="28"/>
          <w:szCs w:val="28"/>
          <w:highlight w:val="none"/>
          <w:lang w:eastAsia="zh-CN"/>
        </w:rPr>
        <w:t>灵宝市尹庄镇中心小学改扩建南教学楼项目</w:t>
      </w:r>
    </w:p>
    <w:p w14:paraId="649341C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val="en-US" w:eastAsia="zh-CN"/>
        </w:rPr>
        <w:t>项目编号：灵宝竞磋采购-2025-52；LBGZ[2025]116-ZC079</w:t>
      </w:r>
    </w:p>
    <w:p w14:paraId="4F0BC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3.项目概况：</w:t>
      </w:r>
      <w:r>
        <w:rPr>
          <w:rFonts w:hint="eastAsia" w:ascii="宋体" w:hAnsi="宋体" w:eastAsia="宋体" w:cs="宋体"/>
          <w:sz w:val="28"/>
          <w:szCs w:val="28"/>
          <w:highlight w:val="none"/>
          <w:lang w:val="en-US" w:eastAsia="zh-CN"/>
        </w:rPr>
        <w:t>本项目为灵宝市尹庄镇中心小学改扩建南教学楼项目，主要建设内容为：建筑、装饰、给排水、电气等。具体详见</w:t>
      </w:r>
      <w:r>
        <w:rPr>
          <w:rFonts w:hint="eastAsia" w:ascii="宋体" w:hAnsi="宋体" w:eastAsia="宋体" w:cs="宋体"/>
          <w:sz w:val="28"/>
          <w:szCs w:val="28"/>
          <w:highlight w:val="none"/>
        </w:rPr>
        <w:t>施工图纸和工程量清单</w:t>
      </w:r>
      <w:r>
        <w:rPr>
          <w:rFonts w:hint="eastAsia" w:ascii="宋体" w:hAnsi="宋体" w:eastAsia="宋体" w:cs="宋体"/>
          <w:sz w:val="28"/>
          <w:szCs w:val="28"/>
          <w:highlight w:val="none"/>
          <w:lang w:val="en-US" w:eastAsia="zh-CN"/>
        </w:rPr>
        <w:t>。</w:t>
      </w:r>
    </w:p>
    <w:p w14:paraId="0A40FE7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4.磋商范围：施工图纸和工程量清单所包含的全部内容。</w:t>
      </w:r>
    </w:p>
    <w:p w14:paraId="6C8F0F4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5.招标控制价：</w:t>
      </w:r>
      <w:r>
        <w:rPr>
          <w:rFonts w:hint="eastAsia" w:ascii="宋体" w:hAnsi="宋体" w:eastAsia="宋体" w:cs="宋体"/>
          <w:sz w:val="28"/>
          <w:szCs w:val="28"/>
          <w:highlight w:val="none"/>
          <w:lang w:val="en-US" w:eastAsia="zh-CN"/>
        </w:rPr>
        <w:t>365.025565万</w:t>
      </w:r>
      <w:r>
        <w:rPr>
          <w:rFonts w:hint="eastAsia" w:ascii="宋体" w:hAnsi="宋体" w:eastAsia="宋体" w:cs="宋体"/>
          <w:sz w:val="28"/>
          <w:szCs w:val="28"/>
          <w:highlight w:val="none"/>
        </w:rPr>
        <w:t>元</w:t>
      </w:r>
    </w:p>
    <w:p w14:paraId="494F6BC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6.资金来源：财政资金，已落实</w:t>
      </w:r>
    </w:p>
    <w:p w14:paraId="78B3540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7.工期：</w:t>
      </w:r>
      <w:r>
        <w:rPr>
          <w:rFonts w:hint="eastAsia" w:ascii="宋体" w:hAnsi="宋体" w:eastAsia="宋体" w:cs="宋体"/>
          <w:sz w:val="28"/>
          <w:szCs w:val="28"/>
          <w:highlight w:val="none"/>
          <w:lang w:val="en-US" w:eastAsia="zh-CN"/>
        </w:rPr>
        <w:t>120日历天</w:t>
      </w:r>
    </w:p>
    <w:p w14:paraId="04C8E6F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rPr>
        <w:t>8.质量要求：</w:t>
      </w:r>
      <w:r>
        <w:rPr>
          <w:rFonts w:hint="eastAsia" w:ascii="宋体" w:hAnsi="宋体" w:eastAsia="宋体" w:cs="宋体"/>
          <w:sz w:val="28"/>
          <w:szCs w:val="28"/>
          <w:highlight w:val="none"/>
          <w:lang w:val="en-US" w:eastAsia="zh-CN"/>
        </w:rPr>
        <w:t>达到国家现行建设工程施工验收规范合格标准</w:t>
      </w:r>
    </w:p>
    <w:p w14:paraId="7620294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9.标段划分：本项目不划分标段。</w:t>
      </w:r>
    </w:p>
    <w:p w14:paraId="4FE758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三、</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资格要求</w:t>
      </w:r>
    </w:p>
    <w:p w14:paraId="2B4F06E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1.满足《中华人民共和国政府采购法》第二十二条规定；</w:t>
      </w:r>
    </w:p>
    <w:p w14:paraId="272BD35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2.落实政府采购政策需满足的资格要求：根据《政府采购促进中小企业发展管理办法》（财库〔2020〕46号）规定，本项目专门面向中小企业采购,同时供应商须提供《中小企业声明函》</w:t>
      </w:r>
      <w:r>
        <w:rPr>
          <w:rFonts w:hint="eastAsia" w:ascii="宋体" w:hAnsi="宋体" w:eastAsia="宋体" w:cs="宋体"/>
          <w:sz w:val="28"/>
          <w:szCs w:val="28"/>
          <w:highlight w:val="none"/>
          <w:lang w:eastAsia="zh-CN"/>
        </w:rPr>
        <w:t>。</w:t>
      </w:r>
    </w:p>
    <w:p w14:paraId="794FA3D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3.本项目的特定资格要求：</w:t>
      </w:r>
    </w:p>
    <w:p w14:paraId="4155C65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3.1</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须具备独立法人资格，具有有效的营业执照。</w:t>
      </w:r>
    </w:p>
    <w:p w14:paraId="0399B65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3.2</w:t>
      </w:r>
      <w:r>
        <w:rPr>
          <w:rFonts w:hint="eastAsia" w:ascii="宋体" w:hAnsi="宋体" w:eastAsia="宋体" w:cs="宋体"/>
          <w:sz w:val="28"/>
          <w:szCs w:val="28"/>
          <w:highlight w:val="none"/>
          <w:lang w:val="en-US" w:eastAsia="zh-CN"/>
        </w:rPr>
        <w:t>投标人须具有建筑工程施工总承包叁级及以上资质，且具有有效的安全生产许可证</w:t>
      </w:r>
      <w:r>
        <w:rPr>
          <w:rFonts w:hint="eastAsia" w:ascii="宋体" w:hAnsi="宋体" w:eastAsia="宋体" w:cs="宋体"/>
          <w:sz w:val="28"/>
          <w:szCs w:val="28"/>
          <w:highlight w:val="none"/>
        </w:rPr>
        <w:t>。</w:t>
      </w:r>
    </w:p>
    <w:p w14:paraId="7D8989A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3.3拟派项目经理须具有</w:t>
      </w:r>
      <w:r>
        <w:rPr>
          <w:rFonts w:hint="eastAsia" w:ascii="宋体" w:hAnsi="宋体" w:eastAsia="宋体" w:cs="宋体"/>
          <w:sz w:val="28"/>
          <w:szCs w:val="28"/>
          <w:highlight w:val="none"/>
          <w:lang w:val="en-US" w:eastAsia="zh-CN"/>
        </w:rPr>
        <w:t>相关专业</w:t>
      </w:r>
      <w:r>
        <w:rPr>
          <w:rFonts w:hint="eastAsia" w:ascii="宋体" w:hAnsi="宋体" w:eastAsia="宋体" w:cs="宋体"/>
          <w:sz w:val="28"/>
          <w:szCs w:val="28"/>
          <w:highlight w:val="none"/>
        </w:rPr>
        <w:t>贰级及以上注册建造师资格，具备有效的安全生产考核合格证书，并出具未在其他在建工程项目中担任项目经理承诺书。</w:t>
      </w:r>
    </w:p>
    <w:p w14:paraId="5D75A29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3.4</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须自行出具本单位无商业贿赂及无不正当竞争行为的承诺书。</w:t>
      </w:r>
    </w:p>
    <w:p w14:paraId="13A7B4C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3.5根据《关于在政府采购活动中查询及使用信用记录有关问题的通知》(财库[2016]125号)的规定，企业没有被列入“中国执行信息公开网”网站的“失信被执行人”、“信用中国”网站的“重大税收违法失信主体”及“中国政府采购网”网站的“政府采购严重违法失信行为记录名单”。【查询渠道：“中国执行信息公开网”网站（http://zxgk.court.gov.cn/shixin）“信用中国”网站（www.creditchina.gov.cn）、中国政府采购网（www.ccgp.gov.cn），提供网站的查询信息截图，查询时间自公告发布之日起）。</w:t>
      </w:r>
    </w:p>
    <w:p w14:paraId="23F212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lang w:val="en-US" w:eastAsia="zh-CN"/>
        </w:rPr>
        <w:t>3.6</w:t>
      </w:r>
      <w:r>
        <w:rPr>
          <w:rFonts w:hint="eastAsia" w:ascii="宋体" w:hAnsi="宋体" w:eastAsia="宋体" w:cs="宋体"/>
          <w:sz w:val="28"/>
          <w:szCs w:val="28"/>
          <w:highlight w:val="none"/>
        </w:rPr>
        <w:t>根据《灵人社【2019】28号》文件规定投标人需提供人社局出具的建设工程无拖欠农民工(员工)工资证明 (函)</w:t>
      </w:r>
      <w:r>
        <w:rPr>
          <w:rFonts w:hint="eastAsia" w:ascii="宋体" w:hAnsi="宋体" w:eastAsia="宋体" w:cs="宋体"/>
          <w:sz w:val="28"/>
          <w:szCs w:val="28"/>
          <w:highlight w:val="none"/>
          <w:lang w:eastAsia="zh-CN"/>
        </w:rPr>
        <w:t>。</w:t>
      </w:r>
    </w:p>
    <w:p w14:paraId="37D6C73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7</w:t>
      </w:r>
      <w:r>
        <w:rPr>
          <w:rFonts w:hint="eastAsia" w:ascii="宋体" w:hAnsi="宋体" w:eastAsia="宋体" w:cs="宋体"/>
          <w:sz w:val="28"/>
          <w:szCs w:val="28"/>
          <w:highlight w:val="none"/>
        </w:rPr>
        <w:t>本项目不接受联合体磋商，提供非联合体承诺。</w:t>
      </w:r>
    </w:p>
    <w:p w14:paraId="31258DB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本次招标实行资格后审，资格审查的具体要求见磋商文件。</w:t>
      </w:r>
    </w:p>
    <w:p w14:paraId="45C064F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四、竞争性磋商文件获取方式 </w:t>
      </w:r>
    </w:p>
    <w:p w14:paraId="6F60C2E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磋商文件获取方式：本项目没有报名环节，磋商投标人凭CA数字证书通过三门峡市公共资源交易中心网（网址：http://gzjy.smx.gov.cn）点击交易平台选择“市场主体登录”，在所参与项目右侧点击参与投标，即可直接下载本项目磋商文件。</w:t>
      </w:r>
    </w:p>
    <w:p w14:paraId="0EA09BF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办理CA证书：</w:t>
      </w:r>
    </w:p>
    <w:p w14:paraId="4E6EE5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http://gzjy.smx.gov.cn/bzzx/008001/20211105/57b16af9-ab87-4395-a723-7758c628a3f8.html</w:t>
      </w:r>
    </w:p>
    <w:p w14:paraId="454459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三门峡市公共资源交易平台操作手册：</w:t>
      </w:r>
    </w:p>
    <w:p w14:paraId="6A552AC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http://gzjy.smx.gov.cn/bzzx/008001/20200325/1d4d9bd4-82a2-4284-b2f7-428c4c69ef58.html</w:t>
      </w:r>
    </w:p>
    <w:p w14:paraId="123B15A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2.磋商文件下载时间：2025年5月21日至2025年6月3日8时30分。</w:t>
      </w:r>
    </w:p>
    <w:p w14:paraId="27B6706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rPr>
      </w:pPr>
      <w:r>
        <w:rPr>
          <w:rFonts w:hint="eastAsia" w:ascii="宋体" w:hAnsi="宋体" w:eastAsia="宋体" w:cs="宋体"/>
          <w:sz w:val="28"/>
          <w:szCs w:val="28"/>
          <w:highlight w:val="none"/>
          <w:lang w:val="en-US" w:eastAsia="zh-CN"/>
        </w:rPr>
        <w:t>3.根据《关于进一步加强公共资源交易管理持续优化营商环境的通知》（三公管办{2020}2号）文件的要求，磋商文件费用不再收取。</w:t>
      </w:r>
    </w:p>
    <w:p w14:paraId="7281113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注：本项目为不见面开标项目。开标当日，磋商投标人无需到开标现场参加开标会议，磋商投标人应当在投标截止时间前，登陆不见面开标大厅选择登陆三门峡市公共资源电子招投标系统进行登陆（网址http://120.194.249.36:10094/BidOpening/bidopeninghallaction/hall/login）,在线准时参加开标活动并进行投标文件解密等。每位磋商投标人的解密时间为开标时间起30分钟内完成。因投标人原因未能解密、解密失败或解密超时的将被拒绝。</w:t>
      </w:r>
    </w:p>
    <w:p w14:paraId="5276054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五、磋商保证金</w:t>
      </w:r>
    </w:p>
    <w:p w14:paraId="3E698C66">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按照《河南省财政厅关于优化政府采购营商环境有关问题的通知》（豫财购[2019]4号文）的要求本项目不再收取磋商保证金。</w:t>
      </w:r>
    </w:p>
    <w:p w14:paraId="03A7D6B1">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六、磋商时间和地点</w:t>
      </w:r>
    </w:p>
    <w:p w14:paraId="63DB6E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1.</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递交截止时间及磋商时间：</w:t>
      </w:r>
      <w:r>
        <w:rPr>
          <w:rFonts w:hint="eastAsia" w:ascii="宋体" w:hAnsi="宋体" w:eastAsia="宋体" w:cs="宋体"/>
          <w:sz w:val="28"/>
          <w:szCs w:val="28"/>
          <w:highlight w:val="none"/>
          <w:lang w:eastAsia="zh-CN"/>
        </w:rPr>
        <w:t>2025</w:t>
      </w:r>
      <w:r>
        <w:rPr>
          <w:rFonts w:hint="eastAsia" w:ascii="宋体" w:hAnsi="宋体" w:eastAsia="宋体" w:cs="宋体"/>
          <w:sz w:val="28"/>
          <w:szCs w:val="28"/>
          <w:highlight w:val="none"/>
        </w:rPr>
        <w:t>年</w:t>
      </w:r>
      <w:r>
        <w:rPr>
          <w:rFonts w:hint="eastAsia" w:ascii="宋体" w:hAnsi="宋体" w:eastAsia="宋体" w:cs="宋体"/>
          <w:sz w:val="28"/>
          <w:szCs w:val="28"/>
          <w:highlight w:val="none"/>
          <w:lang w:val="en-US" w:eastAsia="zh-CN"/>
        </w:rPr>
        <w:t>6</w:t>
      </w:r>
      <w:r>
        <w:rPr>
          <w:rFonts w:hint="eastAsia" w:ascii="宋体" w:hAnsi="宋体" w:eastAsia="宋体" w:cs="宋体"/>
          <w:sz w:val="28"/>
          <w:szCs w:val="28"/>
          <w:highlight w:val="none"/>
        </w:rPr>
        <w:t>月</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日</w:t>
      </w:r>
      <w:r>
        <w:rPr>
          <w:rFonts w:hint="eastAsia" w:ascii="宋体" w:hAnsi="宋体" w:eastAsia="宋体" w:cs="宋体"/>
          <w:sz w:val="28"/>
          <w:szCs w:val="28"/>
          <w:highlight w:val="none"/>
          <w:lang w:val="en-US" w:eastAsia="zh-CN"/>
        </w:rPr>
        <w:t>8</w:t>
      </w:r>
      <w:r>
        <w:rPr>
          <w:rFonts w:hint="eastAsia" w:ascii="宋体" w:hAnsi="宋体" w:eastAsia="宋体" w:cs="宋体"/>
          <w:sz w:val="28"/>
          <w:szCs w:val="28"/>
          <w:highlight w:val="none"/>
        </w:rPr>
        <w:t>时</w:t>
      </w: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0分</w:t>
      </w:r>
      <w:r>
        <w:rPr>
          <w:rFonts w:hint="eastAsia" w:ascii="宋体" w:hAnsi="宋体" w:eastAsia="宋体" w:cs="宋体"/>
          <w:sz w:val="28"/>
          <w:szCs w:val="28"/>
          <w:highlight w:val="none"/>
          <w:lang w:eastAsia="zh-CN"/>
        </w:rPr>
        <w:t>。</w:t>
      </w:r>
    </w:p>
    <w:p w14:paraId="6F11C3E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2.磋商地点：灵宝市公共资源交易中心开标</w:t>
      </w:r>
      <w:r>
        <w:rPr>
          <w:rFonts w:hint="eastAsia" w:ascii="宋体" w:hAnsi="宋体" w:eastAsia="宋体" w:cs="宋体"/>
          <w:sz w:val="28"/>
          <w:szCs w:val="28"/>
          <w:highlight w:val="none"/>
          <w:lang w:val="en-US" w:eastAsia="zh-CN"/>
        </w:rPr>
        <w:t>一</w:t>
      </w:r>
      <w:r>
        <w:rPr>
          <w:rFonts w:hint="eastAsia" w:ascii="宋体" w:hAnsi="宋体" w:eastAsia="宋体" w:cs="宋体"/>
          <w:sz w:val="28"/>
          <w:szCs w:val="28"/>
          <w:highlight w:val="none"/>
        </w:rPr>
        <w:t>室</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评标一室</w:t>
      </w:r>
      <w:r>
        <w:rPr>
          <w:rFonts w:hint="eastAsia" w:ascii="宋体" w:hAnsi="宋体" w:eastAsia="宋体" w:cs="宋体"/>
          <w:sz w:val="28"/>
          <w:szCs w:val="28"/>
          <w:highlight w:val="none"/>
        </w:rPr>
        <w:t>（灵宝市信用合作联社12楼）</w:t>
      </w:r>
    </w:p>
    <w:p w14:paraId="72E47FB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七、其他</w:t>
      </w:r>
    </w:p>
    <w:p w14:paraId="665F4A3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1.本项目实行资格后审，根据优化营商环境的要求，评标时审查内容以投标（响应）文件为准：</w:t>
      </w:r>
    </w:p>
    <w:p w14:paraId="635A409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（1）资格评（预）审部分：资格评（预）审以投标（响应）文件为准，其上传资料真实性由</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自行承担。</w:t>
      </w:r>
    </w:p>
    <w:p w14:paraId="20863F4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（2）评标打分部分：评标打分部分仍按照100分制原则进行，涉及到资格审查、企业荣誉、人员业绩、企业业绩等计分部分时，以</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自行上传到投标（响应）文件中的相应内容为准。</w:t>
      </w:r>
    </w:p>
    <w:p w14:paraId="4E069A8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w:t>
      </w:r>
      <w:r>
        <w:rPr>
          <w:rFonts w:hint="eastAsia" w:ascii="宋体" w:hAnsi="宋体" w:eastAsia="宋体" w:cs="宋体"/>
          <w:sz w:val="28"/>
          <w:szCs w:val="28"/>
          <w:highlight w:val="none"/>
          <w:lang w:eastAsia="zh-CN"/>
        </w:rPr>
        <w:t>投标文件</w:t>
      </w:r>
      <w:r>
        <w:rPr>
          <w:rFonts w:hint="eastAsia" w:ascii="宋体" w:hAnsi="宋体" w:eastAsia="宋体" w:cs="宋体"/>
          <w:sz w:val="28"/>
          <w:szCs w:val="28"/>
          <w:highlight w:val="none"/>
        </w:rPr>
        <w:t>编制部分：在竞争性磋商文件中要求</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 xml:space="preserve">按照投标（响应）文件格式进行投标文件编制，在投标文件编制时，应明确将投标单位企业基本情况、资质情况、人员情况、财务情况、业绩情况编入投标文件，便于进行资格审查及评标打分以投标文件业绩信息为准，可使用电子营业执照。 </w:t>
      </w:r>
    </w:p>
    <w:p w14:paraId="7EBDAE2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2.</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递交的资料和投标（响应）文件不论成交与否均不予退还；</w:t>
      </w:r>
    </w:p>
    <w:p w14:paraId="6B1774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3.采购人不组织</w:t>
      </w:r>
      <w:r>
        <w:rPr>
          <w:rFonts w:hint="eastAsia" w:ascii="宋体" w:hAnsi="宋体" w:eastAsia="宋体" w:cs="宋体"/>
          <w:sz w:val="28"/>
          <w:szCs w:val="28"/>
          <w:highlight w:val="none"/>
          <w:lang w:eastAsia="zh-CN"/>
        </w:rPr>
        <w:t>投标人</w:t>
      </w:r>
      <w:r>
        <w:rPr>
          <w:rFonts w:hint="eastAsia" w:ascii="宋体" w:hAnsi="宋体" w:eastAsia="宋体" w:cs="宋体"/>
          <w:sz w:val="28"/>
          <w:szCs w:val="28"/>
          <w:highlight w:val="none"/>
        </w:rPr>
        <w:t>踏勘现场；</w:t>
      </w:r>
    </w:p>
    <w:p w14:paraId="2038A4D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温馨提示：本项目为电子化、无纸化交易项目，开标时不再接受任何纸质资料，为保证您能投标成功，请需仔细阅读竞争性磋商文件和三门峡市公共资源交易中心官网业务办理指南。</w:t>
      </w:r>
    </w:p>
    <w:p w14:paraId="01ABBC74">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八、发布竞争性磋商公告的媒介</w:t>
      </w:r>
    </w:p>
    <w:p w14:paraId="3FC399D7">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本次磋商公告同时在《河南省政府采购网》、《中国采购与招标网》和《三门峡市公共资源交易中心网》上发布。</w:t>
      </w:r>
    </w:p>
    <w:p w14:paraId="6D5D243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九、联系方式</w:t>
      </w:r>
    </w:p>
    <w:p w14:paraId="53355AE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监督单位：灵宝市财政局政府采购监督管理科</w:t>
      </w:r>
    </w:p>
    <w:p w14:paraId="4709F078">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联系电话：0398-8852670</w:t>
      </w:r>
    </w:p>
    <w:p w14:paraId="771084F5">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监督机构：灵宝市教育体育局</w:t>
      </w:r>
    </w:p>
    <w:p w14:paraId="54BABCBE">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联系电话：0398-8652241</w:t>
      </w:r>
    </w:p>
    <w:p w14:paraId="2E986F0F">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招标人：灵宝市尹庄镇中心小学</w:t>
      </w:r>
    </w:p>
    <w:p w14:paraId="27B62A52">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地址：灵宝市涧东区尹庄社区</w:t>
      </w:r>
    </w:p>
    <w:p w14:paraId="3799D459">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联系人：僧先生</w:t>
      </w:r>
    </w:p>
    <w:p w14:paraId="5FCE44FA">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联系方式：13639839923</w:t>
      </w:r>
    </w:p>
    <w:p w14:paraId="59A8B323">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代理机构：河南洲禾建设工程有限公司</w:t>
      </w:r>
    </w:p>
    <w:p w14:paraId="1CD21A7B">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联系人：马女士</w:t>
      </w:r>
    </w:p>
    <w:p w14:paraId="591D5CBD">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 xml:space="preserve">联系方式：15138163336 </w:t>
      </w:r>
    </w:p>
    <w:p w14:paraId="58CFF5E0">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地址：三门峡市商务中心区迎宾大道湖滨大厦A座2513室</w:t>
      </w:r>
    </w:p>
    <w:p w14:paraId="12C703DC">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highlight w:val="none"/>
          <w:lang w:val="en-US" w:eastAsia="zh-CN"/>
        </w:rPr>
      </w:pPr>
    </w:p>
    <w:p w14:paraId="3373E9E7">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br w:type="page"/>
      </w:r>
    </w:p>
    <w:p w14:paraId="3D957D27">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第二章</w:t>
      </w:r>
      <w:r>
        <w:rPr>
          <w:rFonts w:hint="eastAsia" w:ascii="宋体" w:hAnsi="宋体" w:eastAsia="宋体" w:cs="宋体"/>
          <w:b/>
          <w:bCs/>
          <w:sz w:val="36"/>
          <w:szCs w:val="40"/>
          <w:highlight w:val="none"/>
          <w:lang w:val="en-US" w:eastAsia="zh-CN"/>
        </w:rPr>
        <w:t xml:space="preserve"> 投标人</w:t>
      </w:r>
      <w:r>
        <w:rPr>
          <w:rFonts w:hint="eastAsia" w:ascii="宋体" w:hAnsi="宋体" w:eastAsia="宋体" w:cs="宋体"/>
          <w:b/>
          <w:bCs/>
          <w:sz w:val="36"/>
          <w:szCs w:val="40"/>
          <w:highlight w:val="none"/>
        </w:rPr>
        <w:t>须知</w:t>
      </w:r>
      <w:bookmarkEnd w:id="5"/>
      <w:bookmarkEnd w:id="6"/>
    </w:p>
    <w:p w14:paraId="663FD1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投标人</w:t>
      </w:r>
      <w:r>
        <w:rPr>
          <w:rFonts w:hint="eastAsia" w:ascii="宋体" w:hAnsi="宋体" w:eastAsia="宋体" w:cs="宋体"/>
          <w:b/>
          <w:bCs/>
          <w:sz w:val="24"/>
          <w:szCs w:val="24"/>
          <w:highlight w:val="none"/>
        </w:rPr>
        <w:t>须知前附表</w:t>
      </w:r>
    </w:p>
    <w:tbl>
      <w:tblPr>
        <w:tblStyle w:val="2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2173"/>
        <w:gridCol w:w="5964"/>
      </w:tblGrid>
      <w:tr w14:paraId="7151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2CBB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条款号</w:t>
            </w:r>
          </w:p>
        </w:tc>
        <w:tc>
          <w:tcPr>
            <w:tcW w:w="2173" w:type="dxa"/>
            <w:tcBorders>
              <w:top w:val="single" w:color="auto" w:sz="4" w:space="0"/>
              <w:left w:val="nil"/>
              <w:bottom w:val="single" w:color="auto" w:sz="4" w:space="0"/>
              <w:right w:val="single" w:color="auto" w:sz="4" w:space="0"/>
            </w:tcBorders>
            <w:noWrap w:val="0"/>
            <w:vAlign w:val="center"/>
          </w:tcPr>
          <w:p w14:paraId="314216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条款名称</w:t>
            </w:r>
          </w:p>
        </w:tc>
        <w:tc>
          <w:tcPr>
            <w:tcW w:w="5964" w:type="dxa"/>
            <w:tcBorders>
              <w:top w:val="single" w:color="auto" w:sz="4" w:space="0"/>
              <w:left w:val="nil"/>
              <w:bottom w:val="single" w:color="auto" w:sz="4" w:space="0"/>
              <w:right w:val="single" w:color="auto" w:sz="4" w:space="0"/>
            </w:tcBorders>
            <w:noWrap w:val="0"/>
            <w:vAlign w:val="center"/>
          </w:tcPr>
          <w:p w14:paraId="66D1E4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编  列  内  容</w:t>
            </w:r>
          </w:p>
        </w:tc>
      </w:tr>
      <w:tr w14:paraId="5644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0727B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2173" w:type="dxa"/>
            <w:tcBorders>
              <w:top w:val="single" w:color="auto" w:sz="4" w:space="0"/>
              <w:left w:val="nil"/>
              <w:bottom w:val="single" w:color="auto" w:sz="4" w:space="0"/>
              <w:right w:val="single" w:color="auto" w:sz="4" w:space="0"/>
            </w:tcBorders>
            <w:noWrap w:val="0"/>
            <w:vAlign w:val="center"/>
          </w:tcPr>
          <w:p w14:paraId="67070448">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招标</w:t>
            </w:r>
            <w:r>
              <w:rPr>
                <w:rFonts w:hint="eastAsia" w:ascii="宋体" w:hAnsi="宋体" w:eastAsia="宋体" w:cs="宋体"/>
                <w:kern w:val="0"/>
                <w:sz w:val="24"/>
                <w:szCs w:val="24"/>
                <w:highlight w:val="none"/>
                <w:lang w:val="en-US" w:eastAsia="zh-CN"/>
              </w:rPr>
              <w:t>单位</w:t>
            </w:r>
          </w:p>
        </w:tc>
        <w:tc>
          <w:tcPr>
            <w:tcW w:w="5964" w:type="dxa"/>
            <w:tcBorders>
              <w:top w:val="single" w:color="auto" w:sz="4" w:space="0"/>
              <w:left w:val="nil"/>
              <w:bottom w:val="single" w:color="auto" w:sz="4" w:space="0"/>
              <w:right w:val="single" w:color="auto" w:sz="4" w:space="0"/>
            </w:tcBorders>
            <w:noWrap w:val="0"/>
            <w:vAlign w:val="center"/>
          </w:tcPr>
          <w:p w14:paraId="1DD5C2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招标人：灵宝市尹庄镇中心小学</w:t>
            </w:r>
          </w:p>
          <w:p w14:paraId="02F8E7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地址：灵宝市尹涧东区尹庄社区</w:t>
            </w:r>
          </w:p>
          <w:p w14:paraId="2000AC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联系人：僧先生</w:t>
            </w:r>
          </w:p>
          <w:p w14:paraId="7DF678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联系方式：13639839923</w:t>
            </w:r>
          </w:p>
        </w:tc>
      </w:tr>
      <w:tr w14:paraId="5620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28F2B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p>
        </w:tc>
        <w:tc>
          <w:tcPr>
            <w:tcW w:w="2173" w:type="dxa"/>
            <w:tcBorders>
              <w:top w:val="single" w:color="auto" w:sz="4" w:space="0"/>
              <w:left w:val="nil"/>
              <w:bottom w:val="single" w:color="auto" w:sz="4" w:space="0"/>
              <w:right w:val="single" w:color="auto" w:sz="4" w:space="0"/>
            </w:tcBorders>
            <w:noWrap w:val="0"/>
            <w:vAlign w:val="center"/>
          </w:tcPr>
          <w:p w14:paraId="13497B3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招标代理机构</w:t>
            </w:r>
          </w:p>
        </w:tc>
        <w:tc>
          <w:tcPr>
            <w:tcW w:w="5964" w:type="dxa"/>
            <w:tcBorders>
              <w:top w:val="single" w:color="auto" w:sz="4" w:space="0"/>
              <w:left w:val="nil"/>
              <w:bottom w:val="single" w:color="auto" w:sz="4" w:space="0"/>
              <w:right w:val="single" w:color="auto" w:sz="4" w:space="0"/>
            </w:tcBorders>
            <w:noWrap w:val="0"/>
            <w:vAlign w:val="center"/>
          </w:tcPr>
          <w:p w14:paraId="43DB6A20">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代理机构：河南洲禾建设工程有限公司</w:t>
            </w:r>
          </w:p>
          <w:p w14:paraId="417CF497">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联系人：马女士</w:t>
            </w:r>
          </w:p>
          <w:p w14:paraId="2C094895">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联系方式：15138163336 </w:t>
            </w:r>
          </w:p>
          <w:p w14:paraId="4462F8C2">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地址：三门峡市商务中心区迎宾大道湖滨大厦A座2513室</w:t>
            </w:r>
          </w:p>
        </w:tc>
      </w:tr>
      <w:tr w14:paraId="196A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D83B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p>
        </w:tc>
        <w:tc>
          <w:tcPr>
            <w:tcW w:w="2173" w:type="dxa"/>
            <w:tcBorders>
              <w:top w:val="single" w:color="auto" w:sz="4" w:space="0"/>
              <w:left w:val="nil"/>
              <w:bottom w:val="single" w:color="auto" w:sz="4" w:space="0"/>
              <w:right w:val="single" w:color="auto" w:sz="4" w:space="0"/>
            </w:tcBorders>
            <w:noWrap w:val="0"/>
            <w:vAlign w:val="center"/>
          </w:tcPr>
          <w:p w14:paraId="044639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5964" w:type="dxa"/>
            <w:tcBorders>
              <w:top w:val="single" w:color="auto" w:sz="4" w:space="0"/>
              <w:left w:val="nil"/>
              <w:bottom w:val="single" w:color="auto" w:sz="4" w:space="0"/>
              <w:right w:val="single" w:color="auto" w:sz="4" w:space="0"/>
            </w:tcBorders>
            <w:noWrap w:val="0"/>
            <w:vAlign w:val="center"/>
          </w:tcPr>
          <w:p w14:paraId="5649C4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灵宝市尹庄镇中心小学改扩建南教学楼项目</w:t>
            </w:r>
          </w:p>
        </w:tc>
      </w:tr>
      <w:tr w14:paraId="2DC18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070C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173" w:type="dxa"/>
            <w:tcBorders>
              <w:top w:val="single" w:color="auto" w:sz="4" w:space="0"/>
              <w:left w:val="nil"/>
              <w:bottom w:val="single" w:color="auto" w:sz="4" w:space="0"/>
              <w:right w:val="single" w:color="auto" w:sz="4" w:space="0"/>
            </w:tcBorders>
            <w:noWrap w:val="0"/>
            <w:vAlign w:val="center"/>
          </w:tcPr>
          <w:p w14:paraId="1B16E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t>项目地点</w:t>
            </w:r>
          </w:p>
        </w:tc>
        <w:tc>
          <w:tcPr>
            <w:tcW w:w="5964" w:type="dxa"/>
            <w:tcBorders>
              <w:top w:val="single" w:color="auto" w:sz="4" w:space="0"/>
              <w:left w:val="nil"/>
              <w:bottom w:val="single" w:color="auto" w:sz="4" w:space="0"/>
              <w:right w:val="single" w:color="auto" w:sz="4" w:space="0"/>
            </w:tcBorders>
            <w:noWrap w:val="0"/>
            <w:vAlign w:val="center"/>
          </w:tcPr>
          <w:p w14:paraId="4109D1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val="en-US" w:eastAsia="zh-CN" w:bidi="ar"/>
              </w:rPr>
              <w:t>灵宝市</w:t>
            </w:r>
          </w:p>
        </w:tc>
      </w:tr>
      <w:tr w14:paraId="01DE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right w:val="single" w:color="auto" w:sz="4" w:space="0"/>
            </w:tcBorders>
            <w:noWrap w:val="0"/>
            <w:vAlign w:val="center"/>
          </w:tcPr>
          <w:p w14:paraId="589C0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173" w:type="dxa"/>
            <w:tcBorders>
              <w:top w:val="single" w:color="auto" w:sz="4" w:space="0"/>
              <w:left w:val="nil"/>
              <w:bottom w:val="single" w:color="auto" w:sz="4" w:space="0"/>
              <w:right w:val="single" w:color="auto" w:sz="4" w:space="0"/>
            </w:tcBorders>
            <w:noWrap w:val="0"/>
            <w:vAlign w:val="center"/>
          </w:tcPr>
          <w:p w14:paraId="6E0810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资金来源</w:t>
            </w:r>
          </w:p>
        </w:tc>
        <w:tc>
          <w:tcPr>
            <w:tcW w:w="5964" w:type="dxa"/>
            <w:tcBorders>
              <w:top w:val="single" w:color="auto" w:sz="4" w:space="0"/>
              <w:left w:val="nil"/>
              <w:bottom w:val="single" w:color="auto" w:sz="4" w:space="0"/>
              <w:right w:val="single" w:color="auto" w:sz="4" w:space="0"/>
            </w:tcBorders>
            <w:noWrap w:val="0"/>
            <w:vAlign w:val="center"/>
          </w:tcPr>
          <w:p w14:paraId="4C6DEE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rPr>
              <w:t>财政资金</w:t>
            </w:r>
          </w:p>
        </w:tc>
      </w:tr>
      <w:tr w14:paraId="7903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B750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173" w:type="dxa"/>
            <w:tcBorders>
              <w:top w:val="single" w:color="auto" w:sz="4" w:space="0"/>
              <w:left w:val="nil"/>
              <w:bottom w:val="single" w:color="auto" w:sz="4" w:space="0"/>
              <w:right w:val="single" w:color="auto" w:sz="4" w:space="0"/>
            </w:tcBorders>
            <w:noWrap w:val="0"/>
            <w:vAlign w:val="center"/>
          </w:tcPr>
          <w:p w14:paraId="666B1C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项目概况</w:t>
            </w:r>
          </w:p>
        </w:tc>
        <w:tc>
          <w:tcPr>
            <w:tcW w:w="5964" w:type="dxa"/>
            <w:tcBorders>
              <w:top w:val="single" w:color="auto" w:sz="4" w:space="0"/>
              <w:left w:val="nil"/>
              <w:bottom w:val="single" w:color="auto" w:sz="4" w:space="0"/>
              <w:right w:val="single" w:color="auto" w:sz="4" w:space="0"/>
            </w:tcBorders>
            <w:noWrap w:val="0"/>
            <w:vAlign w:val="center"/>
          </w:tcPr>
          <w:p w14:paraId="36FAC37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灵宝市尹庄镇中心小学改扩建南教学楼项目，主要建设内容为：建筑、装饰、给排水、电气等。具体详见</w:t>
            </w:r>
            <w:r>
              <w:rPr>
                <w:rFonts w:hint="eastAsia" w:ascii="宋体" w:hAnsi="宋体" w:eastAsia="宋体" w:cs="宋体"/>
                <w:sz w:val="24"/>
                <w:szCs w:val="24"/>
                <w:highlight w:val="none"/>
              </w:rPr>
              <w:t>施工图纸和工程量清单</w:t>
            </w:r>
            <w:r>
              <w:rPr>
                <w:rFonts w:hint="eastAsia" w:ascii="宋体" w:hAnsi="宋体" w:eastAsia="宋体" w:cs="宋体"/>
                <w:sz w:val="24"/>
                <w:szCs w:val="24"/>
                <w:highlight w:val="none"/>
                <w:lang w:val="en-US" w:eastAsia="zh-CN"/>
              </w:rPr>
              <w:t>。</w:t>
            </w:r>
          </w:p>
        </w:tc>
      </w:tr>
      <w:tr w14:paraId="72B54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F2BD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7</w:t>
            </w:r>
          </w:p>
        </w:tc>
        <w:tc>
          <w:tcPr>
            <w:tcW w:w="2173" w:type="dxa"/>
            <w:tcBorders>
              <w:top w:val="single" w:color="auto" w:sz="4" w:space="0"/>
              <w:left w:val="nil"/>
              <w:bottom w:val="single" w:color="auto" w:sz="4" w:space="0"/>
              <w:right w:val="single" w:color="auto" w:sz="4" w:space="0"/>
            </w:tcBorders>
            <w:noWrap w:val="0"/>
            <w:vAlign w:val="center"/>
          </w:tcPr>
          <w:p w14:paraId="6DE4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磋商范围</w:t>
            </w:r>
          </w:p>
        </w:tc>
        <w:tc>
          <w:tcPr>
            <w:tcW w:w="5964" w:type="dxa"/>
            <w:tcBorders>
              <w:top w:val="single" w:color="auto" w:sz="4" w:space="0"/>
              <w:left w:val="nil"/>
              <w:bottom w:val="single" w:color="auto" w:sz="4" w:space="0"/>
              <w:right w:val="single" w:color="auto" w:sz="4" w:space="0"/>
            </w:tcBorders>
            <w:noWrap w:val="0"/>
            <w:vAlign w:val="center"/>
          </w:tcPr>
          <w:p w14:paraId="6EA2E6A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rPr>
              <w:t>施工图纸和工程量清单所包含的全部内容</w:t>
            </w:r>
          </w:p>
        </w:tc>
      </w:tr>
      <w:tr w14:paraId="6F05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178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c>
          <w:tcPr>
            <w:tcW w:w="2173" w:type="dxa"/>
            <w:tcBorders>
              <w:top w:val="single" w:color="auto" w:sz="4" w:space="0"/>
              <w:left w:val="nil"/>
              <w:bottom w:val="single" w:color="auto" w:sz="4" w:space="0"/>
              <w:right w:val="single" w:color="auto" w:sz="4" w:space="0"/>
            </w:tcBorders>
            <w:noWrap w:val="0"/>
            <w:vAlign w:val="center"/>
          </w:tcPr>
          <w:p w14:paraId="4CED39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计划工期</w:t>
            </w:r>
          </w:p>
        </w:tc>
        <w:tc>
          <w:tcPr>
            <w:tcW w:w="5964" w:type="dxa"/>
            <w:tcBorders>
              <w:top w:val="single" w:color="auto" w:sz="4" w:space="0"/>
              <w:left w:val="nil"/>
              <w:bottom w:val="single" w:color="auto" w:sz="4" w:space="0"/>
              <w:right w:val="single" w:color="auto" w:sz="4" w:space="0"/>
            </w:tcBorders>
            <w:noWrap w:val="0"/>
            <w:vAlign w:val="center"/>
          </w:tcPr>
          <w:p w14:paraId="311147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lang w:val="en-US"/>
              </w:rPr>
            </w:pPr>
            <w:r>
              <w:rPr>
                <w:rFonts w:hint="eastAsia" w:ascii="宋体" w:hAnsi="宋体" w:eastAsia="宋体" w:cs="宋体"/>
                <w:bCs/>
                <w:kern w:val="0"/>
                <w:sz w:val="24"/>
                <w:szCs w:val="24"/>
                <w:highlight w:val="none"/>
                <w:lang w:val="en-US" w:eastAsia="zh-CN"/>
              </w:rPr>
              <w:t>120日历天</w:t>
            </w:r>
          </w:p>
        </w:tc>
      </w:tr>
      <w:tr w14:paraId="46CB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7C0DC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p>
        </w:tc>
        <w:tc>
          <w:tcPr>
            <w:tcW w:w="2173" w:type="dxa"/>
            <w:tcBorders>
              <w:top w:val="single" w:color="auto" w:sz="4" w:space="0"/>
              <w:left w:val="nil"/>
              <w:bottom w:val="single" w:color="auto" w:sz="4" w:space="0"/>
              <w:right w:val="single" w:color="auto" w:sz="4" w:space="0"/>
            </w:tcBorders>
            <w:noWrap w:val="0"/>
            <w:vAlign w:val="center"/>
          </w:tcPr>
          <w:p w14:paraId="0B171B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质量要求</w:t>
            </w:r>
          </w:p>
        </w:tc>
        <w:tc>
          <w:tcPr>
            <w:tcW w:w="5964" w:type="dxa"/>
            <w:tcBorders>
              <w:top w:val="single" w:color="auto" w:sz="4" w:space="0"/>
              <w:left w:val="nil"/>
              <w:bottom w:val="single" w:color="auto" w:sz="4" w:space="0"/>
              <w:right w:val="single" w:color="auto" w:sz="4" w:space="0"/>
            </w:tcBorders>
            <w:noWrap w:val="0"/>
            <w:vAlign w:val="center"/>
          </w:tcPr>
          <w:p w14:paraId="45F21A9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baseline"/>
              <w:rPr>
                <w:rFonts w:hint="eastAsia" w:ascii="宋体" w:hAnsi="宋体" w:eastAsia="宋体" w:cs="宋体"/>
                <w:bCs/>
                <w:kern w:val="0"/>
                <w:sz w:val="24"/>
                <w:szCs w:val="24"/>
                <w:highlight w:val="none"/>
              </w:rPr>
            </w:pPr>
            <w:r>
              <w:rPr>
                <w:rFonts w:hint="eastAsia" w:ascii="宋体" w:hAnsi="宋体" w:eastAsia="宋体" w:cs="宋体"/>
                <w:bCs/>
                <w:kern w:val="0"/>
                <w:sz w:val="24"/>
                <w:szCs w:val="24"/>
                <w:highlight w:val="none"/>
                <w:lang w:val="en-US" w:eastAsia="zh-CN"/>
              </w:rPr>
              <w:t>达到国家现行建设工程施工验收规范合格标准</w:t>
            </w:r>
          </w:p>
        </w:tc>
      </w:tr>
      <w:tr w14:paraId="189D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8B1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10</w:t>
            </w:r>
          </w:p>
        </w:tc>
        <w:tc>
          <w:tcPr>
            <w:tcW w:w="2173" w:type="dxa"/>
            <w:tcBorders>
              <w:top w:val="single" w:color="auto" w:sz="4" w:space="0"/>
              <w:left w:val="nil"/>
              <w:bottom w:val="single" w:color="auto" w:sz="4" w:space="0"/>
              <w:right w:val="single" w:color="auto" w:sz="4" w:space="0"/>
            </w:tcBorders>
            <w:noWrap w:val="0"/>
            <w:vAlign w:val="center"/>
          </w:tcPr>
          <w:p w14:paraId="4AE8AA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投标人资格要求</w:t>
            </w:r>
          </w:p>
        </w:tc>
        <w:tc>
          <w:tcPr>
            <w:tcW w:w="5964" w:type="dxa"/>
            <w:tcBorders>
              <w:top w:val="single" w:color="auto" w:sz="4" w:space="0"/>
              <w:left w:val="nil"/>
              <w:bottom w:val="single" w:color="auto" w:sz="4" w:space="0"/>
              <w:right w:val="single" w:color="auto" w:sz="4" w:space="0"/>
            </w:tcBorders>
            <w:noWrap w:val="0"/>
            <w:vAlign w:val="center"/>
          </w:tcPr>
          <w:p w14:paraId="0F1D63E8">
            <w:pPr>
              <w:pStyle w:val="40"/>
              <w:pageBreakBefore w:val="0"/>
              <w:shd w:val="clear" w:color="auto" w:fill="FFFFFF"/>
              <w:kinsoku/>
              <w:overflowPunct/>
              <w:topLinePunct w:val="0"/>
              <w:bidi w:val="0"/>
              <w:adjustRightInd w:val="0"/>
              <w:snapToGrid w:val="0"/>
              <w:spacing w:before="0" w:beforeAutospacing="0" w:after="0" w:afterAutospacing="0" w:line="360" w:lineRule="auto"/>
              <w:ind w:left="0" w:leftChars="0" w:right="0" w:rightChars="0" w:firstLine="0" w:firstLine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详见竞争性磋商公告</w:t>
            </w:r>
          </w:p>
        </w:tc>
      </w:tr>
      <w:tr w14:paraId="5B17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3E27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2173" w:type="dxa"/>
            <w:tcBorders>
              <w:top w:val="single" w:color="auto" w:sz="4" w:space="0"/>
              <w:left w:val="nil"/>
              <w:bottom w:val="single" w:color="auto" w:sz="4" w:space="0"/>
              <w:right w:val="single" w:color="auto" w:sz="4" w:space="0"/>
            </w:tcBorders>
            <w:noWrap w:val="0"/>
            <w:vAlign w:val="center"/>
          </w:tcPr>
          <w:p w14:paraId="5CD992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是否接受联合体</w:t>
            </w:r>
          </w:p>
        </w:tc>
        <w:tc>
          <w:tcPr>
            <w:tcW w:w="5964" w:type="dxa"/>
            <w:tcBorders>
              <w:top w:val="single" w:color="auto" w:sz="4" w:space="0"/>
              <w:left w:val="nil"/>
              <w:bottom w:val="single" w:color="auto" w:sz="4" w:space="0"/>
              <w:right w:val="single" w:color="auto" w:sz="4" w:space="0"/>
            </w:tcBorders>
            <w:noWrap w:val="0"/>
            <w:vAlign w:val="center"/>
          </w:tcPr>
          <w:p w14:paraId="56F098D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■不接受</w:t>
            </w:r>
          </w:p>
        </w:tc>
      </w:tr>
      <w:tr w14:paraId="431B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9849F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w:t>
            </w:r>
          </w:p>
        </w:tc>
        <w:tc>
          <w:tcPr>
            <w:tcW w:w="2173" w:type="dxa"/>
            <w:tcBorders>
              <w:top w:val="single" w:color="auto" w:sz="4" w:space="0"/>
              <w:left w:val="nil"/>
              <w:bottom w:val="single" w:color="auto" w:sz="4" w:space="0"/>
              <w:right w:val="single" w:color="auto" w:sz="4" w:space="0"/>
            </w:tcBorders>
            <w:noWrap w:val="0"/>
            <w:vAlign w:val="center"/>
          </w:tcPr>
          <w:p w14:paraId="26D57C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5964" w:type="dxa"/>
            <w:tcBorders>
              <w:top w:val="single" w:color="auto" w:sz="4" w:space="0"/>
              <w:left w:val="nil"/>
              <w:bottom w:val="single" w:color="auto" w:sz="4" w:space="0"/>
              <w:right w:val="single" w:color="auto" w:sz="4" w:space="0"/>
            </w:tcBorders>
            <w:noWrap w:val="0"/>
            <w:vAlign w:val="center"/>
          </w:tcPr>
          <w:p w14:paraId="6CE5D2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■不组织</w:t>
            </w:r>
          </w:p>
        </w:tc>
      </w:tr>
      <w:tr w14:paraId="66E8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C5CE8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w:t>
            </w:r>
          </w:p>
        </w:tc>
        <w:tc>
          <w:tcPr>
            <w:tcW w:w="2173" w:type="dxa"/>
            <w:tcBorders>
              <w:top w:val="single" w:color="auto" w:sz="4" w:space="0"/>
              <w:left w:val="nil"/>
              <w:bottom w:val="single" w:color="auto" w:sz="4" w:space="0"/>
              <w:right w:val="single" w:color="auto" w:sz="4" w:space="0"/>
            </w:tcBorders>
            <w:noWrap w:val="0"/>
            <w:vAlign w:val="center"/>
          </w:tcPr>
          <w:p w14:paraId="72EF1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磋商预备会</w:t>
            </w:r>
          </w:p>
        </w:tc>
        <w:tc>
          <w:tcPr>
            <w:tcW w:w="5964" w:type="dxa"/>
            <w:tcBorders>
              <w:top w:val="single" w:color="auto" w:sz="4" w:space="0"/>
              <w:left w:val="nil"/>
              <w:bottom w:val="single" w:color="auto" w:sz="4" w:space="0"/>
              <w:right w:val="single" w:color="auto" w:sz="4" w:space="0"/>
            </w:tcBorders>
            <w:noWrap w:val="0"/>
            <w:vAlign w:val="center"/>
          </w:tcPr>
          <w:p w14:paraId="1033E8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tc>
      </w:tr>
      <w:tr w14:paraId="4B99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28FD1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14</w:t>
            </w:r>
          </w:p>
        </w:tc>
        <w:tc>
          <w:tcPr>
            <w:tcW w:w="2173" w:type="dxa"/>
            <w:tcBorders>
              <w:top w:val="single" w:color="auto" w:sz="4" w:space="0"/>
              <w:left w:val="nil"/>
              <w:bottom w:val="single" w:color="auto" w:sz="4" w:space="0"/>
              <w:right w:val="single" w:color="auto" w:sz="4" w:space="0"/>
            </w:tcBorders>
            <w:noWrap w:val="0"/>
            <w:vAlign w:val="center"/>
          </w:tcPr>
          <w:p w14:paraId="53FBBD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分  包</w:t>
            </w:r>
          </w:p>
        </w:tc>
        <w:tc>
          <w:tcPr>
            <w:tcW w:w="5964" w:type="dxa"/>
            <w:tcBorders>
              <w:top w:val="single" w:color="auto" w:sz="4" w:space="0"/>
              <w:left w:val="nil"/>
              <w:bottom w:val="single" w:color="auto" w:sz="4" w:space="0"/>
              <w:right w:val="single" w:color="auto" w:sz="4" w:space="0"/>
            </w:tcBorders>
            <w:noWrap w:val="0"/>
            <w:vAlign w:val="center"/>
          </w:tcPr>
          <w:p w14:paraId="2E827C5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2849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CB764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w:t>
            </w:r>
          </w:p>
        </w:tc>
        <w:tc>
          <w:tcPr>
            <w:tcW w:w="2173" w:type="dxa"/>
            <w:tcBorders>
              <w:top w:val="single" w:color="auto" w:sz="4" w:space="0"/>
              <w:left w:val="nil"/>
              <w:bottom w:val="single" w:color="auto" w:sz="4" w:space="0"/>
              <w:right w:val="single" w:color="auto" w:sz="4" w:space="0"/>
            </w:tcBorders>
            <w:noWrap w:val="0"/>
            <w:vAlign w:val="center"/>
          </w:tcPr>
          <w:p w14:paraId="7FFD7C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偏  离</w:t>
            </w:r>
          </w:p>
        </w:tc>
        <w:tc>
          <w:tcPr>
            <w:tcW w:w="5964" w:type="dxa"/>
            <w:tcBorders>
              <w:top w:val="single" w:color="auto" w:sz="4" w:space="0"/>
              <w:left w:val="nil"/>
              <w:bottom w:val="single" w:color="auto" w:sz="4" w:space="0"/>
              <w:right w:val="single" w:color="auto" w:sz="4" w:space="0"/>
            </w:tcBorders>
            <w:noWrap w:val="0"/>
            <w:vAlign w:val="center"/>
          </w:tcPr>
          <w:p w14:paraId="1F3F8B6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7F6FD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46A9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16</w:t>
            </w:r>
          </w:p>
        </w:tc>
        <w:tc>
          <w:tcPr>
            <w:tcW w:w="2173" w:type="dxa"/>
            <w:tcBorders>
              <w:top w:val="single" w:color="auto" w:sz="4" w:space="0"/>
              <w:left w:val="nil"/>
              <w:bottom w:val="single" w:color="auto" w:sz="4" w:space="0"/>
              <w:right w:val="single" w:color="auto" w:sz="4" w:space="0"/>
            </w:tcBorders>
            <w:noWrap w:val="0"/>
            <w:vAlign w:val="center"/>
          </w:tcPr>
          <w:p w14:paraId="35DC0D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构成磋商文件的其他材料</w:t>
            </w:r>
          </w:p>
        </w:tc>
        <w:tc>
          <w:tcPr>
            <w:tcW w:w="5964" w:type="dxa"/>
            <w:tcBorders>
              <w:top w:val="single" w:color="auto" w:sz="4" w:space="0"/>
              <w:left w:val="nil"/>
              <w:bottom w:val="single" w:color="auto" w:sz="4" w:space="0"/>
              <w:right w:val="single" w:color="auto" w:sz="4" w:space="0"/>
            </w:tcBorders>
            <w:noWrap w:val="0"/>
            <w:vAlign w:val="center"/>
          </w:tcPr>
          <w:p w14:paraId="703FDF8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对竞争性磋商文件所作的澄清（含答疑）、修改，补充构成竞争性磋商文件的组成部分。</w:t>
            </w:r>
          </w:p>
        </w:tc>
      </w:tr>
      <w:tr w14:paraId="71B2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A63B9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17</w:t>
            </w:r>
          </w:p>
        </w:tc>
        <w:tc>
          <w:tcPr>
            <w:tcW w:w="2173" w:type="dxa"/>
            <w:tcBorders>
              <w:top w:val="single" w:color="auto" w:sz="4" w:space="0"/>
              <w:left w:val="nil"/>
              <w:bottom w:val="single" w:color="auto" w:sz="4" w:space="0"/>
              <w:right w:val="single" w:color="auto" w:sz="4" w:space="0"/>
            </w:tcBorders>
            <w:noWrap w:val="0"/>
            <w:vAlign w:val="center"/>
          </w:tcPr>
          <w:p w14:paraId="288736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要求澄清竞争性磋商文件的截止时间</w:t>
            </w:r>
          </w:p>
        </w:tc>
        <w:tc>
          <w:tcPr>
            <w:tcW w:w="5964" w:type="dxa"/>
            <w:tcBorders>
              <w:top w:val="single" w:color="auto" w:sz="4" w:space="0"/>
              <w:left w:val="nil"/>
              <w:bottom w:val="single" w:color="auto" w:sz="4" w:space="0"/>
              <w:right w:val="single" w:color="auto" w:sz="4" w:space="0"/>
            </w:tcBorders>
            <w:noWrap w:val="0"/>
            <w:vAlign w:val="center"/>
          </w:tcPr>
          <w:p w14:paraId="38C0F59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递交截止时间5日前，在三门峡市公共资源电子招标投标交易平台提出</w:t>
            </w:r>
          </w:p>
        </w:tc>
      </w:tr>
      <w:tr w14:paraId="1E78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016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18</w:t>
            </w:r>
          </w:p>
        </w:tc>
        <w:tc>
          <w:tcPr>
            <w:tcW w:w="2173" w:type="dxa"/>
            <w:tcBorders>
              <w:top w:val="single" w:color="auto" w:sz="4" w:space="0"/>
              <w:left w:val="nil"/>
              <w:bottom w:val="single" w:color="auto" w:sz="4" w:space="0"/>
              <w:right w:val="single" w:color="auto" w:sz="4" w:space="0"/>
            </w:tcBorders>
            <w:noWrap w:val="0"/>
            <w:vAlign w:val="center"/>
          </w:tcPr>
          <w:p w14:paraId="731D78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招标人书面</w:t>
            </w:r>
            <w:r>
              <w:rPr>
                <w:rFonts w:hint="eastAsia" w:ascii="宋体" w:hAnsi="宋体" w:eastAsia="宋体" w:cs="宋体"/>
                <w:sz w:val="24"/>
                <w:szCs w:val="24"/>
                <w:highlight w:val="none"/>
              </w:rPr>
              <w:t>澄清的截止时间</w:t>
            </w:r>
          </w:p>
        </w:tc>
        <w:tc>
          <w:tcPr>
            <w:tcW w:w="5964" w:type="dxa"/>
            <w:tcBorders>
              <w:top w:val="single" w:color="auto" w:sz="4" w:space="0"/>
              <w:left w:val="nil"/>
              <w:bottom w:val="single" w:color="auto" w:sz="4" w:space="0"/>
              <w:right w:val="single" w:color="auto" w:sz="4" w:space="0"/>
            </w:tcBorders>
            <w:noWrap w:val="0"/>
            <w:vAlign w:val="center"/>
          </w:tcPr>
          <w:p w14:paraId="0539C16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递交截止时间5日前</w:t>
            </w:r>
          </w:p>
        </w:tc>
      </w:tr>
      <w:tr w14:paraId="3B45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2AF0F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19</w:t>
            </w:r>
          </w:p>
        </w:tc>
        <w:tc>
          <w:tcPr>
            <w:tcW w:w="2173" w:type="dxa"/>
            <w:tcBorders>
              <w:top w:val="single" w:color="auto" w:sz="4" w:space="0"/>
              <w:left w:val="nil"/>
              <w:bottom w:val="single" w:color="auto" w:sz="4" w:space="0"/>
              <w:right w:val="single" w:color="auto" w:sz="4" w:space="0"/>
            </w:tcBorders>
            <w:noWrap w:val="0"/>
            <w:vAlign w:val="center"/>
          </w:tcPr>
          <w:p w14:paraId="75A4BF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人确认收到竞争性磋商文件澄清的时间</w:t>
            </w:r>
          </w:p>
        </w:tc>
        <w:tc>
          <w:tcPr>
            <w:tcW w:w="5964" w:type="dxa"/>
            <w:tcBorders>
              <w:top w:val="single" w:color="auto" w:sz="4" w:space="0"/>
              <w:left w:val="nil"/>
              <w:bottom w:val="single" w:color="auto" w:sz="4" w:space="0"/>
              <w:right w:val="single" w:color="auto" w:sz="4" w:space="0"/>
            </w:tcBorders>
            <w:noWrap w:val="0"/>
            <w:vAlign w:val="center"/>
          </w:tcPr>
          <w:p w14:paraId="2EC47B0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在收到相应澄清文件后</w:t>
            </w:r>
            <w:r>
              <w:rPr>
                <w:rFonts w:hint="eastAsia" w:ascii="宋体" w:hAnsi="宋体" w:eastAsia="宋体" w:cs="宋体"/>
                <w:sz w:val="24"/>
                <w:szCs w:val="24"/>
                <w:highlight w:val="none"/>
                <w:u w:val="single"/>
              </w:rPr>
              <w:t xml:space="preserve"> 24 </w:t>
            </w:r>
            <w:r>
              <w:rPr>
                <w:rFonts w:hint="eastAsia" w:ascii="宋体" w:hAnsi="宋体" w:eastAsia="宋体" w:cs="宋体"/>
                <w:sz w:val="24"/>
                <w:szCs w:val="24"/>
                <w:highlight w:val="none"/>
              </w:rPr>
              <w:t>小时内</w:t>
            </w:r>
          </w:p>
        </w:tc>
      </w:tr>
      <w:tr w14:paraId="069F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21E4E5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2173" w:type="dxa"/>
            <w:tcBorders>
              <w:top w:val="single" w:color="auto" w:sz="4" w:space="0"/>
              <w:left w:val="nil"/>
              <w:bottom w:val="single" w:color="auto" w:sz="4" w:space="0"/>
              <w:right w:val="single" w:color="auto" w:sz="4" w:space="0"/>
            </w:tcBorders>
            <w:noWrap w:val="0"/>
            <w:vAlign w:val="center"/>
          </w:tcPr>
          <w:p w14:paraId="47127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确认收到竞争性磋商文件修改的时间</w:t>
            </w:r>
          </w:p>
        </w:tc>
        <w:tc>
          <w:tcPr>
            <w:tcW w:w="5964" w:type="dxa"/>
            <w:tcBorders>
              <w:top w:val="single" w:color="auto" w:sz="4" w:space="0"/>
              <w:left w:val="nil"/>
              <w:bottom w:val="single" w:color="auto" w:sz="4" w:space="0"/>
              <w:right w:val="single" w:color="auto" w:sz="4" w:space="0"/>
            </w:tcBorders>
            <w:noWrap w:val="0"/>
            <w:vAlign w:val="center"/>
          </w:tcPr>
          <w:p w14:paraId="52824A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在收到相应修改文件后</w:t>
            </w:r>
            <w:r>
              <w:rPr>
                <w:rFonts w:hint="eastAsia" w:ascii="宋体" w:hAnsi="宋体" w:eastAsia="宋体" w:cs="宋体"/>
                <w:sz w:val="24"/>
                <w:szCs w:val="24"/>
                <w:highlight w:val="none"/>
                <w:u w:val="single"/>
              </w:rPr>
              <w:t xml:space="preserve"> 24</w:t>
            </w:r>
            <w:r>
              <w:rPr>
                <w:rFonts w:hint="eastAsia" w:ascii="宋体" w:hAnsi="宋体" w:eastAsia="宋体" w:cs="宋体"/>
                <w:sz w:val="24"/>
                <w:szCs w:val="24"/>
                <w:highlight w:val="none"/>
              </w:rPr>
              <w:t>小时内</w:t>
            </w:r>
          </w:p>
        </w:tc>
      </w:tr>
      <w:tr w14:paraId="33F9F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E2418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2173" w:type="dxa"/>
            <w:tcBorders>
              <w:top w:val="single" w:color="auto" w:sz="4" w:space="0"/>
              <w:left w:val="nil"/>
              <w:bottom w:val="single" w:color="auto" w:sz="4" w:space="0"/>
              <w:right w:val="single" w:color="auto" w:sz="4" w:space="0"/>
            </w:tcBorders>
            <w:shd w:val="clear" w:color="auto" w:fill="auto"/>
            <w:noWrap w:val="0"/>
            <w:vAlign w:val="center"/>
          </w:tcPr>
          <w:p w14:paraId="57D603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磋商保证金</w:t>
            </w:r>
          </w:p>
        </w:tc>
        <w:tc>
          <w:tcPr>
            <w:tcW w:w="5964" w:type="dxa"/>
            <w:tcBorders>
              <w:top w:val="single" w:color="auto" w:sz="4" w:space="0"/>
              <w:left w:val="nil"/>
              <w:bottom w:val="single" w:color="auto" w:sz="4" w:space="0"/>
              <w:right w:val="single" w:color="auto" w:sz="4" w:space="0"/>
            </w:tcBorders>
            <w:shd w:val="clear" w:color="auto" w:fill="auto"/>
            <w:noWrap w:val="0"/>
            <w:vAlign w:val="center"/>
          </w:tcPr>
          <w:p w14:paraId="3C06663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根据《河南省财政厅关于优化政府采购营商环境有关问题的通知》（豫财购【2019】4号）的规定，磋商保证金不再收取。</w:t>
            </w:r>
          </w:p>
        </w:tc>
      </w:tr>
      <w:tr w14:paraId="3600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185FC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w:t>
            </w:r>
          </w:p>
        </w:tc>
        <w:tc>
          <w:tcPr>
            <w:tcW w:w="2173" w:type="dxa"/>
            <w:tcBorders>
              <w:top w:val="single" w:color="auto" w:sz="4" w:space="0"/>
              <w:left w:val="nil"/>
              <w:bottom w:val="single" w:color="auto" w:sz="4" w:space="0"/>
              <w:right w:val="single" w:color="auto" w:sz="4" w:space="0"/>
            </w:tcBorders>
            <w:noWrap w:val="0"/>
            <w:vAlign w:val="center"/>
          </w:tcPr>
          <w:p w14:paraId="5E0F4D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w:t>
            </w:r>
          </w:p>
          <w:p w14:paraId="062E5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交截止时间</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磋商时间</w:t>
            </w:r>
            <w:r>
              <w:rPr>
                <w:rFonts w:hint="eastAsia" w:ascii="宋体" w:hAnsi="宋体" w:eastAsia="宋体" w:cs="宋体"/>
                <w:sz w:val="24"/>
                <w:szCs w:val="24"/>
                <w:highlight w:val="none"/>
                <w:lang w:eastAsia="zh-CN"/>
              </w:rPr>
              <w:t>）</w:t>
            </w:r>
          </w:p>
        </w:tc>
        <w:tc>
          <w:tcPr>
            <w:tcW w:w="5964" w:type="dxa"/>
            <w:tcBorders>
              <w:top w:val="single" w:color="auto" w:sz="4" w:space="0"/>
              <w:left w:val="nil"/>
              <w:bottom w:val="single" w:color="auto" w:sz="4" w:space="0"/>
              <w:right w:val="single" w:color="auto" w:sz="4" w:space="0"/>
            </w:tcBorders>
            <w:noWrap w:val="0"/>
            <w:vAlign w:val="center"/>
          </w:tcPr>
          <w:p w14:paraId="2FFC0B1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5642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8EC21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w:t>
            </w:r>
          </w:p>
        </w:tc>
        <w:tc>
          <w:tcPr>
            <w:tcW w:w="2173" w:type="dxa"/>
            <w:tcBorders>
              <w:top w:val="single" w:color="auto" w:sz="4" w:space="0"/>
              <w:left w:val="nil"/>
              <w:bottom w:val="single" w:color="auto" w:sz="4" w:space="0"/>
              <w:right w:val="single" w:color="auto" w:sz="4" w:space="0"/>
            </w:tcBorders>
            <w:noWrap w:val="0"/>
            <w:vAlign w:val="center"/>
          </w:tcPr>
          <w:p w14:paraId="609D2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磋商地点</w:t>
            </w:r>
          </w:p>
        </w:tc>
        <w:tc>
          <w:tcPr>
            <w:tcW w:w="5964" w:type="dxa"/>
            <w:tcBorders>
              <w:top w:val="single" w:color="auto" w:sz="4" w:space="0"/>
              <w:left w:val="nil"/>
              <w:bottom w:val="single" w:color="auto" w:sz="4" w:space="0"/>
              <w:right w:val="single" w:color="auto" w:sz="4" w:space="0"/>
            </w:tcBorders>
            <w:noWrap w:val="0"/>
            <w:vAlign w:val="center"/>
          </w:tcPr>
          <w:p w14:paraId="1B2F440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0"/>
                <w:sz w:val="24"/>
                <w:szCs w:val="24"/>
                <w:highlight w:val="none"/>
                <w:lang w:val="en-US" w:eastAsia="zh-CN"/>
              </w:rPr>
              <w:t>见第一章“竞争性磋商公告”</w:t>
            </w:r>
          </w:p>
        </w:tc>
      </w:tr>
      <w:tr w14:paraId="02CD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C1E63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w:t>
            </w:r>
          </w:p>
        </w:tc>
        <w:tc>
          <w:tcPr>
            <w:tcW w:w="2173" w:type="dxa"/>
            <w:tcBorders>
              <w:top w:val="single" w:color="auto" w:sz="4" w:space="0"/>
              <w:left w:val="nil"/>
              <w:bottom w:val="single" w:color="auto" w:sz="4" w:space="0"/>
              <w:right w:val="single" w:color="auto" w:sz="4" w:space="0"/>
            </w:tcBorders>
            <w:noWrap w:val="0"/>
            <w:vAlign w:val="center"/>
          </w:tcPr>
          <w:p w14:paraId="7ADC75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磋商有效期</w:t>
            </w:r>
          </w:p>
        </w:tc>
        <w:tc>
          <w:tcPr>
            <w:tcW w:w="5964" w:type="dxa"/>
            <w:tcBorders>
              <w:top w:val="single" w:color="auto" w:sz="4" w:space="0"/>
              <w:left w:val="nil"/>
              <w:bottom w:val="single" w:color="auto" w:sz="4" w:space="0"/>
              <w:right w:val="single" w:color="auto" w:sz="4" w:space="0"/>
            </w:tcBorders>
            <w:noWrap w:val="0"/>
            <w:vAlign w:val="center"/>
          </w:tcPr>
          <w:p w14:paraId="6D9A132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66FBA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9120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w:t>
            </w:r>
          </w:p>
        </w:tc>
        <w:tc>
          <w:tcPr>
            <w:tcW w:w="2173" w:type="dxa"/>
            <w:tcBorders>
              <w:top w:val="single" w:color="auto" w:sz="4" w:space="0"/>
              <w:left w:val="nil"/>
              <w:bottom w:val="single" w:color="auto" w:sz="4" w:space="0"/>
              <w:right w:val="single" w:color="auto" w:sz="4" w:space="0"/>
            </w:tcBorders>
            <w:noWrap w:val="0"/>
            <w:vAlign w:val="center"/>
          </w:tcPr>
          <w:p w14:paraId="64F1E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招标控制价</w:t>
            </w:r>
          </w:p>
        </w:tc>
        <w:tc>
          <w:tcPr>
            <w:tcW w:w="5964" w:type="dxa"/>
            <w:tcBorders>
              <w:top w:val="single" w:color="auto" w:sz="4" w:space="0"/>
              <w:left w:val="nil"/>
              <w:bottom w:val="single" w:color="auto" w:sz="4" w:space="0"/>
              <w:right w:val="single" w:color="auto" w:sz="4" w:space="0"/>
            </w:tcBorders>
            <w:noWrap w:val="0"/>
            <w:vAlign w:val="center"/>
          </w:tcPr>
          <w:p w14:paraId="52D922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u w:val="single"/>
              </w:rPr>
            </w:pPr>
            <w:r>
              <w:rPr>
                <w:rFonts w:hint="eastAsia" w:ascii="宋体" w:hAnsi="宋体" w:eastAsia="宋体" w:cs="宋体"/>
                <w:b/>
                <w:bCs/>
                <w:sz w:val="24"/>
                <w:szCs w:val="24"/>
                <w:highlight w:val="none"/>
              </w:rPr>
              <w:t>本项目的招标控制价为</w:t>
            </w:r>
            <w:r>
              <w:rPr>
                <w:rFonts w:hint="eastAsia" w:ascii="宋体" w:hAnsi="宋体" w:eastAsia="宋体" w:cs="宋体"/>
                <w:b/>
                <w:bCs/>
                <w:sz w:val="24"/>
                <w:szCs w:val="24"/>
                <w:highlight w:val="none"/>
                <w:lang w:val="en-US" w:eastAsia="zh-CN"/>
              </w:rPr>
              <w:t>3650255.65</w:t>
            </w:r>
            <w:r>
              <w:rPr>
                <w:rFonts w:hint="eastAsia" w:ascii="宋体" w:hAnsi="宋体" w:eastAsia="宋体" w:cs="宋体"/>
                <w:b/>
                <w:bCs/>
                <w:sz w:val="24"/>
                <w:szCs w:val="24"/>
                <w:highlight w:val="none"/>
              </w:rPr>
              <w:t>元，</w:t>
            </w:r>
            <w:r>
              <w:rPr>
                <w:rFonts w:hint="eastAsia" w:ascii="宋体" w:hAnsi="宋体" w:eastAsia="宋体" w:cs="宋体"/>
                <w:b/>
                <w:bCs/>
                <w:sz w:val="24"/>
                <w:szCs w:val="24"/>
                <w:highlight w:val="none"/>
                <w:lang w:val="en-US" w:eastAsia="zh-CN"/>
              </w:rPr>
              <w:t>大写：叁佰陆拾伍万零贰佰伍拾伍元陆角伍分，</w:t>
            </w:r>
            <w:r>
              <w:rPr>
                <w:rFonts w:hint="eastAsia" w:ascii="宋体" w:hAnsi="宋体" w:eastAsia="宋体" w:cs="宋体"/>
                <w:sz w:val="24"/>
                <w:szCs w:val="24"/>
                <w:highlight w:val="none"/>
              </w:rPr>
              <w:t>凡</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的磋商报价超出“招标控制价”（不含等于“招标控制价”）的，其投标将被否决。</w:t>
            </w:r>
          </w:p>
        </w:tc>
      </w:tr>
      <w:tr w14:paraId="1047B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D6BB3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w:t>
            </w:r>
          </w:p>
        </w:tc>
        <w:tc>
          <w:tcPr>
            <w:tcW w:w="2173" w:type="dxa"/>
            <w:tcBorders>
              <w:top w:val="single" w:color="auto" w:sz="4" w:space="0"/>
              <w:left w:val="nil"/>
              <w:bottom w:val="single" w:color="auto" w:sz="4" w:space="0"/>
              <w:right w:val="single" w:color="auto" w:sz="4" w:space="0"/>
            </w:tcBorders>
            <w:noWrap w:val="0"/>
            <w:vAlign w:val="center"/>
          </w:tcPr>
          <w:p w14:paraId="71125F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近年完成的类似项目的年份要求</w:t>
            </w:r>
          </w:p>
        </w:tc>
        <w:tc>
          <w:tcPr>
            <w:tcW w:w="5964" w:type="dxa"/>
            <w:tcBorders>
              <w:top w:val="single" w:color="auto" w:sz="4" w:space="0"/>
              <w:left w:val="nil"/>
              <w:bottom w:val="single" w:color="auto" w:sz="4" w:space="0"/>
              <w:right w:val="single" w:color="auto" w:sz="4" w:space="0"/>
            </w:tcBorders>
            <w:noWrap w:val="0"/>
            <w:vAlign w:val="center"/>
          </w:tcPr>
          <w:p w14:paraId="41B5862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近</w:t>
            </w:r>
            <w:r>
              <w:rPr>
                <w:rFonts w:hint="eastAsia" w:ascii="宋体" w:hAnsi="宋体" w:eastAsia="宋体" w:cs="宋体"/>
                <w:sz w:val="24"/>
                <w:szCs w:val="24"/>
                <w:highlight w:val="none"/>
              </w:rPr>
              <w:t>年，指</w:t>
            </w:r>
            <w:r>
              <w:rPr>
                <w:rFonts w:hint="eastAsia" w:ascii="宋体" w:hAnsi="宋体" w:eastAsia="宋体" w:cs="宋体"/>
                <w:sz w:val="24"/>
                <w:szCs w:val="24"/>
                <w:highlight w:val="none"/>
                <w:u w:val="single"/>
              </w:rPr>
              <w:t>20</w:t>
            </w:r>
            <w:r>
              <w:rPr>
                <w:rFonts w:hint="eastAsia" w:ascii="宋体" w:hAnsi="宋体" w:eastAsia="宋体" w:cs="宋体"/>
                <w:sz w:val="24"/>
                <w:szCs w:val="24"/>
                <w:highlight w:val="none"/>
                <w:u w:val="single"/>
                <w:lang w:val="en-US" w:eastAsia="zh-CN"/>
              </w:rPr>
              <w:t>22</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1</w:t>
            </w:r>
            <w:r>
              <w:rPr>
                <w:rFonts w:hint="eastAsia" w:ascii="宋体" w:hAnsi="宋体" w:eastAsia="宋体" w:cs="宋体"/>
                <w:sz w:val="24"/>
                <w:szCs w:val="24"/>
                <w:highlight w:val="none"/>
              </w:rPr>
              <w:t>日以来</w:t>
            </w:r>
          </w:p>
        </w:tc>
      </w:tr>
      <w:tr w14:paraId="0722C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5804F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w:t>
            </w:r>
          </w:p>
        </w:tc>
        <w:tc>
          <w:tcPr>
            <w:tcW w:w="2173" w:type="dxa"/>
            <w:tcBorders>
              <w:top w:val="single" w:color="auto" w:sz="4" w:space="0"/>
              <w:left w:val="nil"/>
              <w:bottom w:val="single" w:color="auto" w:sz="4" w:space="0"/>
              <w:right w:val="single" w:color="auto" w:sz="4" w:space="0"/>
            </w:tcBorders>
            <w:noWrap w:val="0"/>
            <w:vAlign w:val="center"/>
          </w:tcPr>
          <w:p w14:paraId="675D05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是否允许递交备选磋商方案</w:t>
            </w:r>
          </w:p>
        </w:tc>
        <w:tc>
          <w:tcPr>
            <w:tcW w:w="5964" w:type="dxa"/>
            <w:tcBorders>
              <w:top w:val="single" w:color="auto" w:sz="4" w:space="0"/>
              <w:left w:val="nil"/>
              <w:bottom w:val="single" w:color="auto" w:sz="4" w:space="0"/>
              <w:right w:val="single" w:color="auto" w:sz="4" w:space="0"/>
            </w:tcBorders>
            <w:noWrap w:val="0"/>
            <w:vAlign w:val="center"/>
          </w:tcPr>
          <w:p w14:paraId="37287DC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tc>
      </w:tr>
      <w:tr w14:paraId="3F7E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79B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w:t>
            </w:r>
          </w:p>
        </w:tc>
        <w:tc>
          <w:tcPr>
            <w:tcW w:w="2173" w:type="dxa"/>
            <w:tcBorders>
              <w:top w:val="single" w:color="auto" w:sz="4" w:space="0"/>
              <w:left w:val="nil"/>
              <w:bottom w:val="single" w:color="auto" w:sz="4" w:space="0"/>
              <w:right w:val="single" w:color="auto" w:sz="4" w:space="0"/>
            </w:tcBorders>
            <w:noWrap w:val="0"/>
            <w:vAlign w:val="center"/>
          </w:tcPr>
          <w:p w14:paraId="388C06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电子投标文件签章</w:t>
            </w:r>
          </w:p>
        </w:tc>
        <w:tc>
          <w:tcPr>
            <w:tcW w:w="5964" w:type="dxa"/>
            <w:tcBorders>
              <w:top w:val="single" w:color="auto" w:sz="4" w:space="0"/>
              <w:left w:val="nil"/>
              <w:bottom w:val="single" w:color="auto" w:sz="4" w:space="0"/>
              <w:right w:val="single" w:color="auto" w:sz="4" w:space="0"/>
            </w:tcBorders>
            <w:noWrap w:val="0"/>
            <w:vAlign w:val="center"/>
          </w:tcPr>
          <w:p w14:paraId="6838C3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在生成电子化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后，应对电子化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进行签章，未对电子化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进行签章的视为无效投标。</w:t>
            </w:r>
          </w:p>
          <w:p w14:paraId="20705E0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2、竞争性磋商文件中要求法定代表人或授权委托人盖章的，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在进行电子化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签章时，以签盖法定代表人签章为准。</w:t>
            </w:r>
          </w:p>
          <w:p w14:paraId="57A69B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3、电子化</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工具请点击http://t.cn/A6ZvtVob进行下载。</w:t>
            </w:r>
          </w:p>
        </w:tc>
      </w:tr>
      <w:tr w14:paraId="4998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41EC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29</w:t>
            </w:r>
          </w:p>
        </w:tc>
        <w:tc>
          <w:tcPr>
            <w:tcW w:w="2173" w:type="dxa"/>
            <w:tcBorders>
              <w:top w:val="single" w:color="auto" w:sz="4" w:space="0"/>
              <w:left w:val="nil"/>
              <w:bottom w:val="single" w:color="auto" w:sz="4" w:space="0"/>
              <w:right w:val="single" w:color="auto" w:sz="4" w:space="0"/>
            </w:tcBorders>
            <w:noWrap w:val="0"/>
            <w:vAlign w:val="center"/>
          </w:tcPr>
          <w:p w14:paraId="52EF03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1239FD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用CA在电子平台上传电子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，在磋商截止时间前成功上传至三门峡市公共资源电子化交易系统。本项目为电子化、无纸化交易项目。</w:t>
            </w:r>
          </w:p>
          <w:p w14:paraId="6A439D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开标时不再递交纸质投标文件，中标单位领取中标通知书时提交两份纸质投标文件（投标文件应按以下要求装订：胶装，应有目录，并逐页标注连续页码）。</w:t>
            </w:r>
          </w:p>
        </w:tc>
      </w:tr>
      <w:tr w14:paraId="77D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207C09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30</w:t>
            </w:r>
          </w:p>
        </w:tc>
        <w:tc>
          <w:tcPr>
            <w:tcW w:w="2173" w:type="dxa"/>
            <w:tcBorders>
              <w:top w:val="single" w:color="auto" w:sz="4" w:space="0"/>
              <w:left w:val="nil"/>
              <w:bottom w:val="single" w:color="auto" w:sz="4" w:space="0"/>
              <w:right w:val="single" w:color="auto" w:sz="4" w:space="0"/>
            </w:tcBorders>
            <w:noWrap w:val="0"/>
            <w:vAlign w:val="center"/>
          </w:tcPr>
          <w:p w14:paraId="0D621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是否退还</w:t>
            </w:r>
            <w:r>
              <w:rPr>
                <w:rFonts w:hint="eastAsia" w:ascii="宋体" w:hAnsi="宋体" w:eastAsia="宋体" w:cs="宋体"/>
                <w:sz w:val="24"/>
                <w:szCs w:val="24"/>
                <w:highlight w:val="none"/>
                <w:lang w:eastAsia="zh-CN"/>
              </w:rPr>
              <w:t>投标文件</w:t>
            </w:r>
          </w:p>
        </w:tc>
        <w:tc>
          <w:tcPr>
            <w:tcW w:w="5964" w:type="dxa"/>
            <w:tcBorders>
              <w:top w:val="single" w:color="auto" w:sz="4" w:space="0"/>
              <w:left w:val="nil"/>
              <w:bottom w:val="single" w:color="auto" w:sz="4" w:space="0"/>
              <w:right w:val="single" w:color="auto" w:sz="4" w:space="0"/>
            </w:tcBorders>
            <w:noWrap w:val="0"/>
            <w:vAlign w:val="center"/>
          </w:tcPr>
          <w:p w14:paraId="6405ECF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否</w:t>
            </w:r>
          </w:p>
        </w:tc>
      </w:tr>
      <w:tr w14:paraId="5A8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1A579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w:t>
            </w:r>
          </w:p>
        </w:tc>
        <w:tc>
          <w:tcPr>
            <w:tcW w:w="2173" w:type="dxa"/>
            <w:tcBorders>
              <w:top w:val="single" w:color="auto" w:sz="4" w:space="0"/>
              <w:left w:val="nil"/>
              <w:bottom w:val="single" w:color="auto" w:sz="4" w:space="0"/>
              <w:right w:val="single" w:color="auto" w:sz="4" w:space="0"/>
            </w:tcBorders>
            <w:noWrap w:val="0"/>
            <w:vAlign w:val="center"/>
          </w:tcPr>
          <w:p w14:paraId="26016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开标顺序</w:t>
            </w:r>
          </w:p>
        </w:tc>
        <w:tc>
          <w:tcPr>
            <w:tcW w:w="5964" w:type="dxa"/>
            <w:tcBorders>
              <w:top w:val="single" w:color="auto" w:sz="4" w:space="0"/>
              <w:left w:val="nil"/>
              <w:bottom w:val="single" w:color="auto" w:sz="4" w:space="0"/>
              <w:right w:val="single" w:color="auto" w:sz="4" w:space="0"/>
            </w:tcBorders>
            <w:noWrap w:val="0"/>
            <w:vAlign w:val="center"/>
          </w:tcPr>
          <w:p w14:paraId="5B2C28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按电子</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上传的顺序开标</w:t>
            </w:r>
          </w:p>
        </w:tc>
      </w:tr>
      <w:tr w14:paraId="2E8F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507AE2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32</w:t>
            </w:r>
          </w:p>
        </w:tc>
        <w:tc>
          <w:tcPr>
            <w:tcW w:w="2173" w:type="dxa"/>
            <w:tcBorders>
              <w:top w:val="single" w:color="auto" w:sz="4" w:space="0"/>
              <w:left w:val="nil"/>
              <w:bottom w:val="single" w:color="auto" w:sz="4" w:space="0"/>
              <w:right w:val="single" w:color="auto" w:sz="4" w:space="0"/>
            </w:tcBorders>
            <w:noWrap w:val="0"/>
            <w:vAlign w:val="center"/>
          </w:tcPr>
          <w:p w14:paraId="4E5CDE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磋商小组的组建</w:t>
            </w:r>
          </w:p>
        </w:tc>
        <w:tc>
          <w:tcPr>
            <w:tcW w:w="5964" w:type="dxa"/>
            <w:tcBorders>
              <w:top w:val="single" w:color="auto" w:sz="4" w:space="0"/>
              <w:left w:val="nil"/>
              <w:bottom w:val="single" w:color="auto" w:sz="4" w:space="0"/>
              <w:right w:val="single" w:color="auto" w:sz="4" w:space="0"/>
            </w:tcBorders>
            <w:noWrap w:val="0"/>
            <w:vAlign w:val="center"/>
          </w:tcPr>
          <w:p w14:paraId="5C8BB8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磋商小组构成：由</w:t>
            </w:r>
            <w:r>
              <w:rPr>
                <w:rFonts w:hint="eastAsia" w:ascii="宋体" w:hAnsi="宋体" w:eastAsia="宋体" w:cs="宋体"/>
                <w:sz w:val="24"/>
                <w:szCs w:val="24"/>
                <w:highlight w:val="none"/>
                <w:lang w:val="en-US" w:eastAsia="zh-CN"/>
              </w:rPr>
              <w:t>招标</w:t>
            </w:r>
            <w:r>
              <w:rPr>
                <w:rFonts w:hint="eastAsia" w:ascii="宋体" w:hAnsi="宋体" w:eastAsia="宋体" w:cs="宋体"/>
                <w:sz w:val="24"/>
                <w:szCs w:val="24"/>
                <w:highlight w:val="none"/>
              </w:rPr>
              <w:t>人代表及有关经济、技术等方面的专家共3人组成，其中</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代表1人，经济、技术等有关方面的专家各1人。评标专家确定方式：参加评标的专家由</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、监督人在三门峡市</w:t>
            </w:r>
            <w:r>
              <w:rPr>
                <w:rFonts w:hint="eastAsia" w:ascii="宋体" w:hAnsi="宋体" w:eastAsia="宋体" w:cs="宋体"/>
                <w:sz w:val="24"/>
                <w:szCs w:val="24"/>
                <w:highlight w:val="none"/>
                <w:lang w:val="en-US" w:eastAsia="zh-CN"/>
              </w:rPr>
              <w:t>灵宝市</w:t>
            </w:r>
            <w:r>
              <w:rPr>
                <w:rFonts w:hint="eastAsia" w:ascii="宋体" w:hAnsi="宋体" w:eastAsia="宋体" w:cs="宋体"/>
                <w:sz w:val="24"/>
                <w:szCs w:val="24"/>
                <w:highlight w:val="none"/>
              </w:rPr>
              <w:t>公共资源交易中心抽取终端从三门峡市综合评标专家库中随机抽取确定。</w:t>
            </w:r>
          </w:p>
        </w:tc>
      </w:tr>
      <w:tr w14:paraId="34FF3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FB806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2173" w:type="dxa"/>
            <w:tcBorders>
              <w:top w:val="single" w:color="auto" w:sz="4" w:space="0"/>
              <w:left w:val="nil"/>
              <w:bottom w:val="single" w:color="auto" w:sz="4" w:space="0"/>
              <w:right w:val="single" w:color="auto" w:sz="4" w:space="0"/>
            </w:tcBorders>
            <w:noWrap w:val="0"/>
            <w:vAlign w:val="center"/>
          </w:tcPr>
          <w:p w14:paraId="44A73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授权评委小组推荐成交候选人</w:t>
            </w:r>
          </w:p>
        </w:tc>
        <w:tc>
          <w:tcPr>
            <w:tcW w:w="5964" w:type="dxa"/>
            <w:tcBorders>
              <w:top w:val="single" w:color="auto" w:sz="4" w:space="0"/>
              <w:left w:val="nil"/>
              <w:bottom w:val="single" w:color="auto" w:sz="4" w:space="0"/>
              <w:right w:val="single" w:color="auto" w:sz="4" w:space="0"/>
            </w:tcBorders>
            <w:noWrap w:val="0"/>
            <w:vAlign w:val="center"/>
          </w:tcPr>
          <w:p w14:paraId="00074AB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是，推荐的成交候选人数：1-3个</w:t>
            </w:r>
          </w:p>
          <w:p w14:paraId="3F5F4ED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排名第一的成交候选人若放弃中标、因不可抗力提出不能履行合同，</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可以确定排名第二的成交候选人为中标人。排名第二的成交候选人因前款原因不能签订合同的，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可以确定排名第三的成交候选人为中标人。</w:t>
            </w:r>
          </w:p>
        </w:tc>
      </w:tr>
      <w:tr w14:paraId="37FD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016E95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34</w:t>
            </w:r>
          </w:p>
        </w:tc>
        <w:tc>
          <w:tcPr>
            <w:tcW w:w="2173" w:type="dxa"/>
            <w:tcBorders>
              <w:top w:val="single" w:color="auto" w:sz="4" w:space="0"/>
              <w:left w:val="nil"/>
              <w:bottom w:val="single" w:color="auto" w:sz="4" w:space="0"/>
              <w:right w:val="single" w:color="auto" w:sz="4" w:space="0"/>
            </w:tcBorders>
            <w:noWrap w:val="0"/>
            <w:vAlign w:val="center"/>
          </w:tcPr>
          <w:p w14:paraId="151A8E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结果公示</w:t>
            </w:r>
          </w:p>
        </w:tc>
        <w:tc>
          <w:tcPr>
            <w:tcW w:w="5964" w:type="dxa"/>
            <w:tcBorders>
              <w:top w:val="single" w:color="auto" w:sz="4" w:space="0"/>
              <w:left w:val="nil"/>
              <w:bottom w:val="single" w:color="auto" w:sz="4" w:space="0"/>
              <w:right w:val="single" w:color="auto" w:sz="4" w:space="0"/>
            </w:tcBorders>
            <w:noWrap w:val="0"/>
            <w:vAlign w:val="center"/>
          </w:tcPr>
          <w:p w14:paraId="1B128F9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在</w:t>
            </w:r>
            <w:r>
              <w:rPr>
                <w:rFonts w:hint="eastAsia" w:ascii="宋体" w:hAnsi="宋体" w:eastAsia="宋体" w:cs="宋体"/>
                <w:sz w:val="24"/>
                <w:highlight w:val="none"/>
                <w:lang w:val="en-US" w:eastAsia="zh-CN" w:bidi="ar"/>
              </w:rPr>
              <w:t>竞争性磋商公告同一网站</w:t>
            </w:r>
            <w:r>
              <w:rPr>
                <w:rFonts w:hint="eastAsia" w:ascii="宋体" w:hAnsi="宋体" w:eastAsia="宋体" w:cs="宋体"/>
                <w:sz w:val="24"/>
                <w:szCs w:val="24"/>
                <w:highlight w:val="none"/>
              </w:rPr>
              <w:t>同时进行公示。</w:t>
            </w:r>
          </w:p>
        </w:tc>
      </w:tr>
      <w:tr w14:paraId="301A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0E68E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2173" w:type="dxa"/>
            <w:tcBorders>
              <w:top w:val="single" w:color="auto" w:sz="4" w:space="0"/>
              <w:left w:val="nil"/>
              <w:bottom w:val="single" w:color="auto" w:sz="4" w:space="0"/>
              <w:right w:val="single" w:color="auto" w:sz="4" w:space="0"/>
            </w:tcBorders>
            <w:noWrap w:val="0"/>
            <w:vAlign w:val="center"/>
          </w:tcPr>
          <w:p w14:paraId="09002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履约保证金</w:t>
            </w:r>
          </w:p>
        </w:tc>
        <w:tc>
          <w:tcPr>
            <w:tcW w:w="5964" w:type="dxa"/>
            <w:tcBorders>
              <w:top w:val="single" w:color="auto" w:sz="4" w:space="0"/>
              <w:left w:val="nil"/>
              <w:bottom w:val="single" w:color="auto" w:sz="4" w:space="0"/>
              <w:right w:val="single" w:color="auto" w:sz="4" w:space="0"/>
            </w:tcBorders>
            <w:noWrap w:val="0"/>
            <w:vAlign w:val="center"/>
          </w:tcPr>
          <w:p w14:paraId="7D69F41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eastAsia="zh-CN"/>
              </w:rPr>
              <w:t>根据三门峡市财政局三财购【</w:t>
            </w:r>
            <w:r>
              <w:rPr>
                <w:rFonts w:hint="eastAsia" w:ascii="宋体" w:hAnsi="宋体" w:eastAsia="宋体" w:cs="宋体"/>
                <w:color w:val="auto"/>
                <w:sz w:val="24"/>
                <w:szCs w:val="24"/>
                <w:highlight w:val="none"/>
                <w:lang w:val="en-US" w:eastAsia="zh-CN"/>
              </w:rPr>
              <w:t>2021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14号文的规定，</w:t>
            </w:r>
            <w:r>
              <w:rPr>
                <w:rFonts w:hint="eastAsia" w:ascii="宋体" w:hAnsi="宋体" w:eastAsia="宋体" w:cs="宋体"/>
                <w:color w:val="auto"/>
                <w:sz w:val="24"/>
                <w:szCs w:val="24"/>
                <w:highlight w:val="none"/>
              </w:rPr>
              <w:t>本项目不收取履约</w:t>
            </w:r>
            <w:r>
              <w:rPr>
                <w:rFonts w:hint="eastAsia" w:ascii="宋体" w:hAnsi="宋体" w:eastAsia="宋体" w:cs="宋体"/>
                <w:color w:val="auto"/>
                <w:sz w:val="24"/>
                <w:szCs w:val="24"/>
                <w:highlight w:val="none"/>
                <w:lang w:eastAsia="zh-CN"/>
              </w:rPr>
              <w:t>保证金</w:t>
            </w:r>
          </w:p>
        </w:tc>
      </w:tr>
      <w:tr w14:paraId="1F01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2E564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36</w:t>
            </w:r>
          </w:p>
        </w:tc>
        <w:tc>
          <w:tcPr>
            <w:tcW w:w="2173" w:type="dxa"/>
            <w:tcBorders>
              <w:top w:val="single" w:color="auto" w:sz="4" w:space="0"/>
              <w:left w:val="nil"/>
              <w:bottom w:val="single" w:color="auto" w:sz="4" w:space="0"/>
              <w:right w:val="single" w:color="auto" w:sz="4" w:space="0"/>
            </w:tcBorders>
            <w:noWrap w:val="0"/>
            <w:vAlign w:val="center"/>
          </w:tcPr>
          <w:p w14:paraId="056E79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农民工工资保证金</w:t>
            </w:r>
          </w:p>
        </w:tc>
        <w:tc>
          <w:tcPr>
            <w:tcW w:w="5964" w:type="dxa"/>
            <w:tcBorders>
              <w:top w:val="single" w:color="auto" w:sz="4" w:space="0"/>
              <w:left w:val="nil"/>
              <w:bottom w:val="single" w:color="auto" w:sz="4" w:space="0"/>
              <w:right w:val="single" w:color="auto" w:sz="4" w:space="0"/>
            </w:tcBorders>
            <w:noWrap w:val="0"/>
            <w:vAlign w:val="center"/>
          </w:tcPr>
          <w:p w14:paraId="49BB8CB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根据《中华人民共和国劳动法》、《建筑领域农民工工资支付暂行办法》等法律法规规定，中标单位中标后能够及时、足额存入农民工工资保障金或工资保函，保障金为中标价的2%。一旦其承包的建筑工程项目中出现拖欠农民工工资情况的，可由人力资源社会保障行政部门从农民工工资保障金中先予划支。</w:t>
            </w:r>
          </w:p>
        </w:tc>
      </w:tr>
      <w:tr w14:paraId="32BEF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F2A54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w:t>
            </w:r>
          </w:p>
        </w:tc>
        <w:tc>
          <w:tcPr>
            <w:tcW w:w="2173" w:type="dxa"/>
            <w:tcBorders>
              <w:top w:val="single" w:color="auto" w:sz="4" w:space="0"/>
              <w:left w:val="nil"/>
              <w:bottom w:val="single" w:color="auto" w:sz="4" w:space="0"/>
              <w:right w:val="single" w:color="auto" w:sz="4" w:space="0"/>
            </w:tcBorders>
            <w:noWrap w:val="0"/>
            <w:vAlign w:val="center"/>
          </w:tcPr>
          <w:p w14:paraId="178AC4D8">
            <w:pPr>
              <w:widowControl/>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kern w:val="44"/>
                <w:sz w:val="24"/>
                <w:szCs w:val="24"/>
                <w:highlight w:val="none"/>
              </w:rPr>
              <w:t>质保金</w:t>
            </w:r>
          </w:p>
        </w:tc>
        <w:tc>
          <w:tcPr>
            <w:tcW w:w="5964" w:type="dxa"/>
            <w:tcBorders>
              <w:top w:val="single" w:color="auto" w:sz="4" w:space="0"/>
              <w:left w:val="nil"/>
              <w:bottom w:val="single" w:color="auto" w:sz="4" w:space="0"/>
              <w:right w:val="single" w:color="auto" w:sz="4" w:space="0"/>
            </w:tcBorders>
            <w:noWrap w:val="0"/>
            <w:vAlign w:val="center"/>
          </w:tcPr>
          <w:p w14:paraId="6A17A73E">
            <w:pPr>
              <w:widowControl/>
              <w:spacing w:line="360" w:lineRule="auto"/>
              <w:rPr>
                <w:rFonts w:hint="eastAsia" w:ascii="宋体" w:hAnsi="宋体" w:eastAsia="宋体" w:cs="宋体"/>
                <w:color w:val="auto"/>
                <w:sz w:val="24"/>
                <w:szCs w:val="24"/>
                <w:highlight w:val="none"/>
                <w:lang w:eastAsia="zh-CN"/>
              </w:rPr>
            </w:pPr>
            <w:r>
              <w:rPr>
                <w:rFonts w:hint="eastAsia" w:ascii="宋体" w:hAnsi="宋体" w:cs="宋体"/>
                <w:kern w:val="44"/>
                <w:sz w:val="24"/>
                <w:szCs w:val="24"/>
                <w:highlight w:val="none"/>
              </w:rPr>
              <w:t>成交后甲乙双方协商</w:t>
            </w:r>
          </w:p>
        </w:tc>
      </w:tr>
      <w:tr w14:paraId="4E24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3582A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38</w:t>
            </w:r>
          </w:p>
        </w:tc>
        <w:tc>
          <w:tcPr>
            <w:tcW w:w="2173" w:type="dxa"/>
            <w:tcBorders>
              <w:top w:val="single" w:color="auto" w:sz="4" w:space="0"/>
              <w:left w:val="nil"/>
              <w:bottom w:val="single" w:color="auto" w:sz="4" w:space="0"/>
              <w:right w:val="single" w:color="auto" w:sz="4" w:space="0"/>
            </w:tcBorders>
            <w:noWrap w:val="0"/>
            <w:vAlign w:val="center"/>
          </w:tcPr>
          <w:p w14:paraId="5E8D2A72">
            <w:pPr>
              <w:widowControl/>
              <w:spacing w:line="360" w:lineRule="auto"/>
              <w:jc w:val="center"/>
              <w:rPr>
                <w:rFonts w:ascii="宋体" w:hAnsi="宋体" w:cs="宋体"/>
                <w:kern w:val="44"/>
                <w:sz w:val="24"/>
                <w:szCs w:val="24"/>
                <w:highlight w:val="none"/>
              </w:rPr>
            </w:pPr>
            <w:r>
              <w:rPr>
                <w:rFonts w:hint="eastAsia" w:ascii="宋体" w:hAnsi="宋体" w:cs="宋体"/>
                <w:kern w:val="44"/>
                <w:sz w:val="24"/>
                <w:szCs w:val="24"/>
                <w:highlight w:val="none"/>
              </w:rPr>
              <w:t>工程款支付</w:t>
            </w:r>
          </w:p>
          <w:p w14:paraId="148CC8C1">
            <w:pPr>
              <w:widowControl/>
              <w:spacing w:line="360" w:lineRule="auto"/>
              <w:jc w:val="center"/>
              <w:rPr>
                <w:rFonts w:hint="eastAsia" w:ascii="宋体" w:hAnsi="宋体" w:eastAsia="宋体" w:cs="宋体"/>
                <w:sz w:val="24"/>
                <w:szCs w:val="24"/>
                <w:highlight w:val="none"/>
              </w:rPr>
            </w:pPr>
            <w:r>
              <w:rPr>
                <w:rFonts w:hint="eastAsia" w:ascii="宋体" w:hAnsi="宋体" w:cs="宋体"/>
                <w:kern w:val="44"/>
                <w:sz w:val="24"/>
                <w:szCs w:val="24"/>
                <w:highlight w:val="none"/>
              </w:rPr>
              <w:t>方式</w:t>
            </w:r>
          </w:p>
        </w:tc>
        <w:tc>
          <w:tcPr>
            <w:tcW w:w="5964" w:type="dxa"/>
            <w:tcBorders>
              <w:top w:val="single" w:color="auto" w:sz="4" w:space="0"/>
              <w:left w:val="nil"/>
              <w:bottom w:val="single" w:color="auto" w:sz="4" w:space="0"/>
              <w:right w:val="single" w:color="auto" w:sz="4" w:space="0"/>
            </w:tcBorders>
            <w:noWrap w:val="0"/>
            <w:vAlign w:val="center"/>
          </w:tcPr>
          <w:p w14:paraId="4AC0FDBF">
            <w:pPr>
              <w:widowControl/>
              <w:spacing w:line="360" w:lineRule="auto"/>
              <w:jc w:val="left"/>
              <w:rPr>
                <w:rFonts w:hint="eastAsia" w:ascii="宋体" w:hAnsi="宋体" w:eastAsia="宋体" w:cs="宋体"/>
                <w:sz w:val="24"/>
                <w:szCs w:val="24"/>
                <w:highlight w:val="none"/>
              </w:rPr>
            </w:pPr>
            <w:r>
              <w:rPr>
                <w:rFonts w:hint="eastAsia" w:ascii="宋体" w:hAnsi="宋体" w:cs="宋体"/>
                <w:kern w:val="44"/>
                <w:sz w:val="24"/>
                <w:szCs w:val="24"/>
                <w:highlight w:val="none"/>
                <w:lang w:bidi="en-US"/>
              </w:rPr>
              <w:t>具体付款方式中标后甲乙双方协商</w:t>
            </w:r>
            <w:r>
              <w:rPr>
                <w:rFonts w:hint="eastAsia" w:ascii="宋体" w:hAnsi="宋体" w:cs="宋体"/>
                <w:kern w:val="44"/>
                <w:sz w:val="24"/>
                <w:szCs w:val="24"/>
                <w:highlight w:val="none"/>
              </w:rPr>
              <w:t>。</w:t>
            </w:r>
          </w:p>
        </w:tc>
      </w:tr>
      <w:tr w14:paraId="3956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43EFD0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0"/>
                <w:sz w:val="24"/>
                <w:szCs w:val="24"/>
                <w:highlight w:val="none"/>
                <w:lang w:val="en-US" w:eastAsia="zh-CN"/>
              </w:rPr>
            </w:pPr>
            <w:r>
              <w:rPr>
                <w:rFonts w:hint="eastAsia" w:ascii="宋体" w:hAnsi="宋体" w:eastAsia="宋体" w:cs="宋体"/>
                <w:sz w:val="24"/>
                <w:szCs w:val="24"/>
                <w:highlight w:val="none"/>
                <w:lang w:val="en-US" w:eastAsia="zh-CN"/>
              </w:rPr>
              <w:t>39</w:t>
            </w:r>
          </w:p>
        </w:tc>
        <w:tc>
          <w:tcPr>
            <w:tcW w:w="2173" w:type="dxa"/>
            <w:tcBorders>
              <w:top w:val="single" w:color="auto" w:sz="4" w:space="0"/>
              <w:left w:val="nil"/>
              <w:bottom w:val="single" w:color="auto" w:sz="4" w:space="0"/>
              <w:right w:val="single" w:color="auto" w:sz="4" w:space="0"/>
            </w:tcBorders>
            <w:noWrap w:val="0"/>
            <w:vAlign w:val="center"/>
          </w:tcPr>
          <w:p w14:paraId="4FE123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签订合同时间</w:t>
            </w:r>
          </w:p>
        </w:tc>
        <w:tc>
          <w:tcPr>
            <w:tcW w:w="5964" w:type="dxa"/>
            <w:tcBorders>
              <w:top w:val="single" w:color="auto" w:sz="4" w:space="0"/>
              <w:left w:val="nil"/>
              <w:bottom w:val="single" w:color="auto" w:sz="4" w:space="0"/>
              <w:right w:val="single" w:color="auto" w:sz="4" w:space="0"/>
            </w:tcBorders>
            <w:noWrap w:val="0"/>
            <w:vAlign w:val="center"/>
          </w:tcPr>
          <w:p w14:paraId="429DC8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szCs w:val="24"/>
                <w:highlight w:val="none"/>
                <w:lang w:eastAsia="zh-CN"/>
              </w:rPr>
            </w:pPr>
            <w:r>
              <w:rPr>
                <w:rFonts w:hint="eastAsia" w:ascii="宋体" w:hAnsi="宋体" w:eastAsia="宋体" w:cs="宋体"/>
                <w:sz w:val="24"/>
                <w:szCs w:val="24"/>
                <w:highlight w:val="none"/>
              </w:rPr>
              <w:t>成交通知书发出后2个工作日内</w:t>
            </w:r>
          </w:p>
        </w:tc>
      </w:tr>
      <w:tr w14:paraId="700A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088E74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40</w:t>
            </w:r>
          </w:p>
        </w:tc>
        <w:tc>
          <w:tcPr>
            <w:tcW w:w="2173" w:type="dxa"/>
            <w:tcBorders>
              <w:top w:val="single" w:color="auto" w:sz="4" w:space="0"/>
              <w:left w:val="nil"/>
              <w:bottom w:val="single" w:color="auto" w:sz="4" w:space="0"/>
              <w:right w:val="single" w:color="auto" w:sz="4" w:space="0"/>
            </w:tcBorders>
            <w:noWrap w:val="0"/>
            <w:vAlign w:val="center"/>
          </w:tcPr>
          <w:p w14:paraId="41738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竞争性磋商文件的解释</w:t>
            </w:r>
          </w:p>
        </w:tc>
        <w:tc>
          <w:tcPr>
            <w:tcW w:w="5964" w:type="dxa"/>
            <w:tcBorders>
              <w:top w:val="single" w:color="auto" w:sz="4" w:space="0"/>
              <w:left w:val="nil"/>
              <w:bottom w:val="single" w:color="auto" w:sz="4" w:space="0"/>
              <w:right w:val="single" w:color="auto" w:sz="4" w:space="0"/>
            </w:tcBorders>
            <w:noWrap w:val="0"/>
            <w:vAlign w:val="center"/>
          </w:tcPr>
          <w:p w14:paraId="75968C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在符合相关法律法规的前题下，竞争性磋商文件的解释权归招标人所有。本竞争性磋商文件中其他部分内容与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须知前附表不一致的，以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须知前附表为准。</w:t>
            </w:r>
          </w:p>
        </w:tc>
      </w:tr>
      <w:tr w14:paraId="290BC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681A8A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41</w:t>
            </w:r>
          </w:p>
        </w:tc>
        <w:tc>
          <w:tcPr>
            <w:tcW w:w="2173" w:type="dxa"/>
            <w:tcBorders>
              <w:top w:val="single" w:color="auto" w:sz="4" w:space="0"/>
              <w:left w:val="nil"/>
              <w:bottom w:val="single" w:color="auto" w:sz="4" w:space="0"/>
              <w:right w:val="single" w:color="auto" w:sz="4" w:space="0"/>
            </w:tcBorders>
            <w:noWrap w:val="0"/>
            <w:vAlign w:val="center"/>
          </w:tcPr>
          <w:p w14:paraId="0C22D9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知识产权</w:t>
            </w:r>
          </w:p>
        </w:tc>
        <w:tc>
          <w:tcPr>
            <w:tcW w:w="5964" w:type="dxa"/>
            <w:tcBorders>
              <w:top w:val="single" w:color="auto" w:sz="4" w:space="0"/>
              <w:left w:val="nil"/>
              <w:bottom w:val="single" w:color="auto" w:sz="4" w:space="0"/>
              <w:right w:val="single" w:color="auto" w:sz="4" w:space="0"/>
            </w:tcBorders>
            <w:noWrap w:val="0"/>
            <w:vAlign w:val="center"/>
          </w:tcPr>
          <w:p w14:paraId="4B24D2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构成本竞争性磋商文件各个组成部分的文件，未经招标人书面同意，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不得擅自复印和用于非本招标项目所需的其他目的。招标人全部或者部分使用未中标人</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中的技术成果或技术方案时，需征得其书面同意，并不得擅自复印或提供给第三人。</w:t>
            </w:r>
          </w:p>
        </w:tc>
      </w:tr>
      <w:tr w14:paraId="60E7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7952F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bCs/>
                <w:sz w:val="24"/>
                <w:szCs w:val="24"/>
                <w:highlight w:val="none"/>
                <w:lang w:val="en-US"/>
              </w:rPr>
            </w:pPr>
            <w:r>
              <w:rPr>
                <w:rFonts w:hint="eastAsia" w:ascii="宋体" w:hAnsi="宋体" w:eastAsia="宋体" w:cs="宋体"/>
                <w:sz w:val="24"/>
                <w:szCs w:val="24"/>
                <w:highlight w:val="none"/>
                <w:lang w:val="en-US" w:eastAsia="zh-CN"/>
              </w:rPr>
              <w:t>42</w:t>
            </w:r>
          </w:p>
        </w:tc>
        <w:tc>
          <w:tcPr>
            <w:tcW w:w="2173" w:type="dxa"/>
            <w:tcBorders>
              <w:top w:val="single" w:color="auto" w:sz="4" w:space="0"/>
              <w:left w:val="nil"/>
              <w:bottom w:val="single" w:color="auto" w:sz="4" w:space="0"/>
              <w:right w:val="single" w:color="auto" w:sz="4" w:space="0"/>
            </w:tcBorders>
            <w:noWrap w:val="0"/>
            <w:vAlign w:val="center"/>
          </w:tcPr>
          <w:p w14:paraId="2D41F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重新招标的其他情形</w:t>
            </w:r>
          </w:p>
        </w:tc>
        <w:tc>
          <w:tcPr>
            <w:tcW w:w="5964" w:type="dxa"/>
            <w:tcBorders>
              <w:top w:val="single" w:color="auto" w:sz="4" w:space="0"/>
              <w:left w:val="nil"/>
              <w:bottom w:val="single" w:color="auto" w:sz="4" w:space="0"/>
              <w:right w:val="single" w:color="auto" w:sz="4" w:space="0"/>
            </w:tcBorders>
            <w:noWrap w:val="0"/>
            <w:vAlign w:val="center"/>
          </w:tcPr>
          <w:p w14:paraId="20D1B3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须知正文规定的情形外，除非已经产生中标候选人，在磋商有效期内同意延长磋商有效期的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少于三个的，招标人应当依法重新招标。</w:t>
            </w:r>
          </w:p>
        </w:tc>
      </w:tr>
      <w:tr w14:paraId="1394E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3A9395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43</w:t>
            </w:r>
          </w:p>
        </w:tc>
        <w:tc>
          <w:tcPr>
            <w:tcW w:w="2173" w:type="dxa"/>
            <w:tcBorders>
              <w:top w:val="single" w:color="auto" w:sz="4" w:space="0"/>
              <w:left w:val="nil"/>
              <w:bottom w:val="single" w:color="auto" w:sz="4" w:space="0"/>
              <w:right w:val="single" w:color="auto" w:sz="4" w:space="0"/>
            </w:tcBorders>
            <w:noWrap w:val="0"/>
            <w:vAlign w:val="center"/>
          </w:tcPr>
          <w:p w14:paraId="5C64E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监  督</w:t>
            </w:r>
          </w:p>
        </w:tc>
        <w:tc>
          <w:tcPr>
            <w:tcW w:w="5964" w:type="dxa"/>
            <w:tcBorders>
              <w:top w:val="single" w:color="auto" w:sz="4" w:space="0"/>
              <w:left w:val="nil"/>
              <w:bottom w:val="single" w:color="auto" w:sz="4" w:space="0"/>
              <w:right w:val="single" w:color="auto" w:sz="4" w:space="0"/>
            </w:tcBorders>
            <w:noWrap w:val="0"/>
            <w:vAlign w:val="center"/>
          </w:tcPr>
          <w:p w14:paraId="02442AE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本项目的招标磋商活动及其相关当事人应当接受有管辖权的招标投标行政监督部门依法实施的监督。</w:t>
            </w:r>
          </w:p>
        </w:tc>
      </w:tr>
      <w:tr w14:paraId="7547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53B1AA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44</w:t>
            </w:r>
          </w:p>
        </w:tc>
        <w:tc>
          <w:tcPr>
            <w:tcW w:w="2173" w:type="dxa"/>
            <w:tcBorders>
              <w:top w:val="single" w:color="auto" w:sz="4" w:space="0"/>
              <w:left w:val="nil"/>
              <w:bottom w:val="single" w:color="auto" w:sz="4" w:space="0"/>
              <w:right w:val="single" w:color="auto" w:sz="4" w:space="0"/>
            </w:tcBorders>
            <w:noWrap w:val="0"/>
            <w:vAlign w:val="center"/>
          </w:tcPr>
          <w:p w14:paraId="6681F8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highlight w:val="none"/>
              </w:rPr>
              <w:t>招标代理服务费</w:t>
            </w:r>
          </w:p>
        </w:tc>
        <w:tc>
          <w:tcPr>
            <w:tcW w:w="5964" w:type="dxa"/>
            <w:tcBorders>
              <w:top w:val="single" w:color="auto" w:sz="4" w:space="0"/>
              <w:left w:val="nil"/>
              <w:bottom w:val="single" w:color="auto" w:sz="4" w:space="0"/>
              <w:right w:val="single" w:color="auto" w:sz="4" w:space="0"/>
            </w:tcBorders>
            <w:noWrap w:val="0"/>
            <w:vAlign w:val="center"/>
          </w:tcPr>
          <w:p w14:paraId="38D053D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highlight w:val="none"/>
              </w:rPr>
              <w:t>按照豫招协【2023】002号文规定计取，由中标人向招标代理机构缴纳</w:t>
            </w:r>
            <w:r>
              <w:rPr>
                <w:rFonts w:hint="eastAsia" w:ascii="宋体" w:hAnsi="宋体" w:eastAsia="宋体" w:cs="宋体"/>
                <w:sz w:val="24"/>
                <w:highlight w:val="none"/>
                <w:lang w:eastAsia="zh-CN"/>
              </w:rPr>
              <w:t>。</w:t>
            </w:r>
            <w:r>
              <w:rPr>
                <w:rFonts w:hint="eastAsia" w:ascii="宋体" w:hAnsi="宋体" w:eastAsia="宋体" w:cs="宋体"/>
                <w:sz w:val="24"/>
                <w:highlight w:val="none"/>
              </w:rPr>
              <w:t xml:space="preserve"> </w:t>
            </w:r>
          </w:p>
        </w:tc>
      </w:tr>
      <w:tr w14:paraId="2DAD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881" w:type="dxa"/>
            <w:tcBorders>
              <w:top w:val="single" w:color="auto" w:sz="4" w:space="0"/>
              <w:left w:val="single" w:color="auto" w:sz="4" w:space="0"/>
              <w:bottom w:val="single" w:color="auto" w:sz="4" w:space="0"/>
              <w:right w:val="single" w:color="auto" w:sz="4" w:space="0"/>
            </w:tcBorders>
            <w:noWrap w:val="0"/>
            <w:vAlign w:val="center"/>
          </w:tcPr>
          <w:p w14:paraId="1DA716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45</w:t>
            </w:r>
          </w:p>
        </w:tc>
        <w:tc>
          <w:tcPr>
            <w:tcW w:w="2173" w:type="dxa"/>
            <w:tcBorders>
              <w:top w:val="single" w:color="auto" w:sz="4" w:space="0"/>
              <w:left w:val="nil"/>
              <w:bottom w:val="single" w:color="auto" w:sz="4" w:space="0"/>
              <w:right w:val="single" w:color="auto" w:sz="4" w:space="0"/>
            </w:tcBorders>
            <w:noWrap w:val="0"/>
            <w:vAlign w:val="center"/>
          </w:tcPr>
          <w:p w14:paraId="214032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 w:val="24"/>
                <w:highlight w:val="none"/>
              </w:rPr>
            </w:pPr>
            <w:r>
              <w:rPr>
                <w:rFonts w:hint="eastAsia" w:ascii="宋体" w:hAnsi="宋体" w:eastAsia="宋体" w:cs="宋体"/>
                <w:sz w:val="24"/>
                <w:szCs w:val="24"/>
                <w:highlight w:val="none"/>
              </w:rPr>
              <w:t>电子化交易注意事项</w:t>
            </w:r>
          </w:p>
        </w:tc>
        <w:tc>
          <w:tcPr>
            <w:tcW w:w="5964" w:type="dxa"/>
            <w:tcBorders>
              <w:top w:val="single" w:color="auto" w:sz="4" w:space="0"/>
              <w:left w:val="nil"/>
              <w:bottom w:val="single" w:color="auto" w:sz="4" w:space="0"/>
              <w:right w:val="single" w:color="auto" w:sz="4" w:space="0"/>
            </w:tcBorders>
            <w:noWrap w:val="0"/>
            <w:vAlign w:val="center"/>
          </w:tcPr>
          <w:p w14:paraId="25F0C4B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具体要求：本项目为电子化、无纸化交易项目，</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通过中心磋商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制作系统制作，并经过签章和加密后生成的电子版磋商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w:t>
            </w:r>
          </w:p>
          <w:p w14:paraId="0A7406D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一、电子化投标</w:t>
            </w:r>
          </w:p>
          <w:p w14:paraId="7147136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（一）网上磋商保证金的缴纳</w:t>
            </w:r>
          </w:p>
          <w:p w14:paraId="15D1C3C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本项目不收取磋商保证金。</w:t>
            </w:r>
          </w:p>
          <w:p w14:paraId="3E92925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（二）电子化</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的签章</w:t>
            </w:r>
          </w:p>
          <w:p w14:paraId="3F8BDE3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在生成电子化磋商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后，应对电子化磋商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进行签章，未进行签章的视为无效投标。</w:t>
            </w:r>
          </w:p>
          <w:p w14:paraId="7758F7F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b/>
                <w:color w:val="auto"/>
                <w:sz w:val="24"/>
                <w:highlight w:val="none"/>
              </w:rPr>
              <w:t>竞争性磋商文件中要求磋商响应</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盖章的，以签</w:t>
            </w:r>
            <w:r>
              <w:rPr>
                <w:rFonts w:hint="eastAsia" w:ascii="宋体" w:hAnsi="宋体" w:eastAsia="宋体" w:cs="宋体"/>
                <w:b/>
                <w:color w:val="auto"/>
                <w:sz w:val="24"/>
                <w:highlight w:val="none"/>
                <w:lang w:eastAsia="zh-CN"/>
              </w:rPr>
              <w:t>公章电子签章</w:t>
            </w:r>
            <w:r>
              <w:rPr>
                <w:rFonts w:hint="eastAsia" w:ascii="宋体" w:hAnsi="宋体" w:eastAsia="宋体" w:cs="宋体"/>
                <w:b/>
                <w:color w:val="auto"/>
                <w:sz w:val="24"/>
                <w:highlight w:val="none"/>
              </w:rPr>
              <w:t>为准；要求法定代表人或授权代理人签章的，以签盖法定代表人签章为准</w:t>
            </w:r>
            <w:r>
              <w:rPr>
                <w:rFonts w:hint="eastAsia" w:ascii="宋体" w:hAnsi="宋体" w:eastAsia="宋体" w:cs="宋体"/>
                <w:color w:val="auto"/>
                <w:sz w:val="24"/>
                <w:highlight w:val="none"/>
              </w:rPr>
              <w:t>。</w:t>
            </w:r>
          </w:p>
          <w:p w14:paraId="1ADABDD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（三）电子化磋商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的格式及上传</w:t>
            </w:r>
          </w:p>
          <w:p w14:paraId="63FEF85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所上传的电子化磋商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，应是通过中心</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制作系统制作的（</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制作工具下载地址：</w:t>
            </w:r>
            <w:r>
              <w:rPr>
                <w:rFonts w:hint="eastAsia" w:ascii="宋体" w:hAnsi="宋体" w:eastAsia="宋体" w:cs="宋体"/>
                <w:color w:val="auto"/>
                <w:sz w:val="24"/>
                <w:szCs w:val="24"/>
                <w:highlight w:val="none"/>
              </w:rPr>
              <w:t>https://download.bqpoint.com/download/downloaddetail.html?SourceFrom=Ztb&amp;ZtbSoftXiaQuCode=1506&amp;ZtbSoftType=tballinclusive</w:t>
            </w:r>
            <w:r>
              <w:rPr>
                <w:rFonts w:hint="eastAsia" w:ascii="宋体" w:hAnsi="宋体" w:eastAsia="宋体" w:cs="宋体"/>
                <w:color w:val="auto"/>
                <w:sz w:val="24"/>
                <w:highlight w:val="none"/>
              </w:rPr>
              <w:t>），经过签章和加密后生成的电子版磋商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。其中包含用于磋商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上传的主文件（后缀为.smxtf）和用于应急补救的磋商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备份文件（后缀为.nsmxtf）。备份文件主要用于电子化开标出现技术问题后的补救。</w:t>
            </w:r>
          </w:p>
          <w:p w14:paraId="101B7E2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具体制作教材请</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点击以下链接学习http://gzjy.smx.gov.cn/SMX/InformationCenter/NewsDetail.do?CID=fdd6c8fc-bb0a-4c07-8715-d29609fc7a80&amp;ID=3061a14f-cf3f-4cdd-aad4-7e2873151413</w:t>
            </w:r>
          </w:p>
          <w:p w14:paraId="6E0496A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投报多个标段的，需要每个标段单独制作电子磋商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w:t>
            </w:r>
          </w:p>
          <w:p w14:paraId="4208580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应在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时间前成功上传至三门峡市公共资源电子化交易系统。至</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时间止，仍未上传成功的电子化磋商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w:t>
            </w:r>
          </w:p>
          <w:p w14:paraId="154AF2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rPr>
              <w:t>注：</w:t>
            </w:r>
            <w:r>
              <w:rPr>
                <w:rFonts w:hint="eastAsia" w:ascii="宋体" w:hAnsi="宋体" w:eastAsia="宋体" w:cs="宋体"/>
                <w:color w:val="auto"/>
                <w:sz w:val="24"/>
                <w:highlight w:val="none"/>
              </w:rPr>
              <w:t>如按照电子化投标操作教材制作完成的电子化磋商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无法上传的，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时间前尽早的</w:t>
            </w:r>
            <w:r>
              <w:rPr>
                <w:rFonts w:hint="eastAsia" w:ascii="宋体" w:hAnsi="宋体" w:eastAsia="宋体" w:cs="宋体"/>
                <w:color w:val="auto"/>
                <w:sz w:val="24"/>
                <w:highlight w:val="none"/>
              </w:rPr>
              <w:t>联系中心技术人员，以便有充分的时间进行处理。</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应充分考虑到处理技术问题和上传数据等工作所需的时间问题，磋商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未在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时间前成功上传的，其磋商</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w:t>
            </w:r>
          </w:p>
          <w:p w14:paraId="7F4642C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技术联系电话：0398-3117871</w:t>
            </w:r>
          </w:p>
          <w:p w14:paraId="0150B31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新点客服电话：4009980000</w:t>
            </w:r>
          </w:p>
          <w:p w14:paraId="1F05ADF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（四）电子化项目开标、解密、唱标、</w:t>
            </w:r>
            <w:r>
              <w:rPr>
                <w:rFonts w:hint="eastAsia" w:ascii="宋体" w:hAnsi="宋体" w:eastAsia="宋体" w:cs="宋体"/>
                <w:color w:val="auto"/>
                <w:sz w:val="24"/>
                <w:highlight w:val="none"/>
                <w:lang w:eastAsia="zh-CN"/>
              </w:rPr>
              <w:t>评审</w:t>
            </w:r>
          </w:p>
          <w:p w14:paraId="08BCE87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1、本项目采用</w:t>
            </w:r>
            <w:r>
              <w:rPr>
                <w:rFonts w:hint="eastAsia" w:ascii="宋体" w:hAnsi="宋体" w:eastAsia="宋体" w:cs="宋体"/>
                <w:b/>
                <w:color w:val="auto"/>
                <w:sz w:val="24"/>
                <w:highlight w:val="none"/>
              </w:rPr>
              <w:t>电子化、无纸化</w:t>
            </w:r>
            <w:r>
              <w:rPr>
                <w:rFonts w:hint="eastAsia" w:ascii="宋体" w:hAnsi="宋体" w:eastAsia="宋体" w:cs="宋体"/>
                <w:color w:val="auto"/>
                <w:sz w:val="24"/>
                <w:highlight w:val="none"/>
              </w:rPr>
              <w:t>进行</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当日，</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无需到现场参加</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会议，</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应当在</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时间前，登陆不见面开标大厅选择登陆三门峡市公共资源电子招投标系统进行登陆（网址为</w:t>
            </w:r>
            <w:r>
              <w:rPr>
                <w:rFonts w:hint="eastAsia" w:ascii="宋体" w:hAnsi="宋体" w:eastAsia="宋体" w:cs="宋体"/>
                <w:color w:val="auto"/>
                <w:sz w:val="24"/>
                <w:szCs w:val="24"/>
                <w:highlight w:val="none"/>
              </w:rPr>
              <w:t>http://120.194.249.36:10094/BidOpening/bidopeninghallaction/hall/login</w:t>
            </w:r>
            <w:r>
              <w:rPr>
                <w:rFonts w:hint="eastAsia" w:ascii="宋体" w:hAnsi="宋体" w:eastAsia="宋体" w:cs="宋体"/>
                <w:color w:val="auto"/>
                <w:sz w:val="24"/>
                <w:highlight w:val="none"/>
              </w:rPr>
              <w:t>）,在线准时参加开标活动并进行磋商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解密等。</w:t>
            </w:r>
          </w:p>
          <w:p w14:paraId="6D9C253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采用一次加密方式。开标时，由</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使用CA 证书，在规定时间内对其电子化磋商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进行解密。每位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的解密时间为开标时间起30 分钟内，如在规定时间内未完成解密的，其磋商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不予开标、唱标。</w:t>
            </w:r>
          </w:p>
          <w:p w14:paraId="361F65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color w:val="auto"/>
                <w:sz w:val="24"/>
                <w:highlight w:val="none"/>
              </w:rPr>
            </w:pPr>
            <w:r>
              <w:rPr>
                <w:rFonts w:hint="eastAsia" w:ascii="宋体" w:hAnsi="宋体" w:eastAsia="宋体" w:cs="宋体"/>
                <w:color w:val="auto"/>
                <w:sz w:val="24"/>
                <w:highlight w:val="none"/>
              </w:rPr>
              <w:t>3、电子化磋商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解密异常的处理</w:t>
            </w:r>
          </w:p>
          <w:p w14:paraId="3C9BE42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如出现</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的电子磋商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无法解密等异常情况，</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应及时致电中介服务机构说明。磋商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异常，按以下步骤进行处理：</w:t>
            </w:r>
          </w:p>
          <w:p w14:paraId="0E74335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（1）首先由技术人员进行问题排查。</w:t>
            </w:r>
          </w:p>
          <w:p w14:paraId="5C6A067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（2）经技术人员排查后，是</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文件自身问题导致磋商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无法解密的，该磋商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将不予接收、解密和唱标。开标会议继续进行。</w:t>
            </w:r>
          </w:p>
          <w:p w14:paraId="0D6C1DD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（3）经技术人员排查后，如果是电子化交易系统问题造成磋商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无法解密的，将由技术人员对问题进行处理。如短时间内问题无法解决的，将由中介服务机构向监督部门申请，经监督部门同意后，暂停开标会议，待问题解决后继续开标。</w:t>
            </w:r>
          </w:p>
          <w:p w14:paraId="0878B91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4、待所有</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解密完成后，由中介服务机构操作，对所有已解密磋商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进行唱标。</w:t>
            </w:r>
          </w:p>
          <w:p w14:paraId="10FB1E1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应保证在</w:t>
            </w:r>
            <w:r>
              <w:rPr>
                <w:rFonts w:hint="eastAsia" w:ascii="宋体" w:hAnsi="宋体" w:eastAsia="宋体" w:cs="宋体"/>
                <w:b/>
                <w:color w:val="auto"/>
                <w:sz w:val="24"/>
                <w:highlight w:val="none"/>
                <w:lang w:eastAsia="zh-CN"/>
              </w:rPr>
              <w:t>磋商</w:t>
            </w:r>
            <w:r>
              <w:rPr>
                <w:rFonts w:hint="eastAsia" w:ascii="宋体" w:hAnsi="宋体" w:eastAsia="宋体" w:cs="宋体"/>
                <w:b/>
                <w:color w:val="auto"/>
                <w:sz w:val="24"/>
                <w:highlight w:val="none"/>
              </w:rPr>
              <w:t>期间电话、电脑、网络能够正常工作，</w:t>
            </w:r>
            <w:r>
              <w:rPr>
                <w:rFonts w:hint="eastAsia" w:ascii="宋体" w:hAnsi="宋体" w:eastAsia="宋体" w:cs="宋体"/>
                <w:b/>
                <w:color w:val="auto"/>
                <w:sz w:val="24"/>
                <w:highlight w:val="none"/>
                <w:lang w:eastAsia="zh-CN"/>
              </w:rPr>
              <w:t>投标人</w:t>
            </w:r>
            <w:r>
              <w:rPr>
                <w:rFonts w:hint="eastAsia" w:ascii="宋体" w:hAnsi="宋体" w:eastAsia="宋体" w:cs="宋体"/>
                <w:b/>
                <w:color w:val="auto"/>
                <w:sz w:val="24"/>
                <w:highlight w:val="none"/>
              </w:rPr>
              <w:t>因停电、电脑病毒、网络堵塞等原因，未在规定的解密时间内对</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进行解密的，其</w:t>
            </w:r>
            <w:r>
              <w:rPr>
                <w:rFonts w:hint="eastAsia" w:ascii="宋体" w:hAnsi="宋体" w:eastAsia="宋体" w:cs="宋体"/>
                <w:b/>
                <w:color w:val="auto"/>
                <w:sz w:val="24"/>
                <w:highlight w:val="none"/>
                <w:lang w:eastAsia="zh-CN"/>
              </w:rPr>
              <w:t>投标文件</w:t>
            </w:r>
            <w:r>
              <w:rPr>
                <w:rFonts w:hint="eastAsia" w:ascii="宋体" w:hAnsi="宋体" w:eastAsia="宋体" w:cs="宋体"/>
                <w:b/>
                <w:color w:val="auto"/>
                <w:sz w:val="24"/>
                <w:highlight w:val="none"/>
              </w:rPr>
              <w:t>不予接收、唱标。</w:t>
            </w:r>
          </w:p>
          <w:p w14:paraId="0DD8EC3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可登录到交易系统中在开标解密栏中点击报价一览表查看自己的</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报价。如对自己的唱标内容有异议的，应在</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解密成功后10分钟内向中介服务机构电话质疑。中介服务机构应在监督人员的监督下进行免提通话接受</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的质疑并做好书面记录。</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未在规定时间内提出质疑的，视为认可唱标内容。</w:t>
            </w:r>
          </w:p>
          <w:p w14:paraId="1605F7B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r>
              <w:rPr>
                <w:rFonts w:hint="eastAsia" w:ascii="宋体" w:hAnsi="宋体" w:eastAsia="宋体" w:cs="宋体"/>
                <w:color w:val="auto"/>
                <w:sz w:val="24"/>
                <w:highlight w:val="none"/>
                <w:lang w:eastAsia="zh-CN"/>
              </w:rPr>
              <w:t>评审</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对电子化磋商</w:t>
            </w:r>
            <w:r>
              <w:rPr>
                <w:rFonts w:hint="eastAsia" w:ascii="宋体" w:hAnsi="宋体" w:eastAsia="宋体" w:cs="宋体"/>
                <w:color w:val="auto"/>
                <w:sz w:val="24"/>
                <w:highlight w:val="none"/>
                <w:lang w:eastAsia="zh-CN"/>
              </w:rPr>
              <w:t>投标文件</w:t>
            </w:r>
            <w:r>
              <w:rPr>
                <w:rFonts w:hint="eastAsia" w:ascii="宋体" w:hAnsi="宋体" w:eastAsia="宋体" w:cs="宋体"/>
                <w:color w:val="auto"/>
                <w:sz w:val="24"/>
                <w:highlight w:val="none"/>
              </w:rPr>
              <w:t>有质疑的，将通过电子化交易系统对</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发起质疑，并在监督人员的监督下，用免提模式致电需要答复的</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对质疑进行回复。</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的回复文件必须以经过</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和其法定代表人签章的PDF格式文件为准，并通过电子化交易系统提交至</w:t>
            </w:r>
            <w:r>
              <w:rPr>
                <w:rFonts w:hint="eastAsia" w:ascii="宋体" w:hAnsi="宋体" w:eastAsia="宋体" w:cs="宋体"/>
                <w:color w:val="auto"/>
                <w:sz w:val="24"/>
                <w:highlight w:val="none"/>
                <w:lang w:eastAsia="zh-CN"/>
              </w:rPr>
              <w:t>磋商小组</w:t>
            </w:r>
            <w:r>
              <w:rPr>
                <w:rFonts w:hint="eastAsia" w:ascii="宋体" w:hAnsi="宋体" w:eastAsia="宋体" w:cs="宋体"/>
                <w:color w:val="auto"/>
                <w:sz w:val="24"/>
                <w:highlight w:val="none"/>
              </w:rPr>
              <w:t>。</w:t>
            </w:r>
          </w:p>
          <w:p w14:paraId="1C9BC8D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olor w:val="auto"/>
                <w:sz w:val="24"/>
                <w:highlight w:val="none"/>
              </w:rPr>
            </w:pPr>
            <w:r>
              <w:rPr>
                <w:rFonts w:hint="eastAsia" w:ascii="宋体" w:hAnsi="宋体" w:eastAsia="宋体" w:cs="宋体"/>
                <w:color w:val="auto"/>
                <w:sz w:val="24"/>
                <w:highlight w:val="none"/>
              </w:rPr>
              <w:t>7、如</w:t>
            </w:r>
            <w:r>
              <w:rPr>
                <w:rFonts w:hint="eastAsia" w:ascii="宋体" w:hAnsi="宋体" w:eastAsia="宋体" w:cs="宋体"/>
                <w:color w:val="auto"/>
                <w:sz w:val="24"/>
                <w:highlight w:val="none"/>
                <w:lang w:eastAsia="zh-CN"/>
              </w:rPr>
              <w:t>磋商</w:t>
            </w:r>
            <w:r>
              <w:rPr>
                <w:rFonts w:hint="eastAsia" w:ascii="宋体" w:hAnsi="宋体" w:eastAsia="宋体" w:cs="宋体"/>
                <w:b w:val="0"/>
                <w:bCs w:val="0"/>
                <w:color w:val="auto"/>
                <w:sz w:val="24"/>
                <w:highlight w:val="none"/>
                <w:lang w:eastAsia="zh-CN"/>
              </w:rPr>
              <w:t>小组</w:t>
            </w:r>
            <w:r>
              <w:rPr>
                <w:rFonts w:hint="eastAsia" w:ascii="宋体" w:hAnsi="宋体" w:eastAsia="宋体" w:cs="宋体"/>
                <w:b w:val="0"/>
                <w:bCs w:val="0"/>
                <w:color w:val="auto"/>
                <w:sz w:val="24"/>
                <w:highlight w:val="none"/>
              </w:rPr>
              <w:t>对需要回复的</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连续三次致电未接通的，视为</w:t>
            </w:r>
            <w:r>
              <w:rPr>
                <w:rFonts w:hint="eastAsia" w:ascii="宋体" w:hAnsi="宋体" w:eastAsia="宋体" w:cs="宋体"/>
                <w:b w:val="0"/>
                <w:bCs w:val="0"/>
                <w:color w:val="auto"/>
                <w:sz w:val="24"/>
                <w:highlight w:val="none"/>
                <w:lang w:eastAsia="zh-CN"/>
              </w:rPr>
              <w:t>投标人</w:t>
            </w:r>
            <w:r>
              <w:rPr>
                <w:rFonts w:hint="eastAsia" w:ascii="宋体" w:hAnsi="宋体" w:eastAsia="宋体" w:cs="宋体"/>
                <w:b w:val="0"/>
                <w:bCs w:val="0"/>
                <w:color w:val="auto"/>
                <w:sz w:val="24"/>
                <w:highlight w:val="none"/>
              </w:rPr>
              <w:t>放弃回复，</w:t>
            </w:r>
            <w:r>
              <w:rPr>
                <w:rFonts w:hint="eastAsia" w:ascii="宋体" w:hAnsi="宋体" w:eastAsia="宋体" w:cs="宋体"/>
                <w:b w:val="0"/>
                <w:bCs w:val="0"/>
                <w:color w:val="auto"/>
                <w:sz w:val="24"/>
                <w:highlight w:val="none"/>
                <w:lang w:eastAsia="zh-CN"/>
              </w:rPr>
              <w:t>磋商小组</w:t>
            </w:r>
            <w:r>
              <w:rPr>
                <w:rFonts w:hint="eastAsia" w:ascii="宋体" w:hAnsi="宋体" w:eastAsia="宋体" w:cs="宋体"/>
                <w:b w:val="0"/>
                <w:bCs w:val="0"/>
                <w:color w:val="auto"/>
                <w:sz w:val="24"/>
                <w:highlight w:val="none"/>
              </w:rPr>
              <w:t>将自行对需要回复的内容进行认定。</w:t>
            </w:r>
          </w:p>
          <w:p w14:paraId="2D92C4E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rPr>
              <w:t>二、相关内容</w:t>
            </w:r>
          </w:p>
          <w:p w14:paraId="7271BBB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本项目实行资格后审，竞争性磋商文件中要求</w:t>
            </w:r>
            <w:r>
              <w:rPr>
                <w:rFonts w:hint="eastAsia" w:ascii="宋体" w:hAnsi="宋体" w:eastAsia="宋体" w:cs="宋体"/>
                <w:b w:val="0"/>
                <w:bCs w:val="0"/>
                <w:sz w:val="24"/>
                <w:highlight w:val="none"/>
                <w:lang w:eastAsia="zh-CN"/>
              </w:rPr>
              <w:t>投标人</w:t>
            </w:r>
            <w:r>
              <w:rPr>
                <w:rFonts w:hint="eastAsia" w:ascii="宋体" w:hAnsi="宋体" w:eastAsia="宋体" w:cs="宋体"/>
                <w:b w:val="0"/>
                <w:bCs w:val="0"/>
                <w:sz w:val="24"/>
                <w:highlight w:val="none"/>
              </w:rPr>
              <w:t>提交相关资料原件的，根据优化营商环境的要求，评标时以投标文件为准：</w:t>
            </w:r>
          </w:p>
          <w:p w14:paraId="5981CF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1、资格评（预）审部分：资格评（预）以投标文件为准，其上传资料真实性由投标人自行承担，</w:t>
            </w:r>
            <w:r>
              <w:rPr>
                <w:rFonts w:hint="eastAsia" w:ascii="宋体" w:hAnsi="宋体" w:eastAsia="宋体" w:cs="宋体"/>
                <w:b w:val="0"/>
                <w:bCs w:val="0"/>
                <w:sz w:val="24"/>
                <w:highlight w:val="none"/>
              </w:rPr>
              <w:br w:type="textWrapping"/>
            </w:r>
            <w:r>
              <w:rPr>
                <w:rFonts w:hint="eastAsia" w:ascii="宋体" w:hAnsi="宋体" w:eastAsia="宋体" w:cs="宋体"/>
                <w:b w:val="0"/>
                <w:bCs w:val="0"/>
                <w:sz w:val="24"/>
                <w:highlight w:val="none"/>
              </w:rPr>
              <w:t>2、评标打分部分：评标打分部分仍按照100分制原则进行，涉及到资格审查、企业荣誉、人员业绩、企业业绩等计分部分时，以投标单位自行上传到投标文件中的相应内容为准。</w:t>
            </w:r>
            <w:r>
              <w:rPr>
                <w:rFonts w:hint="eastAsia" w:ascii="宋体" w:hAnsi="宋体" w:eastAsia="宋体" w:cs="宋体"/>
                <w:b w:val="0"/>
                <w:bCs w:val="0"/>
                <w:sz w:val="24"/>
                <w:highlight w:val="none"/>
              </w:rPr>
              <w:br w:type="textWrapping"/>
            </w:r>
            <w:r>
              <w:rPr>
                <w:rFonts w:hint="eastAsia" w:ascii="宋体" w:hAnsi="宋体" w:eastAsia="宋体" w:cs="宋体"/>
                <w:b w:val="0"/>
                <w:bCs w:val="0"/>
                <w:sz w:val="24"/>
                <w:highlight w:val="none"/>
              </w:rPr>
              <w:t>3、投标文件编制部分：在招标文件中要求投标人按照投标文件格式进行投标文件编制，在投标文件编制时，应明确将投标单位企业基本情况、资质情况、人员情况、财务情况、业绩情况编入投标文件，便于进行资格审查及评标打分。</w:t>
            </w:r>
          </w:p>
          <w:p w14:paraId="3E2191F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sz w:val="24"/>
                <w:highlight w:val="none"/>
              </w:rPr>
            </w:pPr>
            <w:r>
              <w:rPr>
                <w:rFonts w:hint="eastAsia" w:ascii="宋体" w:hAnsi="宋体" w:eastAsia="宋体" w:cs="宋体"/>
                <w:b w:val="0"/>
                <w:bCs w:val="0"/>
                <w:sz w:val="24"/>
                <w:highlight w:val="none"/>
              </w:rPr>
              <w:t>提示：本项目为电子化、无纸化交易项目，为保证您能投标成功，请需仔细阅读以上条款。</w:t>
            </w:r>
          </w:p>
          <w:p w14:paraId="632D576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highlight w:val="none"/>
              </w:rPr>
            </w:pPr>
            <w:r>
              <w:rPr>
                <w:rFonts w:hint="eastAsia" w:ascii="宋体" w:hAnsi="宋体" w:eastAsia="宋体" w:cs="宋体"/>
                <w:b w:val="0"/>
                <w:bCs w:val="0"/>
                <w:sz w:val="24"/>
                <w:highlight w:val="none"/>
              </w:rPr>
              <w:t>注：以投标文件业绩信息为准，可使用电子营业执照。</w:t>
            </w:r>
          </w:p>
        </w:tc>
      </w:tr>
    </w:tbl>
    <w:p w14:paraId="76B921B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br w:type="page"/>
      </w:r>
    </w:p>
    <w:p w14:paraId="2C06A0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bookmarkStart w:id="7" w:name="_Toc530663964"/>
      <w:bookmarkEnd w:id="7"/>
      <w:bookmarkStart w:id="8" w:name="_Toc531936156"/>
      <w:bookmarkEnd w:id="8"/>
      <w:bookmarkStart w:id="9" w:name="_Toc530665467"/>
      <w:bookmarkEnd w:id="9"/>
      <w:bookmarkStart w:id="10" w:name="_Toc530664120"/>
      <w:r>
        <w:rPr>
          <w:rFonts w:hint="eastAsia" w:ascii="宋体" w:hAnsi="宋体" w:eastAsia="宋体" w:cs="宋体"/>
          <w:b/>
          <w:bCs/>
          <w:kern w:val="0"/>
          <w:sz w:val="24"/>
          <w:szCs w:val="24"/>
          <w:highlight w:val="none"/>
        </w:rPr>
        <w:t>1.总则</w:t>
      </w:r>
    </w:p>
    <w:p w14:paraId="31ED67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1.1项目概况</w:t>
      </w:r>
    </w:p>
    <w:p w14:paraId="5132FB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 根据《中华人民共和国政府采购法》《政府采购竞争性磋商采购方式管理暂行办法》 等有关法律、法规和规章的规定，本项目已具备磋商条件，现对本项目进行竞争性磋商。</w:t>
      </w:r>
    </w:p>
    <w:p w14:paraId="1BCD43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rPr>
      </w:pPr>
      <w:bookmarkStart w:id="11" w:name="_Toc296602420"/>
      <w:bookmarkStart w:id="12" w:name="_Toc152042305"/>
      <w:bookmarkStart w:id="13" w:name="_Toc246996175"/>
      <w:bookmarkStart w:id="14" w:name="_Toc152045529"/>
      <w:bookmarkStart w:id="15" w:name="_Toc179632546"/>
      <w:bookmarkStart w:id="16" w:name="_Toc246996918"/>
      <w:bookmarkStart w:id="17" w:name="_Toc144974497"/>
      <w:bookmarkStart w:id="18" w:name="_Toc247085689"/>
      <w:r>
        <w:rPr>
          <w:rFonts w:hint="eastAsia" w:ascii="宋体" w:hAnsi="宋体" w:eastAsia="宋体" w:cs="宋体"/>
          <w:b/>
          <w:bCs/>
          <w:kern w:val="28"/>
          <w:sz w:val="24"/>
          <w:szCs w:val="24"/>
          <w:highlight w:val="none"/>
        </w:rPr>
        <w:t>1. 总则</w:t>
      </w:r>
      <w:bookmarkEnd w:id="11"/>
      <w:bookmarkEnd w:id="12"/>
      <w:bookmarkEnd w:id="13"/>
      <w:bookmarkEnd w:id="14"/>
      <w:bookmarkEnd w:id="15"/>
      <w:bookmarkEnd w:id="16"/>
      <w:bookmarkEnd w:id="17"/>
      <w:bookmarkEnd w:id="18"/>
    </w:p>
    <w:p w14:paraId="6DB3C587">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9" w:name="_Toc77586913"/>
      <w:bookmarkStart w:id="20" w:name="_Toc152042306"/>
      <w:bookmarkStart w:id="21" w:name="_Toc246996176"/>
      <w:bookmarkStart w:id="22" w:name="_Toc144974498"/>
      <w:bookmarkStart w:id="23" w:name="_Toc246996919"/>
      <w:bookmarkStart w:id="24" w:name="_Toc247085690"/>
      <w:bookmarkStart w:id="25" w:name="_Toc77586820"/>
      <w:bookmarkStart w:id="26" w:name="_Toc179632547"/>
      <w:bookmarkStart w:id="27" w:name="_Toc296602421"/>
      <w:bookmarkStart w:id="28" w:name="_Toc152045530"/>
      <w:r>
        <w:rPr>
          <w:rFonts w:hint="eastAsia" w:ascii="宋体" w:hAnsi="宋体" w:eastAsia="宋体" w:cs="宋体"/>
          <w:sz w:val="24"/>
          <w:szCs w:val="24"/>
          <w:highlight w:val="none"/>
        </w:rPr>
        <w:t>1.1 项目概况</w:t>
      </w:r>
      <w:bookmarkEnd w:id="19"/>
      <w:bookmarkEnd w:id="20"/>
      <w:bookmarkEnd w:id="21"/>
      <w:bookmarkEnd w:id="22"/>
      <w:bookmarkEnd w:id="23"/>
      <w:bookmarkEnd w:id="24"/>
      <w:bookmarkEnd w:id="25"/>
      <w:bookmarkEnd w:id="26"/>
      <w:bookmarkEnd w:id="27"/>
      <w:bookmarkEnd w:id="28"/>
    </w:p>
    <w:p w14:paraId="28535B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1.1.1根据《政府采购竞争性磋商采购方式管理暂行办法》等有关法律、法规和规章的规定，本磋商项目已具备磋商条件，现对本项目施工进行竞争性磋商。</w:t>
      </w:r>
    </w:p>
    <w:p w14:paraId="657566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 本磋商项目</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6ADC5E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1.1.3 本磋商项目招标代理机构：见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2885AD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1.1.4 本磋商项目名称：见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7BBE78A0">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bookmarkStart w:id="29" w:name="_Toc144974499"/>
      <w:bookmarkStart w:id="30" w:name="_Toc179632548"/>
      <w:bookmarkStart w:id="31" w:name="_Toc246996920"/>
      <w:bookmarkStart w:id="32" w:name="_Toc77586914"/>
      <w:bookmarkStart w:id="33" w:name="_Toc247085691"/>
      <w:bookmarkStart w:id="34" w:name="_Toc246996177"/>
      <w:bookmarkStart w:id="35" w:name="_Toc77586821"/>
      <w:bookmarkStart w:id="36" w:name="_Toc296602422"/>
      <w:bookmarkStart w:id="37" w:name="_Toc152045531"/>
      <w:bookmarkStart w:id="38" w:name="_Toc152042307"/>
      <w:r>
        <w:rPr>
          <w:rFonts w:hint="eastAsia" w:ascii="宋体" w:hAnsi="宋体" w:eastAsia="宋体" w:cs="宋体"/>
          <w:sz w:val="24"/>
          <w:szCs w:val="24"/>
          <w:highlight w:val="none"/>
        </w:rPr>
        <w:t>1.2 资金来源和落实情况</w:t>
      </w:r>
      <w:bookmarkEnd w:id="29"/>
      <w:bookmarkEnd w:id="30"/>
      <w:bookmarkEnd w:id="31"/>
      <w:bookmarkEnd w:id="32"/>
      <w:bookmarkEnd w:id="33"/>
      <w:bookmarkEnd w:id="34"/>
      <w:bookmarkEnd w:id="35"/>
      <w:bookmarkEnd w:id="36"/>
      <w:bookmarkEnd w:id="37"/>
      <w:bookmarkEnd w:id="38"/>
      <w:r>
        <w:rPr>
          <w:rFonts w:hint="eastAsia" w:ascii="宋体" w:hAnsi="宋体" w:eastAsia="宋体" w:cs="宋体"/>
          <w:sz w:val="24"/>
          <w:szCs w:val="24"/>
          <w:highlight w:val="none"/>
          <w:lang w:val="en-US" w:eastAsia="zh-CN"/>
        </w:rPr>
        <w:t xml:space="preserve"> +  </w:t>
      </w:r>
    </w:p>
    <w:p w14:paraId="474FED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 本磋商项目的资金来源及出资比例：见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6C730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1.2.2 本磋商项目的资金落实情况：见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51EEC68">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9" w:name="_Toc246996178"/>
      <w:bookmarkStart w:id="40" w:name="_Toc77586822"/>
      <w:bookmarkStart w:id="41" w:name="_Toc152045532"/>
      <w:bookmarkStart w:id="42" w:name="_Toc247085692"/>
      <w:bookmarkStart w:id="43" w:name="_Toc77586915"/>
      <w:bookmarkStart w:id="44" w:name="_Toc144974500"/>
      <w:bookmarkStart w:id="45" w:name="_Toc152042308"/>
      <w:bookmarkStart w:id="46" w:name="_Toc296602423"/>
      <w:bookmarkStart w:id="47" w:name="_Toc179632549"/>
      <w:bookmarkStart w:id="48" w:name="_Toc246996921"/>
      <w:r>
        <w:rPr>
          <w:rFonts w:hint="eastAsia" w:ascii="宋体" w:hAnsi="宋体" w:eastAsia="宋体" w:cs="宋体"/>
          <w:sz w:val="24"/>
          <w:szCs w:val="24"/>
          <w:highlight w:val="none"/>
        </w:rPr>
        <w:t>1.3 磋商范围、工期、质量要求</w:t>
      </w:r>
      <w:bookmarkEnd w:id="39"/>
      <w:bookmarkEnd w:id="40"/>
      <w:bookmarkEnd w:id="41"/>
      <w:bookmarkEnd w:id="42"/>
      <w:bookmarkEnd w:id="43"/>
      <w:bookmarkEnd w:id="44"/>
      <w:bookmarkEnd w:id="45"/>
      <w:bookmarkEnd w:id="46"/>
      <w:bookmarkEnd w:id="47"/>
      <w:bookmarkEnd w:id="48"/>
    </w:p>
    <w:p w14:paraId="307CCC3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 本次磋商范围：见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37B1B6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1.3.2 本磋商项目的工期：见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41EF457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1.3.3 本磋商项目的质量要求：见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1BEC41BD">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49" w:name="_Toc77586916"/>
      <w:bookmarkStart w:id="50" w:name="_Toc179632551"/>
      <w:bookmarkStart w:id="51" w:name="_Toc152042310"/>
      <w:bookmarkStart w:id="52" w:name="_Toc246996179"/>
      <w:bookmarkStart w:id="53" w:name="_Toc246996922"/>
      <w:bookmarkStart w:id="54" w:name="_Toc247085693"/>
      <w:bookmarkStart w:id="55" w:name="_Toc144974502"/>
      <w:bookmarkStart w:id="56" w:name="_Toc152045534"/>
      <w:bookmarkStart w:id="57" w:name="_Toc77586823"/>
      <w:bookmarkStart w:id="58" w:name="_Toc296602424"/>
      <w:r>
        <w:rPr>
          <w:rFonts w:hint="eastAsia" w:ascii="宋体" w:hAnsi="宋体" w:eastAsia="宋体" w:cs="宋体"/>
          <w:sz w:val="24"/>
          <w:szCs w:val="24"/>
          <w:highlight w:val="none"/>
        </w:rPr>
        <w:t xml:space="preserve">1.4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资格要求</w:t>
      </w:r>
      <w:bookmarkEnd w:id="49"/>
      <w:bookmarkEnd w:id="50"/>
      <w:bookmarkEnd w:id="51"/>
      <w:bookmarkEnd w:id="52"/>
      <w:bookmarkEnd w:id="53"/>
      <w:bookmarkEnd w:id="54"/>
      <w:bookmarkEnd w:id="55"/>
      <w:bookmarkEnd w:id="56"/>
      <w:bookmarkEnd w:id="57"/>
      <w:bookmarkEnd w:id="58"/>
    </w:p>
    <w:p w14:paraId="01D4E05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见公告</w:t>
      </w:r>
    </w:p>
    <w:p w14:paraId="122C5DDE">
      <w:pPr>
        <w:pStyle w:val="53"/>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highlight w:val="none"/>
        </w:rPr>
      </w:pPr>
      <w:r>
        <w:rPr>
          <w:rFonts w:hint="eastAsia" w:ascii="宋体" w:hAnsi="宋体" w:eastAsia="宋体" w:cs="宋体"/>
          <w:highlight w:val="none"/>
        </w:rPr>
        <w:t xml:space="preserve">1.4.2 </w:t>
      </w:r>
      <w:r>
        <w:rPr>
          <w:rFonts w:hint="eastAsia" w:ascii="宋体" w:hAnsi="宋体" w:eastAsia="宋体" w:cs="宋体"/>
          <w:highlight w:val="none"/>
          <w:lang w:eastAsia="zh-CN"/>
        </w:rPr>
        <w:t>投标人</w:t>
      </w:r>
      <w:r>
        <w:rPr>
          <w:rFonts w:hint="eastAsia" w:ascii="宋体" w:hAnsi="宋体" w:eastAsia="宋体" w:cs="宋体"/>
          <w:highlight w:val="none"/>
        </w:rPr>
        <w:t>须知规定本磋商项目不接受联合体投标。</w:t>
      </w:r>
    </w:p>
    <w:p w14:paraId="11512D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1.4.3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不得存在下列情形之一：</w:t>
      </w:r>
    </w:p>
    <w:p w14:paraId="16AD94D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（1）为</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不具有独立法人资格的附属机构（单位）；</w:t>
      </w:r>
    </w:p>
    <w:p w14:paraId="2370C0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（2）为本磋商项目前期准备提供设计或咨询服务的； </w:t>
      </w:r>
    </w:p>
    <w:p w14:paraId="09E8AC6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（3）为本磋商项目的监理人；</w:t>
      </w:r>
    </w:p>
    <w:p w14:paraId="437935B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（4）为本磋商项目的代建人； </w:t>
      </w:r>
    </w:p>
    <w:p w14:paraId="0E0C070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（5）为本磋商项目提供招标代理服务的； </w:t>
      </w:r>
    </w:p>
    <w:p w14:paraId="4BDFDC1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（6）与本磋商项目的监理人或代建人或招标代理机构同为一个法定代表人的；</w:t>
      </w:r>
    </w:p>
    <w:p w14:paraId="40F76A7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（7）与本磋商项目的监理人或代建人或招标代理机构相互控股或参股的；</w:t>
      </w:r>
    </w:p>
    <w:p w14:paraId="068B05E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（8）与本磋商项目的监理人或代建人或招标代理机构相互任职或工作的；</w:t>
      </w:r>
    </w:p>
    <w:p w14:paraId="595CA1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（9）被责令停业的； </w:t>
      </w:r>
    </w:p>
    <w:p w14:paraId="724A8D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（10）被暂停或取消投标资格的； </w:t>
      </w:r>
    </w:p>
    <w:p w14:paraId="1877220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（11）财产被接管或冻结的；</w:t>
      </w:r>
    </w:p>
    <w:p w14:paraId="17E5541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（12）在最近三年内有骗取成交或严重违约或重大工程质量问题的。</w:t>
      </w:r>
    </w:p>
    <w:p w14:paraId="22C61C9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（13）单位负责人为同一人或者存在直接控股、管理关系的不同</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，不得参加同一合同项下的政府采购活动。</w:t>
      </w:r>
    </w:p>
    <w:p w14:paraId="7E4DDB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为采购项目提供整体设计、规范编制或者项目管理、监理、检测等服务的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，不得再参加该采购项目的其他采购活动。</w:t>
      </w:r>
    </w:p>
    <w:p w14:paraId="504915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（14）与招标人存在利害关系可能影响招标公正性的法人、其他组织或者个人，不得参加投标。</w:t>
      </w:r>
    </w:p>
    <w:p w14:paraId="7B33624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单位负责人为同一人或者存在控股、管理关系的不同单位，不得参加同一标段投标或者未划分标段的同一招标项目投标。</w:t>
      </w:r>
    </w:p>
    <w:p w14:paraId="055F030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违反前两款规定的，相关投标均无效。</w:t>
      </w:r>
    </w:p>
    <w:p w14:paraId="483680AA">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59" w:name="_Toc77586824"/>
      <w:bookmarkStart w:id="60" w:name="_Toc152045535"/>
      <w:bookmarkStart w:id="61" w:name="_Toc179632552"/>
      <w:bookmarkStart w:id="62" w:name="_Toc144974503"/>
      <w:bookmarkStart w:id="63" w:name="_Toc77586917"/>
      <w:bookmarkStart w:id="64" w:name="_Toc152042311"/>
      <w:r>
        <w:rPr>
          <w:rFonts w:hint="eastAsia" w:ascii="宋体" w:hAnsi="宋体" w:eastAsia="宋体" w:cs="宋体"/>
          <w:sz w:val="24"/>
          <w:szCs w:val="24"/>
          <w:highlight w:val="none"/>
        </w:rPr>
        <w:t>1.5 费用承担</w:t>
      </w:r>
      <w:bookmarkEnd w:id="59"/>
      <w:bookmarkEnd w:id="60"/>
      <w:bookmarkEnd w:id="61"/>
      <w:bookmarkEnd w:id="62"/>
      <w:bookmarkEnd w:id="63"/>
      <w:bookmarkEnd w:id="64"/>
    </w:p>
    <w:p w14:paraId="7EE0D2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准备和参加投标活动发生的费用自理。</w:t>
      </w:r>
    </w:p>
    <w:p w14:paraId="0E1694ED">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65" w:name="_Toc296602426"/>
      <w:bookmarkStart w:id="66" w:name="_Toc179632553"/>
      <w:bookmarkStart w:id="67" w:name="_Toc77586918"/>
      <w:bookmarkStart w:id="68" w:name="_Toc247085695"/>
      <w:bookmarkStart w:id="69" w:name="_Toc144974504"/>
      <w:bookmarkStart w:id="70" w:name="_Toc77586825"/>
      <w:bookmarkStart w:id="71" w:name="_Toc246996181"/>
      <w:bookmarkStart w:id="72" w:name="_Toc246996924"/>
      <w:bookmarkStart w:id="73" w:name="_Toc152045536"/>
      <w:bookmarkStart w:id="74" w:name="_Toc152042312"/>
      <w:r>
        <w:rPr>
          <w:rFonts w:hint="eastAsia" w:ascii="宋体" w:hAnsi="宋体" w:eastAsia="宋体" w:cs="宋体"/>
          <w:sz w:val="24"/>
          <w:szCs w:val="24"/>
          <w:highlight w:val="none"/>
        </w:rPr>
        <w:t>1.6 保密</w:t>
      </w:r>
      <w:bookmarkEnd w:id="65"/>
      <w:bookmarkEnd w:id="66"/>
      <w:bookmarkEnd w:id="67"/>
      <w:bookmarkEnd w:id="68"/>
      <w:bookmarkEnd w:id="69"/>
      <w:bookmarkEnd w:id="70"/>
      <w:bookmarkEnd w:id="71"/>
      <w:bookmarkEnd w:id="72"/>
      <w:bookmarkEnd w:id="73"/>
      <w:bookmarkEnd w:id="74"/>
    </w:p>
    <w:p w14:paraId="1C8D8D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参与招标投标活动的各方应对竞争性磋商文件和磋商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中的商业和技术等秘密保密，违者应对由此造成的后果承担法律责任。 </w:t>
      </w:r>
    </w:p>
    <w:p w14:paraId="0AD3402D">
      <w:pPr>
        <w:pStyle w:val="54"/>
        <w:pageBreakBefore w:val="0"/>
        <w:widowControl w:val="0"/>
        <w:kinsoku/>
        <w:wordWrap/>
        <w:overflowPunct/>
        <w:topLinePunct w:val="0"/>
        <w:autoSpaceDE/>
        <w:autoSpaceDN/>
        <w:bidi w:val="0"/>
        <w:adjustRightInd w:val="0"/>
        <w:snapToGrid w:val="0"/>
        <w:spacing w:before="0" w:beforeAutospacing="0" w:afterAutospacing="0" w:line="360" w:lineRule="auto"/>
        <w:ind w:left="0" w:leftChars="0" w:right="0" w:rightChars="0" w:firstLine="482" w:firstLineChars="200"/>
        <w:textAlignment w:val="auto"/>
        <w:rPr>
          <w:rFonts w:hint="eastAsia" w:ascii="宋体" w:hAnsi="宋体" w:eastAsia="宋体" w:cs="宋体"/>
          <w:b/>
          <w:color w:val="auto"/>
          <w:sz w:val="24"/>
          <w:szCs w:val="24"/>
          <w:highlight w:val="none"/>
        </w:rPr>
      </w:pPr>
      <w:bookmarkStart w:id="75" w:name="_Toc144974505"/>
      <w:bookmarkStart w:id="76" w:name="_Toc246996925"/>
      <w:bookmarkStart w:id="77" w:name="_Toc296602427"/>
      <w:bookmarkStart w:id="78" w:name="_Toc179632554"/>
      <w:bookmarkStart w:id="79" w:name="_Toc246996182"/>
      <w:bookmarkStart w:id="80" w:name="_Toc247085696"/>
      <w:bookmarkStart w:id="81" w:name="_Toc77586919"/>
      <w:bookmarkStart w:id="82" w:name="_Toc152042313"/>
      <w:bookmarkStart w:id="83" w:name="_Toc77586826"/>
      <w:bookmarkStart w:id="84" w:name="_Toc152045537"/>
      <w:r>
        <w:rPr>
          <w:rFonts w:hint="eastAsia" w:ascii="宋体" w:hAnsi="宋体" w:eastAsia="宋体" w:cs="宋体"/>
          <w:b/>
          <w:color w:val="auto"/>
          <w:sz w:val="24"/>
          <w:szCs w:val="24"/>
          <w:highlight w:val="none"/>
        </w:rPr>
        <w:t>1.7 语言</w:t>
      </w:r>
      <w:bookmarkEnd w:id="75"/>
      <w:r>
        <w:rPr>
          <w:rFonts w:hint="eastAsia" w:ascii="宋体" w:hAnsi="宋体" w:eastAsia="宋体" w:cs="宋体"/>
          <w:b/>
          <w:color w:val="auto"/>
          <w:sz w:val="24"/>
          <w:szCs w:val="24"/>
          <w:highlight w:val="none"/>
        </w:rPr>
        <w:t>文字</w:t>
      </w:r>
      <w:bookmarkEnd w:id="76"/>
      <w:bookmarkEnd w:id="77"/>
      <w:bookmarkEnd w:id="78"/>
      <w:bookmarkEnd w:id="79"/>
      <w:bookmarkEnd w:id="80"/>
      <w:bookmarkEnd w:id="81"/>
      <w:bookmarkEnd w:id="82"/>
      <w:bookmarkEnd w:id="83"/>
      <w:bookmarkEnd w:id="84"/>
    </w:p>
    <w:p w14:paraId="6C849F8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85" w:name="_Toc152045538"/>
      <w:bookmarkStart w:id="86" w:name="_Toc179632555"/>
      <w:bookmarkStart w:id="87" w:name="_Toc144974506"/>
      <w:bookmarkStart w:id="88" w:name="_Toc152042314"/>
      <w:bookmarkStart w:id="89" w:name="_Toc246996183"/>
      <w:bookmarkStart w:id="90" w:name="_Toc246996926"/>
      <w:bookmarkStart w:id="91" w:name="_Toc247085697"/>
      <w:r>
        <w:rPr>
          <w:rFonts w:hint="eastAsia" w:ascii="宋体" w:hAnsi="宋体" w:eastAsia="宋体" w:cs="宋体"/>
          <w:sz w:val="24"/>
          <w:szCs w:val="24"/>
          <w:highlight w:val="none"/>
        </w:rPr>
        <w:t>招标磋商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使用的语言文字为中文。专用术语使用外文的，应附有中文注释。</w:t>
      </w:r>
    </w:p>
    <w:p w14:paraId="2F065E5B">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2" w:name="_Toc77586920"/>
      <w:bookmarkStart w:id="93" w:name="_Toc77586827"/>
      <w:bookmarkStart w:id="94" w:name="_Toc296602428"/>
      <w:r>
        <w:rPr>
          <w:rFonts w:hint="eastAsia" w:ascii="宋体" w:hAnsi="宋体" w:eastAsia="宋体" w:cs="宋体"/>
          <w:sz w:val="24"/>
          <w:szCs w:val="24"/>
          <w:highlight w:val="none"/>
        </w:rPr>
        <w:t>1.8 计量单位</w:t>
      </w:r>
      <w:bookmarkEnd w:id="85"/>
      <w:bookmarkEnd w:id="86"/>
      <w:bookmarkEnd w:id="87"/>
      <w:bookmarkEnd w:id="88"/>
      <w:bookmarkEnd w:id="89"/>
      <w:bookmarkEnd w:id="90"/>
      <w:bookmarkEnd w:id="91"/>
      <w:bookmarkEnd w:id="92"/>
      <w:bookmarkEnd w:id="93"/>
      <w:bookmarkEnd w:id="94"/>
    </w:p>
    <w:p w14:paraId="720CB67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353551F5">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95" w:name="_Toc152042315"/>
      <w:bookmarkStart w:id="96" w:name="_Toc296602429"/>
      <w:bookmarkStart w:id="97" w:name="_Toc77586828"/>
      <w:bookmarkStart w:id="98" w:name="_Toc247592876"/>
      <w:bookmarkStart w:id="99" w:name="_Toc247527563"/>
      <w:bookmarkStart w:id="100" w:name="_Toc247513962"/>
      <w:bookmarkStart w:id="101" w:name="_Toc77586921"/>
      <w:bookmarkStart w:id="102" w:name="_Toc152045539"/>
      <w:bookmarkStart w:id="103" w:name="_Toc144974507"/>
      <w:r>
        <w:rPr>
          <w:rFonts w:hint="eastAsia" w:ascii="宋体" w:hAnsi="宋体" w:eastAsia="宋体" w:cs="宋体"/>
          <w:sz w:val="24"/>
          <w:szCs w:val="24"/>
          <w:highlight w:val="none"/>
        </w:rPr>
        <w:t>1.9 踏勘现场</w:t>
      </w:r>
      <w:bookmarkEnd w:id="95"/>
      <w:bookmarkEnd w:id="96"/>
      <w:bookmarkEnd w:id="97"/>
      <w:bookmarkEnd w:id="98"/>
      <w:bookmarkEnd w:id="99"/>
      <w:bookmarkEnd w:id="100"/>
      <w:bookmarkEnd w:id="101"/>
      <w:bookmarkEnd w:id="102"/>
      <w:bookmarkEnd w:id="103"/>
    </w:p>
    <w:p w14:paraId="1331947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1.9.1 </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不组织现场踏勘，由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 xml:space="preserve">自行踏勘。 </w:t>
      </w:r>
    </w:p>
    <w:p w14:paraId="0350598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踏勘现场发生的费用自理。</w:t>
      </w:r>
    </w:p>
    <w:p w14:paraId="3BE61D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1.9.3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自行负责在踏勘现场中所发生的人员伤亡和财产损失。</w:t>
      </w:r>
    </w:p>
    <w:p w14:paraId="0F079FD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1.9.4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在踏勘现场中看到的工程场地和相关的周边环境情况，供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在编制磋商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时参考，</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据此作出的判断和决策负责。</w:t>
      </w:r>
    </w:p>
    <w:p w14:paraId="734D781C">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04" w:name="_Toc77586829"/>
      <w:bookmarkStart w:id="105" w:name="_Toc144974508"/>
      <w:bookmarkStart w:id="106" w:name="_Toc152045540"/>
      <w:bookmarkStart w:id="107" w:name="_Toc296602430"/>
      <w:bookmarkStart w:id="108" w:name="_Toc247527564"/>
      <w:bookmarkStart w:id="109" w:name="_Toc77586922"/>
      <w:bookmarkStart w:id="110" w:name="_Toc152042316"/>
      <w:bookmarkStart w:id="111" w:name="_Toc247592877"/>
      <w:bookmarkStart w:id="112" w:name="_Toc247513963"/>
      <w:r>
        <w:rPr>
          <w:rFonts w:hint="eastAsia" w:ascii="宋体" w:hAnsi="宋体" w:eastAsia="宋体" w:cs="宋体"/>
          <w:sz w:val="24"/>
          <w:szCs w:val="24"/>
          <w:highlight w:val="none"/>
        </w:rPr>
        <w:t>1.10 投标预备会</w:t>
      </w:r>
      <w:bookmarkEnd w:id="104"/>
      <w:bookmarkEnd w:id="105"/>
      <w:bookmarkEnd w:id="106"/>
      <w:bookmarkEnd w:id="107"/>
      <w:bookmarkEnd w:id="108"/>
      <w:bookmarkEnd w:id="109"/>
      <w:bookmarkEnd w:id="110"/>
      <w:bookmarkEnd w:id="111"/>
      <w:bookmarkEnd w:id="112"/>
      <w:bookmarkStart w:id="113" w:name="_Toc296602431"/>
    </w:p>
    <w:p w14:paraId="44CAC42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不召开</w:t>
      </w:r>
    </w:p>
    <w:p w14:paraId="1553ECD0">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4" w:name="_Toc77586830"/>
      <w:bookmarkStart w:id="115" w:name="_Toc77586923"/>
      <w:r>
        <w:rPr>
          <w:rFonts w:hint="eastAsia" w:ascii="宋体" w:hAnsi="宋体" w:eastAsia="宋体" w:cs="宋体"/>
          <w:sz w:val="24"/>
          <w:szCs w:val="24"/>
          <w:highlight w:val="none"/>
        </w:rPr>
        <w:t xml:space="preserve">1.11 </w:t>
      </w:r>
      <w:bookmarkEnd w:id="113"/>
      <w:r>
        <w:rPr>
          <w:rFonts w:hint="eastAsia" w:ascii="宋体" w:hAnsi="宋体" w:eastAsia="宋体" w:cs="宋体"/>
          <w:sz w:val="24"/>
          <w:szCs w:val="24"/>
          <w:highlight w:val="none"/>
        </w:rPr>
        <w:t>分包</w:t>
      </w:r>
      <w:bookmarkEnd w:id="114"/>
      <w:bookmarkEnd w:id="115"/>
    </w:p>
    <w:p w14:paraId="7C20670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03D536EA">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16" w:name="_Toc296602432"/>
      <w:bookmarkStart w:id="117" w:name="_Toc152045542"/>
      <w:bookmarkStart w:id="118" w:name="_Toc246996930"/>
      <w:bookmarkStart w:id="119" w:name="_Toc247085701"/>
      <w:bookmarkStart w:id="120" w:name="_Toc77586831"/>
      <w:bookmarkStart w:id="121" w:name="_Toc179632560"/>
      <w:bookmarkStart w:id="122" w:name="_Toc152042318"/>
      <w:bookmarkStart w:id="123" w:name="_Toc77586924"/>
      <w:bookmarkStart w:id="124" w:name="_Toc246996187"/>
      <w:bookmarkStart w:id="125" w:name="_Toc144974510"/>
      <w:r>
        <w:rPr>
          <w:rFonts w:hint="eastAsia" w:ascii="宋体" w:hAnsi="宋体" w:eastAsia="宋体" w:cs="宋体"/>
          <w:sz w:val="24"/>
          <w:szCs w:val="24"/>
          <w:highlight w:val="none"/>
        </w:rPr>
        <w:t>2. 竞争性磋商文件</w:t>
      </w:r>
      <w:bookmarkEnd w:id="116"/>
      <w:bookmarkEnd w:id="117"/>
      <w:bookmarkEnd w:id="118"/>
      <w:bookmarkEnd w:id="119"/>
      <w:bookmarkEnd w:id="120"/>
      <w:bookmarkEnd w:id="121"/>
      <w:bookmarkEnd w:id="122"/>
      <w:bookmarkEnd w:id="123"/>
      <w:bookmarkEnd w:id="124"/>
      <w:bookmarkEnd w:id="125"/>
    </w:p>
    <w:p w14:paraId="206BFF71">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26" w:name="_Toc144974511"/>
      <w:bookmarkStart w:id="127" w:name="_Toc246996931"/>
      <w:bookmarkStart w:id="128" w:name="_Toc296602433"/>
      <w:bookmarkStart w:id="129" w:name="_Toc179632561"/>
      <w:bookmarkStart w:id="130" w:name="_Toc152042319"/>
      <w:bookmarkStart w:id="131" w:name="_Toc77586832"/>
      <w:bookmarkStart w:id="132" w:name="_Toc246996188"/>
      <w:bookmarkStart w:id="133" w:name="_Toc77586925"/>
      <w:bookmarkStart w:id="134" w:name="_Toc152045543"/>
      <w:bookmarkStart w:id="135" w:name="_Toc247085702"/>
      <w:r>
        <w:rPr>
          <w:rFonts w:hint="eastAsia" w:ascii="宋体" w:hAnsi="宋体" w:eastAsia="宋体" w:cs="宋体"/>
          <w:sz w:val="24"/>
          <w:szCs w:val="24"/>
          <w:highlight w:val="none"/>
        </w:rPr>
        <w:t>2.1 竞争性磋商文件的组成</w:t>
      </w:r>
      <w:bookmarkEnd w:id="126"/>
      <w:bookmarkEnd w:id="127"/>
      <w:bookmarkEnd w:id="128"/>
      <w:bookmarkEnd w:id="129"/>
      <w:bookmarkEnd w:id="130"/>
      <w:bookmarkEnd w:id="131"/>
      <w:bookmarkEnd w:id="132"/>
      <w:bookmarkEnd w:id="133"/>
      <w:bookmarkEnd w:id="134"/>
      <w:bookmarkEnd w:id="135"/>
    </w:p>
    <w:p w14:paraId="3C6EA9E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2.1.1 本竞争性磋商文件包括：</w:t>
      </w:r>
    </w:p>
    <w:p w14:paraId="334B2F6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详见磋商文件</w:t>
      </w:r>
    </w:p>
    <w:p w14:paraId="32B5CE1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2.1.2根据本章第2.2款和第2.3款对竞争性磋商文件所作的澄清、修改，构成竞争性磋商文件的组成部分。</w:t>
      </w:r>
    </w:p>
    <w:p w14:paraId="5DFC9604">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36" w:name="_Toc296602434"/>
      <w:bookmarkStart w:id="137" w:name="_Toc77586926"/>
      <w:bookmarkStart w:id="138" w:name="_Toc77586833"/>
      <w:bookmarkStart w:id="139" w:name="_Toc144974512"/>
      <w:bookmarkStart w:id="140" w:name="_Toc247085703"/>
      <w:bookmarkStart w:id="141" w:name="_Toc179632562"/>
      <w:bookmarkStart w:id="142" w:name="_Toc246996932"/>
      <w:bookmarkStart w:id="143" w:name="_Toc152045544"/>
      <w:bookmarkStart w:id="144" w:name="_Toc152042320"/>
      <w:bookmarkStart w:id="145" w:name="_Toc246996189"/>
      <w:r>
        <w:rPr>
          <w:rFonts w:hint="eastAsia" w:ascii="宋体" w:hAnsi="宋体" w:eastAsia="宋体" w:cs="宋体"/>
          <w:sz w:val="24"/>
          <w:szCs w:val="24"/>
          <w:highlight w:val="none"/>
        </w:rPr>
        <w:t>2.2 竞争性磋商文件的澄清</w:t>
      </w:r>
      <w:bookmarkEnd w:id="136"/>
      <w:bookmarkEnd w:id="137"/>
      <w:bookmarkEnd w:id="138"/>
      <w:bookmarkEnd w:id="139"/>
      <w:bookmarkEnd w:id="140"/>
      <w:bookmarkEnd w:id="141"/>
      <w:bookmarkEnd w:id="142"/>
      <w:bookmarkEnd w:id="143"/>
      <w:bookmarkEnd w:id="144"/>
      <w:bookmarkEnd w:id="145"/>
      <w:r>
        <w:rPr>
          <w:rFonts w:hint="eastAsia" w:ascii="宋体" w:hAnsi="宋体" w:eastAsia="宋体" w:cs="宋体"/>
          <w:sz w:val="24"/>
          <w:szCs w:val="24"/>
          <w:highlight w:val="none"/>
        </w:rPr>
        <w:t xml:space="preserve"> </w:t>
      </w:r>
    </w:p>
    <w:p w14:paraId="476DB20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2.2.1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应仔细阅读和检查竞争性磋商文件的全部内容。如发现缺页或附件不全，应及时向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提出，以便补齐。如有疑问，应在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须知前附表规定的时间前以书面的形式，要求</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对竞争性磋商文件予以澄清。</w:t>
      </w:r>
    </w:p>
    <w:p w14:paraId="5247BD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2.2.2竞争性磋商文件的澄清将以公告形式发布到网上，但不指明澄清问题的来源。如果澄清发出的时间距</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须知前附表规定的投标截止时间不足5天，并且澄清内容影响磋商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 xml:space="preserve">编制的，将相应延长磋商截止时间。 </w:t>
      </w:r>
    </w:p>
    <w:p w14:paraId="1C6CC92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2.2.3 </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应自行查看澄清信息。</w:t>
      </w:r>
    </w:p>
    <w:p w14:paraId="219B88B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lang w:val="en-US" w:eastAsia="zh-CN" w:bidi="ar-SA"/>
        </w:rPr>
      </w:pPr>
      <w:bookmarkStart w:id="146" w:name="_Toc247085704"/>
      <w:bookmarkStart w:id="147" w:name="_Toc179632563"/>
      <w:bookmarkStart w:id="148" w:name="_Toc246996933"/>
      <w:bookmarkStart w:id="149" w:name="_Toc144974513"/>
      <w:bookmarkStart w:id="150" w:name="_Toc152042321"/>
      <w:bookmarkStart w:id="151" w:name="_Toc152045545"/>
      <w:bookmarkStart w:id="152" w:name="_Toc296602435"/>
      <w:bookmarkStart w:id="153" w:name="_Toc77586834"/>
      <w:bookmarkStart w:id="154" w:name="_Toc246996190"/>
      <w:bookmarkStart w:id="155" w:name="_Toc77586927"/>
      <w:r>
        <w:rPr>
          <w:rFonts w:hint="eastAsia" w:ascii="宋体" w:hAnsi="宋体" w:eastAsia="宋体" w:cs="宋体"/>
          <w:b/>
          <w:sz w:val="24"/>
          <w:szCs w:val="24"/>
          <w:highlight w:val="none"/>
          <w:lang w:val="en-US" w:eastAsia="zh-CN" w:bidi="ar-SA"/>
        </w:rPr>
        <w:t>2.3 竞争性磋商文件的修改</w:t>
      </w:r>
      <w:bookmarkEnd w:id="146"/>
      <w:bookmarkEnd w:id="147"/>
      <w:bookmarkEnd w:id="148"/>
      <w:bookmarkEnd w:id="149"/>
      <w:bookmarkEnd w:id="150"/>
      <w:bookmarkEnd w:id="151"/>
      <w:bookmarkEnd w:id="152"/>
      <w:bookmarkEnd w:id="153"/>
      <w:bookmarkEnd w:id="154"/>
      <w:bookmarkEnd w:id="155"/>
    </w:p>
    <w:p w14:paraId="579F76A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2.3.1 在磋商截止时间5天前，</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可以修改竞争性磋商文件，并以变更公告形式通知所有已购买竞争性磋商文件的</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w:t>
      </w:r>
    </w:p>
    <w:p w14:paraId="070FD09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2.3.2如果修改竞争性磋商文件，会在</w:t>
      </w:r>
      <w:r>
        <w:rPr>
          <w:rFonts w:hint="eastAsia" w:ascii="宋体" w:hAnsi="宋体" w:eastAsia="宋体" w:cs="宋体"/>
          <w:sz w:val="24"/>
          <w:szCs w:val="24"/>
          <w:highlight w:val="none"/>
          <w:lang w:val="en-US" w:eastAsia="zh-CN"/>
        </w:rPr>
        <w:t>相关网站</w:t>
      </w:r>
      <w:r>
        <w:rPr>
          <w:rFonts w:hint="eastAsia" w:ascii="宋体" w:hAnsi="宋体" w:eastAsia="宋体" w:cs="宋体"/>
          <w:sz w:val="24"/>
          <w:szCs w:val="24"/>
          <w:highlight w:val="none"/>
        </w:rPr>
        <w:t>发布变更公告，不再发纸质的变更信息。提醒</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随时注意网上发布的信息。如因</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自身原因未看到信息，因此造成的一切后果由</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自行承担。</w:t>
      </w:r>
    </w:p>
    <w:p w14:paraId="22DE889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2.3.3为使</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在准备</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时有合理的时间考虑竞争性磋商文件的修改，招标代理机构可酌情推迟磋商截止时间和磋商时间，但应当至少在磋商截止时间三个日历天前将变更时间以发布变更公告的形式通知所有</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。该修改内容为竞争性磋商文件的组成部分。在此情况下，</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rPr>
        <w:t>受磋商截止期制约的所有权利和义务均应延长至新的截止日期。</w:t>
      </w:r>
      <w:bookmarkStart w:id="156" w:name="_Toc184635073"/>
      <w:bookmarkEnd w:id="156"/>
      <w:r>
        <w:rPr>
          <w:rFonts w:hint="eastAsia" w:ascii="宋体" w:hAnsi="宋体" w:eastAsia="宋体" w:cs="宋体"/>
          <w:sz w:val="24"/>
          <w:szCs w:val="24"/>
          <w:highlight w:val="none"/>
        </w:rPr>
        <w:t xml:space="preserve"> </w:t>
      </w:r>
    </w:p>
    <w:p w14:paraId="09F7B343">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57" w:name="_Toc246996934"/>
      <w:bookmarkStart w:id="158" w:name="_Toc152042322"/>
      <w:bookmarkStart w:id="159" w:name="_Toc77586928"/>
      <w:bookmarkStart w:id="160" w:name="_Toc246996191"/>
      <w:bookmarkStart w:id="161" w:name="_Toc152045546"/>
      <w:bookmarkStart w:id="162" w:name="_Toc77586835"/>
      <w:bookmarkStart w:id="163" w:name="_Toc179632564"/>
      <w:bookmarkStart w:id="164" w:name="_Toc296602436"/>
      <w:bookmarkStart w:id="165" w:name="_Toc247085705"/>
      <w:bookmarkStart w:id="166" w:name="_Toc144974514"/>
      <w:r>
        <w:rPr>
          <w:rFonts w:hint="eastAsia" w:ascii="宋体" w:hAnsi="宋体" w:eastAsia="宋体" w:cs="宋体"/>
          <w:sz w:val="24"/>
          <w:szCs w:val="24"/>
          <w:highlight w:val="none"/>
        </w:rPr>
        <w:t>3. 竞争性磋商文件</w:t>
      </w:r>
      <w:bookmarkEnd w:id="157"/>
      <w:bookmarkEnd w:id="158"/>
      <w:bookmarkEnd w:id="159"/>
      <w:bookmarkEnd w:id="160"/>
      <w:bookmarkEnd w:id="161"/>
      <w:bookmarkEnd w:id="162"/>
      <w:bookmarkEnd w:id="163"/>
      <w:bookmarkEnd w:id="164"/>
      <w:bookmarkEnd w:id="165"/>
      <w:bookmarkEnd w:id="166"/>
    </w:p>
    <w:p w14:paraId="0B36BB68">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67" w:name="_Toc179632565"/>
      <w:bookmarkStart w:id="168" w:name="_Toc144974515"/>
      <w:bookmarkStart w:id="169" w:name="_Toc246996192"/>
      <w:bookmarkStart w:id="170" w:name="_Toc296602437"/>
      <w:bookmarkStart w:id="171" w:name="_Toc152045547"/>
      <w:bookmarkStart w:id="172" w:name="_Toc152042323"/>
      <w:bookmarkStart w:id="173" w:name="_Toc77586836"/>
      <w:bookmarkStart w:id="174" w:name="_Toc246996935"/>
      <w:bookmarkStart w:id="175" w:name="_Toc77586929"/>
      <w:bookmarkStart w:id="176" w:name="_Toc247085706"/>
      <w:r>
        <w:rPr>
          <w:rFonts w:hint="eastAsia" w:ascii="宋体" w:hAnsi="宋体" w:eastAsia="宋体" w:cs="宋体"/>
          <w:sz w:val="24"/>
          <w:szCs w:val="24"/>
          <w:highlight w:val="none"/>
        </w:rPr>
        <w:t>3.1 竞争性磋商文件的组成</w:t>
      </w:r>
      <w:bookmarkEnd w:id="167"/>
      <w:bookmarkEnd w:id="168"/>
      <w:bookmarkEnd w:id="169"/>
      <w:bookmarkEnd w:id="170"/>
      <w:bookmarkEnd w:id="171"/>
      <w:bookmarkEnd w:id="172"/>
      <w:bookmarkEnd w:id="173"/>
      <w:bookmarkEnd w:id="174"/>
      <w:bookmarkEnd w:id="175"/>
      <w:bookmarkEnd w:id="176"/>
    </w:p>
    <w:p w14:paraId="47BD93A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bookmarkStart w:id="177" w:name="_Toc246996936"/>
      <w:bookmarkStart w:id="178" w:name="_Toc144974516"/>
      <w:bookmarkStart w:id="179" w:name="_Toc152045548"/>
      <w:bookmarkStart w:id="180" w:name="_Toc152042324"/>
      <w:bookmarkStart w:id="181" w:name="_Toc179632566"/>
      <w:bookmarkStart w:id="182" w:name="_Toc296602438"/>
      <w:bookmarkStart w:id="183" w:name="_Toc246996193"/>
      <w:bookmarkStart w:id="184" w:name="_Toc247085707"/>
      <w:r>
        <w:rPr>
          <w:rFonts w:hint="eastAsia" w:ascii="宋体" w:hAnsi="宋体" w:eastAsia="宋体" w:cs="宋体"/>
          <w:b w:val="0"/>
          <w:bCs w:val="0"/>
          <w:sz w:val="24"/>
          <w:szCs w:val="24"/>
          <w:highlight w:val="none"/>
        </w:rPr>
        <w:t>详见磋商文件</w:t>
      </w:r>
    </w:p>
    <w:p w14:paraId="0A3A9B6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5" w:name="_Toc77586930"/>
      <w:bookmarkStart w:id="186" w:name="_Toc77586837"/>
      <w:r>
        <w:rPr>
          <w:rFonts w:hint="eastAsia" w:ascii="宋体" w:hAnsi="宋体" w:eastAsia="宋体" w:cs="宋体"/>
          <w:b/>
          <w:bCs/>
          <w:sz w:val="24"/>
          <w:szCs w:val="24"/>
          <w:highlight w:val="none"/>
        </w:rPr>
        <w:t>3.2 磋商报价</w:t>
      </w:r>
      <w:bookmarkEnd w:id="177"/>
      <w:bookmarkEnd w:id="178"/>
      <w:bookmarkEnd w:id="179"/>
      <w:bookmarkEnd w:id="180"/>
      <w:bookmarkEnd w:id="181"/>
      <w:bookmarkEnd w:id="182"/>
      <w:bookmarkEnd w:id="183"/>
      <w:bookmarkEnd w:id="184"/>
      <w:bookmarkEnd w:id="185"/>
      <w:bookmarkEnd w:id="186"/>
    </w:p>
    <w:p w14:paraId="2B45A66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3.2.1 根据竞争性磋商文件规定的工程内容，</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应对本次招标工程的全部工作内容进行报价。磋商报价应是竞争性磋商文件所确定的磋商范围内的全部工作内容的价格体现。</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的报价应含有所投项目、税费、交付后约定期限内免费后续工程等所发生的一切应有费用。</w:t>
      </w:r>
    </w:p>
    <w:p w14:paraId="041C05C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3.2.2磋商报价应包括竞争性磋商文件及技术规范等规定的，实施和完成招标工程直至竣工验收合格，及达到质量和工期目标、安全文明、环境保护等要求,正式交付</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使用前所需的全部费用。本工程的报价应按照竞争磋商文件、补充通知、答疑纪要、现场情况、承包范围，并充分考虑施工期间各类建材市场风险和国家政策性调整等风险系数，由各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根据自身情况，在合理范围内，自主考虑、优惠报价，但不得低于企业成本。</w:t>
      </w:r>
    </w:p>
    <w:p w14:paraId="41DBFAA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3.2.3</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的磋商报价根据竞争性磋商文件、工程量清单、答疑等，充分考虑市场价格、风险因素，在合理范围内自主报价，但不得低于企业实际成本。</w:t>
      </w:r>
    </w:p>
    <w:p w14:paraId="3512F1E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3.2.4</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结合自身条件，并充分考虑本工程施工难度、工期的要求、质量要求以及市场因素、现场环境因素、社会因素、市场价格调整因素等各方面原因合理报价。磋商报价将被认为已综合考虑了在施工全过程中可能发生的全部不可预见费用。</w:t>
      </w:r>
      <w:r>
        <w:rPr>
          <w:rFonts w:hint="eastAsia" w:ascii="宋体" w:hAnsi="宋体" w:eastAsia="宋体" w:cs="宋体"/>
          <w:b w:val="0"/>
          <w:bCs w:val="0"/>
          <w:color w:val="auto"/>
          <w:sz w:val="24"/>
          <w:szCs w:val="24"/>
          <w:highlight w:val="none"/>
        </w:rPr>
        <w:t>成交人无权再以任何理由提出延长工期、增加价款或索赔等要求。</w:t>
      </w:r>
    </w:p>
    <w:p w14:paraId="555690A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3.2.5</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在磋商报价前可踏勘施工现场，充分考虑工地现状条件可能影响到工程正常施工的所有风险因素。无论</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是否进行了上述现场踏勘工作，其磋商报价中均将被认为已包含有工地现状在施工作业期间发生的全部不可预见的风险费用，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成交后则无权因此要求任何工期或费用上的索赔。磋商报价将被认为已综合考虑了在工程全过程中可能发生的全部不可预见费用。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未考虑到或漏算的项目，合同执行期间人员费用等相关的变动；各种原因服务周期工作时间延长，成交人无权再以任何理由提出延长服务周期、增加价款或索赔等要求。如果</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对任何报价遗漏或未计，均被认为已包含在其他费用中，招标人不另行支付。</w:t>
      </w:r>
    </w:p>
    <w:p w14:paraId="07BCE6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3.3.6施工期间由于工程条件发生变化或</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原因造成施工方案的更改，所增加的措施费用及工期一概不予调整，相应的费用</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应在磋商报价中充分考虑，</w:t>
      </w:r>
      <w:r>
        <w:rPr>
          <w:rFonts w:hint="eastAsia" w:ascii="宋体" w:hAnsi="宋体" w:eastAsia="宋体" w:cs="宋体"/>
          <w:b w:val="0"/>
          <w:bCs w:val="0"/>
          <w:sz w:val="24"/>
          <w:szCs w:val="24"/>
          <w:highlight w:val="none"/>
          <w:lang w:eastAsia="zh-CN"/>
        </w:rPr>
        <w:t>招标人</w:t>
      </w:r>
      <w:r>
        <w:rPr>
          <w:rFonts w:hint="eastAsia" w:ascii="宋体" w:hAnsi="宋体" w:eastAsia="宋体" w:cs="宋体"/>
          <w:b w:val="0"/>
          <w:bCs w:val="0"/>
          <w:sz w:val="24"/>
          <w:szCs w:val="24"/>
          <w:highlight w:val="none"/>
        </w:rPr>
        <w:t>不再另行支付。</w:t>
      </w:r>
    </w:p>
    <w:p w14:paraId="08DD9F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3.2.7磋商报价要求</w:t>
      </w:r>
    </w:p>
    <w:p w14:paraId="15B968FF">
      <w:pPr>
        <w:pageBreakBefore w:val="0"/>
        <w:widowControl w:val="0"/>
        <w:numPr>
          <w:ilvl w:val="0"/>
          <w:numId w:val="2"/>
        </w:numPr>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jc w:val="both"/>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在投标时必须在磋商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中提供一份完整的工程量清单；</w:t>
      </w:r>
    </w:p>
    <w:p w14:paraId="174EC24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作为有经验的承包商，应充分考虑该工程实施时的各种风险，并将其考虑在本次投标报价各清单项目的综合单价中，结算时综合单价不做调整（合同另有约定的除外）；</w:t>
      </w:r>
    </w:p>
    <w:p w14:paraId="3DE83AE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（3）本次磋商的最终投标总报价不得高于磋商控制价，高于磋商控制价的报价将不再评审；</w:t>
      </w:r>
    </w:p>
    <w:p w14:paraId="64B6E63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（4）磋商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报价中的单价和总价全部采用人民币表示。如磋商报价函中的大写金额和小写金额不一致的，以大写金额为准；总价金额与单价金额不一致的，以单价金额为准，但单价金额小数点有明显错误的除外；对不同文字文本磋商文件的解释发生异议的，以中文文本为准。</w:t>
      </w:r>
    </w:p>
    <w:p w14:paraId="20443B3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（5）本项目为竞争性磋商方式，允许二次报价。</w:t>
      </w:r>
    </w:p>
    <w:p w14:paraId="2B7ACBCC">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187" w:name="_Toc77586838"/>
      <w:bookmarkStart w:id="188" w:name="_Toc179632567"/>
      <w:bookmarkStart w:id="189" w:name="_Toc152045549"/>
      <w:bookmarkStart w:id="190" w:name="_Toc144974517"/>
      <w:bookmarkStart w:id="191" w:name="_Toc246996194"/>
      <w:bookmarkStart w:id="192" w:name="_Toc152042325"/>
      <w:bookmarkStart w:id="193" w:name="_Toc77586931"/>
      <w:bookmarkStart w:id="194" w:name="_Toc247085708"/>
      <w:bookmarkStart w:id="195" w:name="_Toc296602439"/>
      <w:bookmarkStart w:id="196" w:name="_Toc246996937"/>
      <w:r>
        <w:rPr>
          <w:rFonts w:hint="eastAsia" w:ascii="宋体" w:hAnsi="宋体" w:eastAsia="宋体" w:cs="宋体"/>
          <w:b/>
          <w:bCs/>
          <w:sz w:val="24"/>
          <w:szCs w:val="24"/>
          <w:highlight w:val="none"/>
        </w:rPr>
        <w:t>3.3 磋商有效期</w:t>
      </w:r>
      <w:bookmarkEnd w:id="187"/>
      <w:bookmarkEnd w:id="188"/>
      <w:bookmarkEnd w:id="189"/>
      <w:bookmarkEnd w:id="190"/>
      <w:bookmarkEnd w:id="191"/>
      <w:bookmarkEnd w:id="192"/>
      <w:bookmarkEnd w:id="193"/>
      <w:bookmarkEnd w:id="194"/>
      <w:bookmarkEnd w:id="195"/>
      <w:bookmarkEnd w:id="196"/>
    </w:p>
    <w:p w14:paraId="33420ED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3.3.1 磋商有效期为</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r>
        <w:rPr>
          <w:rFonts w:hint="eastAsia" w:ascii="宋体" w:hAnsi="宋体" w:eastAsia="宋体" w:cs="宋体"/>
          <w:b w:val="0"/>
          <w:bCs w:val="0"/>
          <w:sz w:val="24"/>
          <w:szCs w:val="24"/>
          <w:highlight w:val="none"/>
        </w:rPr>
        <w:t>。</w:t>
      </w:r>
    </w:p>
    <w:p w14:paraId="252B777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3.3.2在磋商有效期内，</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撤销或修改其磋商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的，应承担磋商文件和法律规定的责任。</w:t>
      </w:r>
    </w:p>
    <w:p w14:paraId="03FE3D3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3.3.3出现特殊情况需要延长投标有效期的，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以书面形式通知所有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延长投标有效期。</w:t>
      </w:r>
    </w:p>
    <w:p w14:paraId="23C30175">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197" w:name="_Toc246996938"/>
      <w:bookmarkStart w:id="198" w:name="_Toc246996195"/>
      <w:bookmarkStart w:id="199" w:name="_Toc144974518"/>
      <w:bookmarkStart w:id="200" w:name="_Toc296602440"/>
      <w:bookmarkStart w:id="201" w:name="_Toc247085709"/>
      <w:bookmarkStart w:id="202" w:name="_Toc152045550"/>
      <w:bookmarkStart w:id="203" w:name="_Toc152042326"/>
      <w:bookmarkStart w:id="204" w:name="_Toc179632568"/>
      <w:bookmarkStart w:id="205" w:name="_Toc77586839"/>
      <w:bookmarkStart w:id="206" w:name="_Toc77586932"/>
      <w:r>
        <w:rPr>
          <w:rFonts w:hint="eastAsia" w:ascii="宋体" w:hAnsi="宋体" w:eastAsia="宋体" w:cs="宋体"/>
          <w:sz w:val="24"/>
          <w:szCs w:val="24"/>
          <w:highlight w:val="none"/>
        </w:rPr>
        <w:t xml:space="preserve">3.4 </w:t>
      </w:r>
      <w:bookmarkEnd w:id="197"/>
      <w:bookmarkEnd w:id="198"/>
      <w:bookmarkEnd w:id="199"/>
      <w:bookmarkEnd w:id="200"/>
      <w:bookmarkEnd w:id="201"/>
      <w:bookmarkEnd w:id="202"/>
      <w:bookmarkEnd w:id="203"/>
      <w:bookmarkEnd w:id="204"/>
      <w:r>
        <w:rPr>
          <w:rFonts w:hint="eastAsia" w:ascii="宋体" w:hAnsi="宋体" w:eastAsia="宋体" w:cs="宋体"/>
          <w:sz w:val="24"/>
          <w:szCs w:val="24"/>
          <w:highlight w:val="none"/>
        </w:rPr>
        <w:t>磋商保证金</w:t>
      </w:r>
      <w:bookmarkEnd w:id="205"/>
      <w:bookmarkEnd w:id="206"/>
    </w:p>
    <w:p w14:paraId="12306FF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本项目不收取磋商保证金。</w:t>
      </w:r>
    </w:p>
    <w:p w14:paraId="47210C6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 xml:space="preserve">3.5 </w:t>
      </w:r>
      <w:r>
        <w:rPr>
          <w:rFonts w:hint="eastAsia" w:ascii="宋体" w:hAnsi="宋体" w:eastAsia="宋体" w:cs="宋体"/>
          <w:b/>
          <w:bCs/>
          <w:sz w:val="24"/>
          <w:szCs w:val="24"/>
          <w:highlight w:val="none"/>
          <w:lang w:val="en-US" w:eastAsia="zh-CN"/>
        </w:rPr>
        <w:t>资格审查资料：详见公告</w:t>
      </w:r>
    </w:p>
    <w:p w14:paraId="63265F66">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07" w:name="_Toc77586933"/>
      <w:bookmarkStart w:id="208" w:name="_Toc77586840"/>
      <w:r>
        <w:rPr>
          <w:rFonts w:hint="eastAsia" w:ascii="宋体" w:hAnsi="宋体" w:eastAsia="宋体" w:cs="宋体"/>
          <w:sz w:val="24"/>
          <w:szCs w:val="24"/>
          <w:highlight w:val="none"/>
        </w:rPr>
        <w:t>3.6磋商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的编制</w:t>
      </w:r>
      <w:bookmarkEnd w:id="207"/>
      <w:bookmarkEnd w:id="208"/>
    </w:p>
    <w:p w14:paraId="371A81B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09" w:name="_Toc152042331"/>
      <w:bookmarkStart w:id="210" w:name="_Toc246996942"/>
      <w:bookmarkStart w:id="211" w:name="_Toc179632573"/>
      <w:bookmarkStart w:id="212" w:name="_Toc247085713"/>
      <w:bookmarkStart w:id="213" w:name="_Toc144974523"/>
      <w:bookmarkStart w:id="214" w:name="_Toc152045555"/>
      <w:bookmarkStart w:id="215" w:name="_Toc246996199"/>
      <w:bookmarkStart w:id="216" w:name="_Toc296602443"/>
      <w:r>
        <w:rPr>
          <w:rFonts w:hint="eastAsia" w:ascii="宋体" w:hAnsi="宋体" w:eastAsia="宋体" w:cs="宋体"/>
          <w:sz w:val="24"/>
          <w:szCs w:val="24"/>
          <w:highlight w:val="none"/>
        </w:rPr>
        <w:t>3.6.1磋商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可按第七章“磋商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格式”进行编写，如有必要，可以增加附页作为磋商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的组成部分。其中，投标函附录在满足竞争性磋商文件实质性要求的基础上，可以提出比竞争性磋商文件要求更有利于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的承诺。</w:t>
      </w:r>
    </w:p>
    <w:p w14:paraId="2740694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应当对竞争性磋商文件有关项目实施周期、投标有效期、质量要求、招标范围等实质性内容作出响应。</w:t>
      </w:r>
    </w:p>
    <w:p w14:paraId="116182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sz w:val="24"/>
          <w:szCs w:val="24"/>
          <w:highlight w:val="none"/>
        </w:rPr>
        <w:t>3.6.3</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所上传的电子化磋商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，应是通过中心投标文件制作系统制作的（投标文件制作工具下载地址：http://t.cn/A6ZvtVob），经过签章和加密后生成的电子版磋商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。其中包含用于</w:t>
      </w:r>
      <w:r>
        <w:rPr>
          <w:rFonts w:hint="eastAsia" w:ascii="宋体" w:hAnsi="宋体" w:eastAsia="宋体" w:cs="宋体"/>
          <w:b w:val="0"/>
          <w:bCs w:val="0"/>
          <w:sz w:val="24"/>
          <w:szCs w:val="24"/>
          <w:highlight w:val="none"/>
        </w:rPr>
        <w:t>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上传的主文件（后缀为.smxtf）和用于应急补救的磋商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备份文件（后缀为.nsmxtf）。</w:t>
      </w:r>
    </w:p>
    <w:p w14:paraId="4B50E9A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sz w:val="24"/>
          <w:szCs w:val="24"/>
          <w:highlight w:val="none"/>
        </w:rPr>
      </w:pPr>
      <w:r>
        <w:rPr>
          <w:rFonts w:hint="eastAsia" w:ascii="宋体" w:hAnsi="宋体" w:eastAsia="宋体" w:cs="宋体"/>
          <w:b w:val="0"/>
          <w:bCs w:val="0"/>
          <w:sz w:val="24"/>
          <w:szCs w:val="24"/>
          <w:highlight w:val="none"/>
        </w:rPr>
        <w:t>电子化投标文件具体制作教材请</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点击以下链接学习http://gzjy.smx.gov.cn/bzzx/008001/2020</w:t>
      </w:r>
      <w:r>
        <w:rPr>
          <w:rFonts w:hint="eastAsia" w:ascii="宋体" w:hAnsi="宋体" w:eastAsia="宋体" w:cs="宋体"/>
          <w:sz w:val="24"/>
          <w:szCs w:val="24"/>
          <w:highlight w:val="none"/>
        </w:rPr>
        <w:t>0325/4a2f9fa3-b923-4ddd-bd6f-138a0b63f7d1.html</w:t>
      </w:r>
    </w:p>
    <w:p w14:paraId="5BF51DBD">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17" w:name="_Toc77586841"/>
      <w:bookmarkStart w:id="218" w:name="_Toc77586934"/>
      <w:r>
        <w:rPr>
          <w:rFonts w:hint="eastAsia" w:ascii="宋体" w:hAnsi="宋体" w:eastAsia="宋体" w:cs="宋体"/>
          <w:sz w:val="24"/>
          <w:szCs w:val="24"/>
          <w:highlight w:val="none"/>
        </w:rPr>
        <w:t>3.7备选投标方案</w:t>
      </w:r>
      <w:bookmarkEnd w:id="217"/>
      <w:bookmarkEnd w:id="218"/>
    </w:p>
    <w:p w14:paraId="7D855E5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递交备选投标方案。</w:t>
      </w:r>
    </w:p>
    <w:p w14:paraId="3447F27B">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19" w:name="_Toc77586842"/>
      <w:bookmarkStart w:id="220" w:name="_Toc77586935"/>
      <w:r>
        <w:rPr>
          <w:rFonts w:hint="eastAsia" w:ascii="宋体" w:hAnsi="宋体" w:eastAsia="宋体" w:cs="宋体"/>
          <w:sz w:val="24"/>
          <w:szCs w:val="24"/>
          <w:highlight w:val="none"/>
        </w:rPr>
        <w:t>4. 投标</w:t>
      </w:r>
      <w:bookmarkEnd w:id="209"/>
      <w:bookmarkEnd w:id="210"/>
      <w:bookmarkEnd w:id="211"/>
      <w:bookmarkEnd w:id="212"/>
      <w:bookmarkEnd w:id="213"/>
      <w:bookmarkEnd w:id="214"/>
      <w:bookmarkEnd w:id="215"/>
      <w:bookmarkEnd w:id="216"/>
      <w:bookmarkEnd w:id="219"/>
      <w:bookmarkEnd w:id="220"/>
    </w:p>
    <w:p w14:paraId="625E8642">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21" w:name="_Toc246996943"/>
      <w:bookmarkStart w:id="222" w:name="_Toc179632574"/>
      <w:bookmarkStart w:id="223" w:name="_Toc152045556"/>
      <w:bookmarkStart w:id="224" w:name="_Toc144974524"/>
      <w:bookmarkStart w:id="225" w:name="_Toc246996200"/>
      <w:bookmarkStart w:id="226" w:name="_Toc152042332"/>
      <w:bookmarkStart w:id="227" w:name="_Toc247085714"/>
      <w:bookmarkStart w:id="228" w:name="_Toc296602444"/>
      <w:bookmarkStart w:id="229" w:name="_Toc77586936"/>
      <w:bookmarkStart w:id="230" w:name="_Toc77586843"/>
      <w:r>
        <w:rPr>
          <w:rFonts w:hint="eastAsia" w:ascii="宋体" w:hAnsi="宋体" w:eastAsia="宋体" w:cs="宋体"/>
          <w:sz w:val="24"/>
          <w:szCs w:val="24"/>
          <w:highlight w:val="none"/>
        </w:rPr>
        <w:t>4.1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w:t>
      </w:r>
      <w:bookmarkEnd w:id="221"/>
      <w:bookmarkEnd w:id="222"/>
      <w:bookmarkEnd w:id="223"/>
      <w:bookmarkEnd w:id="224"/>
      <w:bookmarkEnd w:id="225"/>
      <w:bookmarkEnd w:id="226"/>
      <w:bookmarkEnd w:id="227"/>
      <w:bookmarkEnd w:id="228"/>
      <w:r>
        <w:rPr>
          <w:rFonts w:hint="eastAsia" w:ascii="宋体" w:hAnsi="宋体" w:eastAsia="宋体" w:cs="宋体"/>
          <w:sz w:val="24"/>
          <w:szCs w:val="24"/>
          <w:highlight w:val="none"/>
        </w:rPr>
        <w:t>签署</w:t>
      </w:r>
      <w:bookmarkEnd w:id="229"/>
      <w:bookmarkEnd w:id="230"/>
    </w:p>
    <w:p w14:paraId="73987F8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4.1.1</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在进行电子化磋商</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签章时，竞争性磋商文件中要求</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盖章的，以签</w:t>
      </w:r>
      <w:r>
        <w:rPr>
          <w:rFonts w:hint="eastAsia" w:ascii="宋体" w:hAnsi="宋体" w:eastAsia="宋体" w:cs="宋体"/>
          <w:bCs/>
          <w:sz w:val="24"/>
          <w:szCs w:val="24"/>
          <w:highlight w:val="none"/>
          <w:lang w:eastAsia="zh-CN"/>
        </w:rPr>
        <w:t>公章电子签章</w:t>
      </w:r>
      <w:r>
        <w:rPr>
          <w:rFonts w:hint="eastAsia" w:ascii="宋体" w:hAnsi="宋体" w:eastAsia="宋体" w:cs="宋体"/>
          <w:bCs/>
          <w:sz w:val="24"/>
          <w:szCs w:val="24"/>
          <w:highlight w:val="none"/>
        </w:rPr>
        <w:t>为准；要求法定代表人签章的，以签盖法定代表人签章为准</w:t>
      </w: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具体制作教材请</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通过CA证书登录三门峡市公共资源电子化交易系统在右上角“组件下载”中查看。</w:t>
      </w:r>
    </w:p>
    <w:p w14:paraId="6867772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231" w:name="_Toc77586844"/>
      <w:bookmarkStart w:id="232" w:name="_Toc77586937"/>
      <w:r>
        <w:rPr>
          <w:rFonts w:hint="eastAsia" w:ascii="宋体" w:hAnsi="宋体" w:eastAsia="宋体" w:cs="宋体"/>
          <w:sz w:val="24"/>
          <w:szCs w:val="24"/>
          <w:highlight w:val="none"/>
        </w:rPr>
        <w:t>4.2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的上传</w:t>
      </w:r>
      <w:bookmarkEnd w:id="231"/>
      <w:bookmarkEnd w:id="232"/>
    </w:p>
    <w:p w14:paraId="73CD23A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应在投标截止时间前成功上传至三门峡市公共资源电子化交易系统。至投标截止时间止，仍未上传成功的电子化磋商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w:t>
      </w:r>
    </w:p>
    <w:p w14:paraId="3EEBBB2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b w:val="0"/>
          <w:bCs w:val="0"/>
          <w:sz w:val="24"/>
          <w:szCs w:val="24"/>
          <w:highlight w:val="none"/>
        </w:rPr>
      </w:pPr>
      <w:r>
        <w:rPr>
          <w:rFonts w:hint="eastAsia" w:ascii="宋体" w:hAnsi="宋体" w:eastAsia="宋体" w:cs="宋体"/>
          <w:sz w:val="24"/>
          <w:szCs w:val="24"/>
          <w:highlight w:val="none"/>
        </w:rPr>
        <w:t>注：如按</w:t>
      </w:r>
      <w:r>
        <w:rPr>
          <w:rFonts w:hint="eastAsia" w:ascii="宋体" w:hAnsi="宋体" w:eastAsia="宋体" w:cs="宋体"/>
          <w:b w:val="0"/>
          <w:bCs w:val="0"/>
          <w:sz w:val="24"/>
          <w:szCs w:val="24"/>
          <w:highlight w:val="none"/>
        </w:rPr>
        <w:t>照电子化投标操作教材制作完成的电子化磋商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无法上传的，</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应在投标截止时间前尽早的联系中心技术人员，以便有充分的时间进行处理。</w:t>
      </w:r>
      <w:r>
        <w:rPr>
          <w:rFonts w:hint="eastAsia" w:ascii="宋体" w:hAnsi="宋体" w:eastAsia="宋体" w:cs="宋体"/>
          <w:b w:val="0"/>
          <w:bCs w:val="0"/>
          <w:sz w:val="24"/>
          <w:szCs w:val="24"/>
          <w:highlight w:val="none"/>
          <w:lang w:eastAsia="zh-CN"/>
        </w:rPr>
        <w:t>投标人</w:t>
      </w:r>
      <w:r>
        <w:rPr>
          <w:rFonts w:hint="eastAsia" w:ascii="宋体" w:hAnsi="宋体" w:eastAsia="宋体" w:cs="宋体"/>
          <w:b w:val="0"/>
          <w:bCs w:val="0"/>
          <w:sz w:val="24"/>
          <w:szCs w:val="24"/>
          <w:highlight w:val="none"/>
        </w:rPr>
        <w:t>应充分考虑到处理技术问题和上传数据等工作所需的时间问题，电子化磋商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未在投标截止时间前成功上传的，其磋商</w:t>
      </w:r>
      <w:r>
        <w:rPr>
          <w:rFonts w:hint="eastAsia" w:ascii="宋体" w:hAnsi="宋体" w:eastAsia="宋体" w:cs="宋体"/>
          <w:b w:val="0"/>
          <w:bCs w:val="0"/>
          <w:sz w:val="24"/>
          <w:szCs w:val="24"/>
          <w:highlight w:val="none"/>
          <w:lang w:eastAsia="zh-CN"/>
        </w:rPr>
        <w:t>投标文件</w:t>
      </w:r>
      <w:r>
        <w:rPr>
          <w:rFonts w:hint="eastAsia" w:ascii="宋体" w:hAnsi="宋体" w:eastAsia="宋体" w:cs="宋体"/>
          <w:b w:val="0"/>
          <w:bCs w:val="0"/>
          <w:sz w:val="24"/>
          <w:szCs w:val="24"/>
          <w:highlight w:val="none"/>
        </w:rPr>
        <w:t>不予接收。</w:t>
      </w:r>
    </w:p>
    <w:p w14:paraId="5185ACF1">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3" w:name="_Toc77586845"/>
      <w:bookmarkStart w:id="234" w:name="_Toc77586938"/>
      <w:r>
        <w:rPr>
          <w:rFonts w:hint="eastAsia" w:ascii="宋体" w:hAnsi="宋体" w:eastAsia="宋体" w:cs="宋体"/>
          <w:sz w:val="24"/>
          <w:szCs w:val="24"/>
          <w:highlight w:val="none"/>
        </w:rPr>
        <w:t>4.3 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的修改与撤回</w:t>
      </w:r>
      <w:bookmarkEnd w:id="233"/>
      <w:bookmarkEnd w:id="234"/>
    </w:p>
    <w:p w14:paraId="536EBD6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4.3.1在投标截止时间之后，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不得补充、修改电子化磋商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w:t>
      </w:r>
    </w:p>
    <w:p w14:paraId="7FE77335">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35" w:name="_Toc246996946"/>
      <w:bookmarkStart w:id="236" w:name="_Toc296602447"/>
      <w:bookmarkStart w:id="237" w:name="_Toc152042335"/>
      <w:bookmarkStart w:id="238" w:name="_Toc247085717"/>
      <w:bookmarkStart w:id="239" w:name="_Toc179632577"/>
      <w:bookmarkStart w:id="240" w:name="_Toc144974527"/>
      <w:bookmarkStart w:id="241" w:name="_Toc246996203"/>
      <w:bookmarkStart w:id="242" w:name="_Toc152045559"/>
      <w:bookmarkStart w:id="243" w:name="_Toc77586846"/>
      <w:bookmarkStart w:id="244" w:name="_Toc77586939"/>
      <w:r>
        <w:rPr>
          <w:rFonts w:hint="eastAsia" w:ascii="宋体" w:hAnsi="宋体" w:eastAsia="宋体" w:cs="宋体"/>
          <w:sz w:val="24"/>
          <w:szCs w:val="24"/>
          <w:highlight w:val="none"/>
        </w:rPr>
        <w:t xml:space="preserve">5. </w:t>
      </w:r>
      <w:bookmarkEnd w:id="235"/>
      <w:bookmarkEnd w:id="236"/>
      <w:bookmarkEnd w:id="237"/>
      <w:bookmarkEnd w:id="238"/>
      <w:bookmarkEnd w:id="239"/>
      <w:bookmarkEnd w:id="240"/>
      <w:bookmarkEnd w:id="241"/>
      <w:bookmarkEnd w:id="242"/>
      <w:r>
        <w:rPr>
          <w:rFonts w:hint="eastAsia" w:ascii="宋体" w:hAnsi="宋体" w:eastAsia="宋体" w:cs="宋体"/>
          <w:sz w:val="24"/>
          <w:szCs w:val="24"/>
          <w:highlight w:val="none"/>
        </w:rPr>
        <w:t>磋商</w:t>
      </w:r>
      <w:bookmarkEnd w:id="243"/>
      <w:bookmarkEnd w:id="244"/>
    </w:p>
    <w:p w14:paraId="67DD0D0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bookmarkStart w:id="245" w:name="_Toc152045562"/>
      <w:bookmarkStart w:id="246" w:name="_Toc144974530"/>
      <w:bookmarkStart w:id="247" w:name="_Toc144974529"/>
      <w:bookmarkStart w:id="248" w:name="_Toc247085720"/>
      <w:bookmarkStart w:id="249" w:name="_Toc152042337"/>
      <w:bookmarkStart w:id="250" w:name="_Toc246996206"/>
      <w:bookmarkStart w:id="251" w:name="_Toc179632579"/>
      <w:bookmarkStart w:id="252" w:name="_Toc152045561"/>
      <w:bookmarkStart w:id="253" w:name="_Toc296602451"/>
      <w:bookmarkStart w:id="254" w:name="_Toc246996949"/>
      <w:bookmarkStart w:id="255" w:name="_Toc179632580"/>
      <w:bookmarkStart w:id="256" w:name="_Toc152042338"/>
      <w:r>
        <w:rPr>
          <w:rFonts w:hint="eastAsia" w:ascii="宋体" w:hAnsi="宋体" w:eastAsia="宋体" w:cs="宋体"/>
          <w:b/>
          <w:bCs/>
          <w:sz w:val="24"/>
          <w:szCs w:val="24"/>
          <w:highlight w:val="none"/>
        </w:rPr>
        <w:t>5.1 磋商时间和地点</w:t>
      </w:r>
    </w:p>
    <w:p w14:paraId="2B031F9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rPr>
        <w:t>在本磋商文件规定的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递交截止时间（磋商时间）和地点进行竞争性磋商。</w:t>
      </w:r>
    </w:p>
    <w:p w14:paraId="75C814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本项目采用电子化、无纸化进行招标，开标当日，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无需到开标现场参加开标会议，</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应当在投标截止时间前，登陆不见面开标大厅选择登陆三门峡市公共资源电子招投标系统进行登陆（网址为http://120.194.249.36:10094/BidOpening/bidopeninghallaction/hall/login）,在线准时参加开标活动并进行磋商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解密等。</w:t>
      </w:r>
    </w:p>
    <w:p w14:paraId="3D109D5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5.2 电子化磋商</w:t>
      </w:r>
      <w:r>
        <w:rPr>
          <w:rFonts w:hint="eastAsia" w:ascii="宋体" w:hAnsi="宋体" w:eastAsia="宋体" w:cs="宋体"/>
          <w:b/>
          <w:bCs/>
          <w:sz w:val="24"/>
          <w:szCs w:val="24"/>
          <w:highlight w:val="none"/>
          <w:lang w:eastAsia="zh-CN"/>
        </w:rPr>
        <w:t>投标文件</w:t>
      </w:r>
      <w:r>
        <w:rPr>
          <w:rFonts w:hint="eastAsia" w:ascii="宋体" w:hAnsi="宋体" w:eastAsia="宋体" w:cs="宋体"/>
          <w:b/>
          <w:bCs/>
          <w:sz w:val="24"/>
          <w:szCs w:val="24"/>
          <w:highlight w:val="none"/>
        </w:rPr>
        <w:t>采用一次加密方式。</w:t>
      </w:r>
    </w:p>
    <w:p w14:paraId="0CA42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开标时，由</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使用CA 证书，在规定时间内对其电子化磋商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进行解密。每位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 分钟内，如在规定时间内未完成解密的，其磋商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不予开标、唱标。每位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的解密时间为开标时间起30分钟内完成。</w:t>
      </w:r>
    </w:p>
    <w:p w14:paraId="0E6245C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5.3 电子化磋商</w:t>
      </w:r>
      <w:r>
        <w:rPr>
          <w:rFonts w:hint="eastAsia" w:ascii="宋体" w:hAnsi="宋体" w:eastAsia="宋体" w:cs="宋体"/>
          <w:b/>
          <w:sz w:val="24"/>
          <w:szCs w:val="24"/>
          <w:highlight w:val="none"/>
          <w:lang w:eastAsia="zh-CN"/>
        </w:rPr>
        <w:t>投标文件</w:t>
      </w:r>
      <w:r>
        <w:rPr>
          <w:rFonts w:hint="eastAsia" w:ascii="宋体" w:hAnsi="宋体" w:eastAsia="宋体" w:cs="宋体"/>
          <w:b/>
          <w:sz w:val="24"/>
          <w:szCs w:val="24"/>
          <w:highlight w:val="none"/>
        </w:rPr>
        <w:t>解密异常的处理</w:t>
      </w:r>
    </w:p>
    <w:p w14:paraId="482E37A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如出现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的电子磋商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无法解密等异常情况，</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应及时致电中介服务机构说明。磋商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异常，按以下步骤进行处理：</w:t>
      </w:r>
    </w:p>
    <w:p w14:paraId="488B88F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（1）首先由技术人员进行问题排查。</w:t>
      </w:r>
    </w:p>
    <w:p w14:paraId="529B03D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（2）经技术人员排查后，是</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文件自身问题导致磋商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无法解密的，该磋商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将不予接收、解密和唱标。开标会议继续进行。</w:t>
      </w:r>
    </w:p>
    <w:p w14:paraId="43F2899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（3）经技术人员排查后，如果是电子化交易系统问题造成磋商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无法解密的，将由技术人员对问题进行处理。如短时间内问题无法解决的，将由中介服务机构向监督部门申请，经监督部门同意后，暂停开标会议，待问题解决后继续开标。</w:t>
      </w:r>
    </w:p>
    <w:bookmarkEnd w:id="245"/>
    <w:bookmarkEnd w:id="246"/>
    <w:bookmarkEnd w:id="247"/>
    <w:bookmarkEnd w:id="248"/>
    <w:bookmarkEnd w:id="249"/>
    <w:bookmarkEnd w:id="250"/>
    <w:bookmarkEnd w:id="251"/>
    <w:bookmarkEnd w:id="252"/>
    <w:bookmarkEnd w:id="253"/>
    <w:bookmarkEnd w:id="254"/>
    <w:bookmarkEnd w:id="255"/>
    <w:bookmarkEnd w:id="256"/>
    <w:p w14:paraId="52D2F5E0">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57" w:name="_Toc77586847"/>
      <w:bookmarkStart w:id="258" w:name="_Toc247085721"/>
      <w:bookmarkStart w:id="259" w:name="_Toc152045563"/>
      <w:bookmarkStart w:id="260" w:name="_Toc179632581"/>
      <w:bookmarkStart w:id="261" w:name="_Toc296602452"/>
      <w:bookmarkStart w:id="262" w:name="_Toc246996950"/>
      <w:bookmarkStart w:id="263" w:name="_Toc144974531"/>
      <w:bookmarkStart w:id="264" w:name="_Toc77586940"/>
      <w:bookmarkStart w:id="265" w:name="_Toc152042339"/>
      <w:bookmarkStart w:id="266" w:name="_Toc246996207"/>
      <w:r>
        <w:rPr>
          <w:rFonts w:hint="eastAsia" w:ascii="宋体" w:hAnsi="宋体" w:eastAsia="宋体" w:cs="宋体"/>
          <w:sz w:val="24"/>
          <w:szCs w:val="24"/>
          <w:highlight w:val="none"/>
        </w:rPr>
        <w:t>5.4 磋商小组</w:t>
      </w:r>
      <w:bookmarkEnd w:id="257"/>
      <w:bookmarkEnd w:id="258"/>
      <w:bookmarkEnd w:id="259"/>
      <w:bookmarkEnd w:id="260"/>
      <w:bookmarkEnd w:id="261"/>
      <w:bookmarkEnd w:id="262"/>
      <w:bookmarkEnd w:id="263"/>
      <w:bookmarkEnd w:id="264"/>
      <w:bookmarkEnd w:id="265"/>
      <w:bookmarkEnd w:id="266"/>
    </w:p>
    <w:p w14:paraId="3E7D093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kern w:val="44"/>
          <w:sz w:val="24"/>
          <w:szCs w:val="24"/>
          <w:highlight w:val="none"/>
        </w:rPr>
      </w:pPr>
      <w:r>
        <w:rPr>
          <w:rFonts w:hint="eastAsia" w:ascii="宋体" w:hAnsi="宋体" w:eastAsia="宋体" w:cs="宋体"/>
          <w:sz w:val="24"/>
          <w:szCs w:val="24"/>
          <w:highlight w:val="none"/>
        </w:rPr>
        <w:t xml:space="preserve">5.4.1 </w:t>
      </w:r>
      <w:r>
        <w:rPr>
          <w:rFonts w:hint="eastAsia" w:ascii="宋体" w:hAnsi="宋体" w:eastAsia="宋体" w:cs="宋体"/>
          <w:kern w:val="44"/>
          <w:sz w:val="24"/>
          <w:szCs w:val="24"/>
          <w:highlight w:val="none"/>
        </w:rPr>
        <w:t>磋商小组：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代表及有关经济、技术等方面的专家共3人组成，</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代表1人，经济、技术等方面的专家各1人。</w:t>
      </w:r>
    </w:p>
    <w:p w14:paraId="6960DFE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kern w:val="44"/>
          <w:sz w:val="24"/>
          <w:szCs w:val="24"/>
          <w:highlight w:val="none"/>
        </w:rPr>
        <w:t>专家确定方式：</w:t>
      </w:r>
      <w:r>
        <w:rPr>
          <w:rFonts w:hint="eastAsia" w:ascii="宋体" w:hAnsi="宋体" w:eastAsia="宋体" w:cs="宋体"/>
          <w:sz w:val="24"/>
          <w:szCs w:val="24"/>
          <w:highlight w:val="none"/>
        </w:rPr>
        <w:t>开标后从相关评标专家库中随机抽取。</w:t>
      </w:r>
    </w:p>
    <w:p w14:paraId="0F9D8A6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5.4.2磋商小组对所有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进行评审，按评审后得分由高到低顺序排列，递交给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w:t>
      </w:r>
    </w:p>
    <w:p w14:paraId="7E40216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5.4.3磋商小组成员要遵纪守法，客观、公正、廉洁地履行职责</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0A7BE07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5.4.3磋商小组成员和评审工作有关人员不得干预或者影响正常评审工作，不得明示或者暗示其倾向性、引导性意见，不得修改磋商文件确定的评审程序、评审方法，不得征询</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代表的倾向性意见，不得记录、复制或带走任何评审资料。成交候选人确定后，磋商小组不得修改评审结果或者要求重新评审，但因初步审查认定错误或价格计算错误需依法重新评审的除外。应在评审报告中明确记载。</w:t>
      </w:r>
    </w:p>
    <w:p w14:paraId="597C2822">
      <w:pPr>
        <w:pStyle w:val="37"/>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highlight w:val="none"/>
          <w:lang w:val="en-US" w:eastAsia="zh-CN"/>
        </w:rPr>
      </w:pPr>
      <w:r>
        <w:rPr>
          <w:rFonts w:hint="eastAsia" w:ascii="宋体" w:hAnsi="宋体" w:eastAsia="宋体" w:cs="宋体"/>
          <w:sz w:val="24"/>
          <w:szCs w:val="24"/>
          <w:highlight w:val="none"/>
          <w:lang w:val="en-US" w:eastAsia="zh-CN"/>
        </w:rPr>
        <w:t>5.4.4磋商小组成员要参与磋商报告的起草，要配合招标人、采购代理机构答复响应标人提出的质疑，配合财政部门的投诉处理和监督检查工作。</w:t>
      </w:r>
    </w:p>
    <w:p w14:paraId="7B09B6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磋商小组成员有下列情形之一的，应当回避：</w:t>
      </w:r>
    </w:p>
    <w:p w14:paraId="51BDD04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或</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主要负责人的近亲属；</w:t>
      </w:r>
    </w:p>
    <w:p w14:paraId="42EBC6F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（2）项目主管部门或者行政监督部门的人员；</w:t>
      </w:r>
    </w:p>
    <w:p w14:paraId="135B3AC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有经济利益关系；</w:t>
      </w:r>
    </w:p>
    <w:p w14:paraId="15B3094F">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（4）曾因在招标、评标以及其他与招标投标有关活动中从事违法行为而受过行政处罚或刑事处罚的；</w:t>
      </w:r>
    </w:p>
    <w:p w14:paraId="5D0A868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有其他利害关系。</w:t>
      </w:r>
    </w:p>
    <w:p w14:paraId="381020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5.5磋商原则和方法</w:t>
      </w:r>
    </w:p>
    <w:p w14:paraId="0A71782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5.5.1坚持公开、公平、公正的原则。</w:t>
      </w:r>
    </w:p>
    <w:p w14:paraId="273D4B8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5.5.2磋商在磋商小组应当集中与单一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分别进行磋商，磋商小组将遵照磋商原则，公正、平等地对待所有</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。反对不正当竞争。</w:t>
      </w:r>
    </w:p>
    <w:p w14:paraId="7E882B4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5.5.3评审方法</w:t>
      </w:r>
    </w:p>
    <w:p w14:paraId="28E0EA7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（1）初步评审（是否响应竞争性磋商文件的要求），确定合格的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58CE468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在磋商小组规定的时间内依据各自情况进行第二次报价，通过交易中心系统以电子形式递交，第二次报价为最终报价。</w:t>
      </w:r>
    </w:p>
    <w:p w14:paraId="13BB6FD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本项目采用综合评分法，磋商小组成员综合评审各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按总得分由高到低的顺序推荐3名成交候选人，并编写评审报告。</w:t>
      </w:r>
    </w:p>
    <w:p w14:paraId="5339229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kern w:val="28"/>
          <w:sz w:val="24"/>
          <w:szCs w:val="24"/>
          <w:highlight w:val="none"/>
          <w:lang w:eastAsia="zh-CN"/>
        </w:rPr>
      </w:pPr>
      <w:r>
        <w:rPr>
          <w:rFonts w:hint="eastAsia" w:ascii="宋体" w:hAnsi="宋体" w:eastAsia="宋体" w:cs="宋体"/>
          <w:b/>
          <w:bCs/>
          <w:kern w:val="28"/>
          <w:sz w:val="24"/>
          <w:szCs w:val="24"/>
          <w:highlight w:val="none"/>
        </w:rPr>
        <w:t>5.6对</w:t>
      </w:r>
      <w:r>
        <w:rPr>
          <w:rFonts w:hint="eastAsia" w:ascii="宋体" w:hAnsi="宋体" w:eastAsia="宋体" w:cs="宋体"/>
          <w:b/>
          <w:bCs/>
          <w:kern w:val="28"/>
          <w:sz w:val="24"/>
          <w:szCs w:val="24"/>
          <w:highlight w:val="none"/>
          <w:lang w:eastAsia="zh-CN"/>
        </w:rPr>
        <w:t>投标人</w:t>
      </w:r>
      <w:r>
        <w:rPr>
          <w:rFonts w:hint="eastAsia" w:ascii="宋体" w:hAnsi="宋体" w:eastAsia="宋体" w:cs="宋体"/>
          <w:b/>
          <w:bCs/>
          <w:kern w:val="28"/>
          <w:sz w:val="24"/>
          <w:szCs w:val="24"/>
          <w:highlight w:val="none"/>
        </w:rPr>
        <w:t>的</w:t>
      </w:r>
      <w:r>
        <w:rPr>
          <w:rFonts w:hint="eastAsia" w:ascii="宋体" w:hAnsi="宋体" w:eastAsia="宋体" w:cs="宋体"/>
          <w:b/>
          <w:bCs/>
          <w:kern w:val="28"/>
          <w:sz w:val="24"/>
          <w:szCs w:val="24"/>
          <w:highlight w:val="none"/>
          <w:lang w:val="en-US" w:eastAsia="zh-CN"/>
        </w:rPr>
        <w:t>评审</w:t>
      </w:r>
    </w:p>
    <w:p w14:paraId="22264D5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5.6.1磋商小组只对已判定为实质性响应且通过初步审查的磋商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进行详细评价和比较。</w:t>
      </w:r>
    </w:p>
    <w:p w14:paraId="76AB929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5.6.2磋商小组所有成员应当集中与单一</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分别进行磋商，并给予所有参加磋商的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平等的磋商机会。磋商完成后，要求其在规定时间内提交最后报价，提交最后报价的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可以为两家。</w:t>
      </w:r>
    </w:p>
    <w:p w14:paraId="60ED7C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5.6.3经磋商确定最终工程需求和提交最后报价的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后，磋商小组采用综合评分法对提交最后报价的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和最后报价进行综合评分。</w:t>
      </w:r>
    </w:p>
    <w:p w14:paraId="57FDA28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5.6.4磋商小组根据综合评分情况，按评审得分由高到低的顺序确定成交候选人，并编写评审报告。评审得分相同的，按照最后报价由低到高的顺序确定，评审得分且最后报价相同的，按照技术指标优劣顺序确定成交候选人。评审报告由磋商小组全体人员签字。磋商小组成员对评审报告有异议的，磋商小组按照少数服从多数的原则推荐成交候选人，磋商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52811E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5.6.5如果第一名</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放弃成交资格或因不可抗力提出不能履行合同、竞争性磋商文件规定应当提交履约担保而在规定的期限内未能提交的，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可以按照评审报告推荐的成交候选人</w:t>
      </w:r>
      <w:r>
        <w:rPr>
          <w:rFonts w:hint="eastAsia" w:ascii="宋体" w:hAnsi="宋体" w:eastAsia="宋体" w:cs="宋体"/>
          <w:sz w:val="24"/>
          <w:szCs w:val="24"/>
          <w:highlight w:val="none"/>
          <w:lang w:eastAsia="zh-CN"/>
        </w:rPr>
        <w:t>名单，确定下一成交候选人为成交人，也可以重新开展采购活动。</w:t>
      </w:r>
    </w:p>
    <w:p w14:paraId="5E5A19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磋商过程的保密</w:t>
      </w:r>
    </w:p>
    <w:p w14:paraId="0B962643">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.1投标文件的审查、澄清、评价和比较的有关资料以及成交候选人的推荐情况，与磋商有关的其他任何情况均应严格保密。</w:t>
      </w:r>
    </w:p>
    <w:p w14:paraId="56DFA2F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.2在投标文件的评审和比较、成交候选人推荐以及授予合同的过程中，</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向</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和磋商小组施加影响的任何行为，都将会导致其磋商被拒绝。</w:t>
      </w:r>
    </w:p>
    <w:p w14:paraId="787EB1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5.7</w:t>
      </w:r>
      <w:r>
        <w:rPr>
          <w:rFonts w:hint="eastAsia" w:ascii="宋体" w:hAnsi="宋体" w:eastAsia="宋体" w:cs="宋体"/>
          <w:sz w:val="24"/>
          <w:szCs w:val="24"/>
          <w:highlight w:val="none"/>
          <w:lang w:eastAsia="zh-CN"/>
        </w:rPr>
        <w:t>.3</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不对未成交人就磋商过程以及未能成交原因作出任何解释。未成交人不得向磋商小组成员和其他有关人员索问磋商过程的情况和资料。</w:t>
      </w:r>
    </w:p>
    <w:p w14:paraId="217DEEB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5.8 投标文件的澄清</w:t>
      </w:r>
    </w:p>
    <w:p w14:paraId="55B9240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磋商小组可以以书面形式要求</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对其投标文件中含义不明确的内容作必要的澄清或说明。</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应采用书面形式进行澄清和说明，但不得超出投标文件的范围或者改变投标文件实质性内容。凡属于磋商小组在磋商发现的计算错误并进行核实的修改不在此列。</w:t>
      </w:r>
    </w:p>
    <w:p w14:paraId="5501840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5.9 投标文件的初步评审</w:t>
      </w:r>
    </w:p>
    <w:p w14:paraId="398428CE">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.1根据初步评审要求经审查有效的投标文件，才能提交磋商小组进行评审。</w:t>
      </w:r>
    </w:p>
    <w:p w14:paraId="6205A664">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.2磋商小组首先评定每份投标文件是否实质上响应了竞争性磋商文件的要求。所谓实质上响应，是指投标文件与竞争性磋商文件的所有实质性条款、条件和要求相符，无显著差异或保留，或者对合同中约定的</w:t>
      </w:r>
      <w:r>
        <w:rPr>
          <w:rFonts w:hint="eastAsia" w:ascii="宋体" w:hAnsi="宋体" w:eastAsia="宋体" w:cs="宋体"/>
          <w:sz w:val="24"/>
          <w:szCs w:val="24"/>
          <w:highlight w:val="none"/>
          <w:lang w:val="en-US" w:eastAsia="zh-CN"/>
        </w:rPr>
        <w:t>招标人</w:t>
      </w:r>
      <w:r>
        <w:rPr>
          <w:rFonts w:hint="eastAsia" w:ascii="宋体" w:hAnsi="宋体" w:eastAsia="宋体" w:cs="宋体"/>
          <w:sz w:val="24"/>
          <w:szCs w:val="24"/>
          <w:highlight w:val="none"/>
          <w:lang w:eastAsia="zh-CN"/>
        </w:rPr>
        <w:t>的权利和</w:t>
      </w:r>
      <w:r>
        <w:rPr>
          <w:rFonts w:hint="eastAsia" w:ascii="宋体" w:hAnsi="宋体" w:eastAsia="宋体" w:cs="宋体"/>
          <w:sz w:val="24"/>
          <w:szCs w:val="24"/>
          <w:highlight w:val="none"/>
          <w:lang w:val="en-US" w:eastAsia="zh-CN"/>
        </w:rPr>
        <w:t>投标人</w:t>
      </w:r>
      <w:r>
        <w:rPr>
          <w:rFonts w:hint="eastAsia" w:ascii="宋体" w:hAnsi="宋体" w:eastAsia="宋体" w:cs="宋体"/>
          <w:sz w:val="24"/>
          <w:szCs w:val="24"/>
          <w:highlight w:val="none"/>
          <w:lang w:eastAsia="zh-CN"/>
        </w:rPr>
        <w:t>的义务方面造成重大的限制，纠正这些差异或保留，将会对其他实质上响应竞争性磋商文件要求的投标人的竞争地位产生不公正的影响。</w:t>
      </w:r>
    </w:p>
    <w:p w14:paraId="29B0D5AB">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lang w:eastAsia="zh-CN"/>
        </w:rPr>
        <w:t>.3如果投标文件实质上不响应竞争性磋商文件的要求，招标人将予以拒绝，并且不允许投标人通过修改或撤消其不符合要求的差异或保留，使之成为具有响应性的磋商。</w:t>
      </w:r>
    </w:p>
    <w:p w14:paraId="01C8A2C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5.10 投标文件计算错误的修正</w:t>
      </w:r>
    </w:p>
    <w:p w14:paraId="21BC43C8">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磋商小组将对确定为实质上响应竞争性磋商文件要求的投标文件进行校核，看其是否有计算或表达上的错误，修正错误的原则如下：</w:t>
      </w:r>
    </w:p>
    <w:p w14:paraId="66B45ED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.1如果数字表示的金额和用文字表示的金额不一致时，应以文字表示的金额为准；</w:t>
      </w:r>
    </w:p>
    <w:p w14:paraId="49AB82B6">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w:t>
      </w:r>
      <w:r>
        <w:rPr>
          <w:rFonts w:hint="eastAsia" w:ascii="宋体" w:hAnsi="宋体" w:eastAsia="宋体" w:cs="宋体"/>
          <w:sz w:val="24"/>
          <w:szCs w:val="24"/>
          <w:highlight w:val="none"/>
          <w:lang w:eastAsia="zh-CN"/>
        </w:rPr>
        <w:t>.2当单价与数量的乘积与合价不一致时，以单价为准，除非磋商小组认为单价有明显的小数点错误，此时应以标出的合价为准，并修改单价。</w:t>
      </w:r>
    </w:p>
    <w:p w14:paraId="5A1BC3CA">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5.10.3</w:t>
      </w:r>
      <w:r>
        <w:rPr>
          <w:rFonts w:hint="eastAsia" w:ascii="宋体" w:hAnsi="宋体" w:eastAsia="宋体" w:cs="宋体"/>
          <w:sz w:val="24"/>
          <w:szCs w:val="24"/>
          <w:highlight w:val="none"/>
          <w:lang w:eastAsia="zh-CN"/>
        </w:rPr>
        <w:t>按上述修正错误的原则及方法调整或修正投标文件的磋商报价，投标人同意后，调整后的磋商报价对投标人起约束作用。如果投标人不接受修正后的报价，则磋商小组对其不再进行评审。</w:t>
      </w:r>
    </w:p>
    <w:p w14:paraId="6A1924F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投标文件的评审、比较和否决</w:t>
      </w:r>
    </w:p>
    <w:p w14:paraId="256AA1F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.1磋商小组仅对在实质上响应竞争性磋商文件要求的投标文件进行评估和比较。</w:t>
      </w:r>
    </w:p>
    <w:p w14:paraId="56158B3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2在磋商过程中，磋商小组发现投标人的磋商报价明显低于其他投标人的报价，并有可能低于其企业成本的，则磋商小组可以以书面形式要求该投标人作出书面说明并提供相关证明材料。投标人不能合理说明或不能提供相关证明材料的，磋商小组对其投标文件不再进行评审。</w:t>
      </w:r>
    </w:p>
    <w:p w14:paraId="3BC12FD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 xml:space="preserve">.3在首轮磋商的基础上，磋商小组讨论、分析、综合各种因素后，决定是否与各方再次进行磋商。 </w:t>
      </w:r>
    </w:p>
    <w:p w14:paraId="089C4155">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both"/>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sz w:val="24"/>
          <w:szCs w:val="24"/>
          <w:highlight w:val="none"/>
          <w:lang w:val="en-US" w:eastAsia="zh-CN"/>
        </w:rPr>
        <w:t>5.11</w:t>
      </w:r>
      <w:r>
        <w:rPr>
          <w:rFonts w:hint="eastAsia" w:ascii="宋体" w:hAnsi="宋体" w:eastAsia="宋体" w:cs="宋体"/>
          <w:sz w:val="24"/>
          <w:szCs w:val="24"/>
          <w:highlight w:val="none"/>
          <w:lang w:eastAsia="zh-CN"/>
        </w:rPr>
        <w:t>.3在首轮磋</w:t>
      </w:r>
      <w:r>
        <w:rPr>
          <w:rFonts w:hint="eastAsia" w:ascii="宋体" w:hAnsi="宋体" w:eastAsia="宋体" w:cs="宋体"/>
          <w:b w:val="0"/>
          <w:bCs w:val="0"/>
          <w:sz w:val="24"/>
          <w:szCs w:val="24"/>
          <w:highlight w:val="none"/>
          <w:lang w:eastAsia="zh-CN"/>
        </w:rPr>
        <w:t xml:space="preserve">商的基础上，磋商小组讨论、分析、综合各种因素后，决定是否与各方再次进行磋商。 </w:t>
      </w:r>
    </w:p>
    <w:p w14:paraId="7145223C">
      <w:pPr>
        <w:pageBreakBefore w:val="0"/>
        <w:widowControl w:val="0"/>
        <w:kinsoku/>
        <w:wordWrap/>
        <w:overflowPunct/>
        <w:topLinePunct w:val="0"/>
        <w:autoSpaceDE w:val="0"/>
        <w:autoSpaceDN w:val="0"/>
        <w:bidi w:val="0"/>
        <w:adjustRightInd w:val="0"/>
        <w:snapToGrid w:val="0"/>
        <w:spacing w:beforeAutospacing="0" w:afterAutospacing="0" w:line="360" w:lineRule="auto"/>
        <w:ind w:left="0" w:leftChars="0" w:right="0" w:firstLine="464" w:firstLineChars="200"/>
        <w:jc w:val="both"/>
        <w:textAlignment w:val="auto"/>
        <w:rPr>
          <w:rFonts w:hint="eastAsia" w:ascii="宋体" w:hAnsi="宋体" w:eastAsia="宋体" w:cs="宋体"/>
          <w:b w:val="0"/>
          <w:bCs w:val="0"/>
          <w:sz w:val="24"/>
          <w:szCs w:val="24"/>
          <w:highlight w:val="none"/>
          <w:lang w:eastAsia="zh-CN"/>
        </w:rPr>
      </w:pPr>
      <w:r>
        <w:rPr>
          <w:rFonts w:hint="eastAsia" w:ascii="宋体" w:hAnsi="宋体" w:eastAsia="宋体" w:cs="宋体"/>
          <w:b w:val="0"/>
          <w:bCs w:val="0"/>
          <w:snapToGrid w:val="0"/>
          <w:spacing w:val="-4"/>
          <w:sz w:val="24"/>
          <w:szCs w:val="24"/>
          <w:highlight w:val="none"/>
          <w:lang w:val="en-US" w:eastAsia="zh-CN"/>
        </w:rPr>
        <w:t>5.11.4</w:t>
      </w:r>
      <w:r>
        <w:rPr>
          <w:rFonts w:hint="eastAsia" w:ascii="宋体" w:hAnsi="宋体" w:eastAsia="宋体" w:cs="宋体"/>
          <w:b w:val="0"/>
          <w:bCs w:val="0"/>
          <w:snapToGrid w:val="0"/>
          <w:spacing w:val="-4"/>
          <w:sz w:val="24"/>
          <w:szCs w:val="24"/>
          <w:highlight w:val="none"/>
        </w:rPr>
        <w:t>磋商截止时间结束后参加供应商不足3家的，项目予以废标。在评审期间根据财库〔2015〕124号文件，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1D9507ED">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bCs/>
          <w:sz w:val="24"/>
          <w:szCs w:val="24"/>
          <w:highlight w:val="none"/>
          <w:lang w:eastAsia="zh-CN"/>
        </w:rPr>
      </w:pPr>
      <w:bookmarkStart w:id="267" w:name="_Toc179632584"/>
      <w:bookmarkStart w:id="268" w:name="_Toc296602455"/>
      <w:bookmarkStart w:id="269" w:name="_Toc246996210"/>
      <w:bookmarkStart w:id="270" w:name="_Toc152045566"/>
      <w:bookmarkStart w:id="271" w:name="_Toc246996953"/>
      <w:bookmarkStart w:id="272" w:name="_Toc152042342"/>
      <w:bookmarkStart w:id="273" w:name="_Toc144974534"/>
      <w:bookmarkStart w:id="274" w:name="_Toc247085724"/>
      <w:r>
        <w:rPr>
          <w:rFonts w:hint="eastAsia" w:ascii="宋体" w:hAnsi="宋体" w:eastAsia="宋体" w:cs="宋体"/>
          <w:b/>
          <w:bCs/>
          <w:sz w:val="24"/>
          <w:szCs w:val="24"/>
          <w:highlight w:val="none"/>
          <w:lang w:eastAsia="zh-CN"/>
        </w:rPr>
        <w:t>5.</w:t>
      </w:r>
      <w:r>
        <w:rPr>
          <w:rFonts w:hint="eastAsia" w:ascii="宋体" w:hAnsi="宋体" w:eastAsia="宋体" w:cs="宋体"/>
          <w:b/>
          <w:bCs/>
          <w:sz w:val="24"/>
          <w:szCs w:val="24"/>
          <w:highlight w:val="none"/>
          <w:lang w:val="en-US" w:eastAsia="zh-CN"/>
        </w:rPr>
        <w:t>12</w:t>
      </w:r>
      <w:r>
        <w:rPr>
          <w:rFonts w:hint="eastAsia" w:ascii="宋体" w:hAnsi="宋体" w:eastAsia="宋体" w:cs="宋体"/>
          <w:b/>
          <w:bCs/>
          <w:sz w:val="24"/>
          <w:szCs w:val="24"/>
          <w:highlight w:val="none"/>
          <w:lang w:eastAsia="zh-CN"/>
        </w:rPr>
        <w:t>确定成交人</w:t>
      </w:r>
    </w:p>
    <w:p w14:paraId="37A6844C">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磋商小组应当根据综合评分情况，按照评审有高到低的顺序推荐成交候选人，并编写评标报告。</w:t>
      </w:r>
    </w:p>
    <w:p w14:paraId="5F058616">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5" w:name="_Toc77586941"/>
      <w:bookmarkStart w:id="276" w:name="_Toc77586848"/>
      <w:r>
        <w:rPr>
          <w:rFonts w:hint="eastAsia" w:ascii="宋体" w:hAnsi="宋体" w:eastAsia="宋体" w:cs="宋体"/>
          <w:sz w:val="24"/>
          <w:szCs w:val="24"/>
          <w:highlight w:val="none"/>
        </w:rPr>
        <w:t>6. 合同授予</w:t>
      </w:r>
      <w:bookmarkEnd w:id="267"/>
      <w:bookmarkEnd w:id="268"/>
      <w:bookmarkEnd w:id="269"/>
      <w:bookmarkEnd w:id="270"/>
      <w:bookmarkEnd w:id="271"/>
      <w:bookmarkEnd w:id="272"/>
      <w:bookmarkEnd w:id="273"/>
      <w:bookmarkEnd w:id="274"/>
      <w:bookmarkEnd w:id="275"/>
      <w:bookmarkEnd w:id="276"/>
    </w:p>
    <w:p w14:paraId="2FCD95C7">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77" w:name="_Toc246996954"/>
      <w:bookmarkStart w:id="278" w:name="_Toc144974535"/>
      <w:bookmarkStart w:id="279" w:name="_Toc246996211"/>
      <w:bookmarkStart w:id="280" w:name="_Toc77586849"/>
      <w:bookmarkStart w:id="281" w:name="_Toc152042343"/>
      <w:bookmarkStart w:id="282" w:name="_Toc152045567"/>
      <w:bookmarkStart w:id="283" w:name="_Toc77586942"/>
      <w:bookmarkStart w:id="284" w:name="_Toc296602456"/>
      <w:bookmarkStart w:id="285" w:name="_Toc179632585"/>
      <w:bookmarkStart w:id="286" w:name="_Toc247085725"/>
      <w:r>
        <w:rPr>
          <w:rFonts w:hint="eastAsia" w:ascii="宋体" w:hAnsi="宋体" w:eastAsia="宋体" w:cs="宋体"/>
          <w:sz w:val="24"/>
          <w:szCs w:val="24"/>
          <w:highlight w:val="none"/>
        </w:rPr>
        <w:t>6.1 定标方式</w:t>
      </w:r>
      <w:bookmarkEnd w:id="277"/>
      <w:bookmarkEnd w:id="278"/>
      <w:bookmarkEnd w:id="279"/>
      <w:bookmarkEnd w:id="280"/>
      <w:bookmarkEnd w:id="281"/>
      <w:bookmarkEnd w:id="282"/>
      <w:bookmarkEnd w:id="283"/>
      <w:bookmarkEnd w:id="284"/>
      <w:bookmarkEnd w:id="285"/>
      <w:bookmarkEnd w:id="286"/>
    </w:p>
    <w:p w14:paraId="2A01185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依据磋商小组推荐的成交候选人确定成交人。</w:t>
      </w:r>
    </w:p>
    <w:p w14:paraId="0E72A98C">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87" w:name="_Toc77586943"/>
      <w:bookmarkStart w:id="288" w:name="_Toc296602457"/>
      <w:bookmarkStart w:id="289" w:name="_Toc77586850"/>
      <w:r>
        <w:rPr>
          <w:rFonts w:hint="eastAsia" w:ascii="宋体" w:hAnsi="宋体" w:eastAsia="宋体" w:cs="宋体"/>
          <w:sz w:val="24"/>
          <w:szCs w:val="24"/>
          <w:highlight w:val="none"/>
        </w:rPr>
        <w:t>6.2 成交候选人公示</w:t>
      </w:r>
      <w:bookmarkEnd w:id="287"/>
      <w:bookmarkEnd w:id="288"/>
      <w:bookmarkEnd w:id="289"/>
    </w:p>
    <w:p w14:paraId="627F7F20">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在</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须知前附表规定的媒介公示成交候选人。</w:t>
      </w:r>
    </w:p>
    <w:p w14:paraId="4668FEDA">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290" w:name="_Toc152042344"/>
      <w:bookmarkStart w:id="291" w:name="_Toc247085726"/>
      <w:bookmarkStart w:id="292" w:name="_Toc179632586"/>
      <w:bookmarkStart w:id="293" w:name="_Toc246996212"/>
      <w:bookmarkStart w:id="294" w:name="_Toc77586851"/>
      <w:bookmarkStart w:id="295" w:name="_Toc144974536"/>
      <w:bookmarkStart w:id="296" w:name="_Toc152045568"/>
      <w:bookmarkStart w:id="297" w:name="_Toc77586944"/>
      <w:bookmarkStart w:id="298" w:name="_Toc246996955"/>
      <w:bookmarkStart w:id="299" w:name="_Toc296602458"/>
      <w:r>
        <w:rPr>
          <w:rFonts w:hint="eastAsia" w:ascii="宋体" w:hAnsi="宋体" w:eastAsia="宋体" w:cs="宋体"/>
          <w:sz w:val="24"/>
          <w:szCs w:val="24"/>
          <w:highlight w:val="none"/>
        </w:rPr>
        <w:t>6.3 成交通知</w:t>
      </w:r>
      <w:bookmarkEnd w:id="290"/>
      <w:bookmarkEnd w:id="291"/>
      <w:bookmarkEnd w:id="292"/>
      <w:bookmarkEnd w:id="293"/>
      <w:bookmarkEnd w:id="294"/>
      <w:bookmarkEnd w:id="295"/>
      <w:bookmarkEnd w:id="296"/>
      <w:bookmarkEnd w:id="297"/>
      <w:bookmarkEnd w:id="298"/>
      <w:bookmarkEnd w:id="299"/>
    </w:p>
    <w:p w14:paraId="01D3616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在本章第3.3款规定的投标有效期内，</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以书面形式向成交人发出成交通知书，同时将成交结果通知未成交的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w:t>
      </w:r>
    </w:p>
    <w:p w14:paraId="26D6266C">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00" w:name="_Toc247085727"/>
      <w:bookmarkStart w:id="301" w:name="_Toc246996956"/>
      <w:bookmarkStart w:id="302" w:name="_Toc152045569"/>
      <w:bookmarkStart w:id="303" w:name="_Toc296602459"/>
      <w:bookmarkStart w:id="304" w:name="_Toc77586852"/>
      <w:bookmarkStart w:id="305" w:name="_Toc179632587"/>
      <w:bookmarkStart w:id="306" w:name="_Toc152042345"/>
      <w:bookmarkStart w:id="307" w:name="_Toc77586945"/>
      <w:bookmarkStart w:id="308" w:name="_Toc144974537"/>
      <w:bookmarkStart w:id="309" w:name="_Toc246996213"/>
      <w:r>
        <w:rPr>
          <w:rFonts w:hint="eastAsia" w:ascii="宋体" w:hAnsi="宋体" w:eastAsia="宋体" w:cs="宋体"/>
          <w:sz w:val="24"/>
          <w:szCs w:val="24"/>
          <w:highlight w:val="none"/>
        </w:rPr>
        <w:t xml:space="preserve">6.4 </w:t>
      </w:r>
      <w:bookmarkEnd w:id="300"/>
      <w:bookmarkEnd w:id="301"/>
      <w:bookmarkEnd w:id="302"/>
      <w:bookmarkEnd w:id="303"/>
      <w:bookmarkEnd w:id="304"/>
      <w:bookmarkEnd w:id="305"/>
      <w:bookmarkEnd w:id="306"/>
      <w:bookmarkEnd w:id="307"/>
      <w:bookmarkEnd w:id="308"/>
      <w:bookmarkEnd w:id="309"/>
      <w:bookmarkStart w:id="310" w:name="_Toc144974538"/>
      <w:bookmarkStart w:id="311" w:name="_Toc296602460"/>
      <w:bookmarkStart w:id="312" w:name="_Toc152042346"/>
      <w:bookmarkStart w:id="313" w:name="_Toc77586853"/>
      <w:bookmarkStart w:id="314" w:name="_Toc152045570"/>
      <w:bookmarkStart w:id="315" w:name="_Toc246996214"/>
      <w:bookmarkStart w:id="316" w:name="_Toc246996957"/>
      <w:bookmarkStart w:id="317" w:name="_Toc179632588"/>
      <w:bookmarkStart w:id="318" w:name="_Toc77586946"/>
      <w:bookmarkStart w:id="319" w:name="_Toc247085728"/>
      <w:r>
        <w:rPr>
          <w:rFonts w:hint="eastAsia" w:ascii="宋体" w:hAnsi="宋体" w:eastAsia="宋体" w:cs="宋体"/>
          <w:sz w:val="24"/>
          <w:szCs w:val="24"/>
          <w:highlight w:val="none"/>
        </w:rPr>
        <w:t>签订合同</w:t>
      </w:r>
      <w:bookmarkEnd w:id="310"/>
      <w:bookmarkEnd w:id="311"/>
      <w:bookmarkEnd w:id="312"/>
      <w:bookmarkEnd w:id="313"/>
      <w:bookmarkEnd w:id="314"/>
      <w:bookmarkEnd w:id="315"/>
      <w:bookmarkEnd w:id="316"/>
      <w:bookmarkEnd w:id="317"/>
      <w:bookmarkEnd w:id="318"/>
      <w:bookmarkEnd w:id="319"/>
    </w:p>
    <w:p w14:paraId="0AA1BBC1">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6.4.1</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和成交人应当自成交通知书发出之日起2个工作日内，根据竞争性磋商文件和成交人的磋商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订立书面合同。成交人无正当理由拒签合同的，</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取消其成交资格，给</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造成的损失应当予以赔偿。</w:t>
      </w:r>
    </w:p>
    <w:p w14:paraId="447A428F">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0" w:name="_Toc77586947"/>
      <w:bookmarkStart w:id="321" w:name="_Toc77586854"/>
      <w:bookmarkStart w:id="322" w:name="_Toc296602461"/>
      <w:r>
        <w:rPr>
          <w:rFonts w:hint="eastAsia" w:ascii="宋体" w:hAnsi="宋体" w:eastAsia="宋体" w:cs="宋体"/>
          <w:sz w:val="24"/>
          <w:szCs w:val="24"/>
          <w:highlight w:val="none"/>
        </w:rPr>
        <w:t>7. 纪律和监督</w:t>
      </w:r>
      <w:bookmarkEnd w:id="320"/>
      <w:bookmarkEnd w:id="321"/>
      <w:bookmarkEnd w:id="322"/>
    </w:p>
    <w:p w14:paraId="2CB2BE06">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23" w:name="_Toc296602462"/>
      <w:bookmarkStart w:id="324" w:name="_Toc77586948"/>
      <w:bookmarkStart w:id="325" w:name="_Toc247085733"/>
      <w:bookmarkStart w:id="326" w:name="_Toc152042351"/>
      <w:bookmarkStart w:id="327" w:name="_Toc144974543"/>
      <w:bookmarkStart w:id="328" w:name="_Toc296590983"/>
      <w:bookmarkStart w:id="329" w:name="_Toc77586855"/>
      <w:bookmarkStart w:id="330" w:name="_Toc179632593"/>
      <w:bookmarkStart w:id="331" w:name="_Toc246996219"/>
      <w:bookmarkStart w:id="332" w:name="_Toc152045575"/>
      <w:bookmarkStart w:id="333" w:name="_Toc246996962"/>
      <w:r>
        <w:rPr>
          <w:rFonts w:hint="eastAsia" w:ascii="宋体" w:hAnsi="宋体" w:eastAsia="宋体" w:cs="宋体"/>
          <w:sz w:val="24"/>
          <w:szCs w:val="24"/>
          <w:highlight w:val="none"/>
        </w:rPr>
        <w:t>7.1 对</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的纪律要求</w:t>
      </w:r>
      <w:bookmarkEnd w:id="323"/>
      <w:bookmarkEnd w:id="324"/>
      <w:bookmarkEnd w:id="325"/>
      <w:bookmarkEnd w:id="326"/>
      <w:bookmarkEnd w:id="327"/>
      <w:bookmarkEnd w:id="328"/>
      <w:bookmarkEnd w:id="329"/>
      <w:bookmarkEnd w:id="330"/>
      <w:bookmarkEnd w:id="331"/>
      <w:bookmarkEnd w:id="332"/>
      <w:bookmarkEnd w:id="333"/>
    </w:p>
    <w:p w14:paraId="518F51E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不得泄漏招标投标活动中应当保密的情况和资料，不得与</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串通损害国家利益、社会公共利益或者他人合法权益。</w:t>
      </w:r>
    </w:p>
    <w:p w14:paraId="30E627BB">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34" w:name="_Toc246996963"/>
      <w:bookmarkStart w:id="335" w:name="_Toc246996220"/>
      <w:bookmarkStart w:id="336" w:name="_Toc144974544"/>
      <w:bookmarkStart w:id="337" w:name="_Toc247085734"/>
      <w:bookmarkStart w:id="338" w:name="_Toc296602463"/>
      <w:bookmarkStart w:id="339" w:name="_Toc152045576"/>
      <w:bookmarkStart w:id="340" w:name="_Toc179632594"/>
      <w:bookmarkStart w:id="341" w:name="_Toc152042352"/>
      <w:bookmarkStart w:id="342" w:name="_Toc77586856"/>
      <w:bookmarkStart w:id="343" w:name="_Toc77586949"/>
      <w:r>
        <w:rPr>
          <w:rFonts w:hint="eastAsia" w:ascii="宋体" w:hAnsi="宋体" w:eastAsia="宋体" w:cs="宋体"/>
          <w:sz w:val="24"/>
          <w:szCs w:val="24"/>
          <w:highlight w:val="none"/>
        </w:rPr>
        <w:t>7.2 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的纪律要求</w:t>
      </w:r>
      <w:bookmarkEnd w:id="334"/>
      <w:bookmarkEnd w:id="335"/>
      <w:bookmarkEnd w:id="336"/>
      <w:bookmarkEnd w:id="337"/>
      <w:bookmarkEnd w:id="338"/>
      <w:bookmarkEnd w:id="339"/>
      <w:bookmarkEnd w:id="340"/>
      <w:bookmarkEnd w:id="341"/>
      <w:bookmarkEnd w:id="342"/>
      <w:bookmarkEnd w:id="343"/>
    </w:p>
    <w:p w14:paraId="15DE9B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不得相互串通投标或者与</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串通投标，不得向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或者磋商小组成员行贿谋取成交，不得以他人名义投标或者以其他方式弄虚作假骗取成交；</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不得以任何方式干扰、影响评标工作。</w:t>
      </w:r>
    </w:p>
    <w:p w14:paraId="3B87597D">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44" w:name="_Toc246996964"/>
      <w:bookmarkStart w:id="345" w:name="_Toc247085735"/>
      <w:bookmarkStart w:id="346" w:name="_Toc179632595"/>
      <w:bookmarkStart w:id="347" w:name="_Toc152042353"/>
      <w:bookmarkStart w:id="348" w:name="_Toc77586950"/>
      <w:bookmarkStart w:id="349" w:name="_Toc246996221"/>
      <w:bookmarkStart w:id="350" w:name="_Toc296602464"/>
      <w:bookmarkStart w:id="351" w:name="_Toc144974545"/>
      <w:bookmarkStart w:id="352" w:name="_Toc77586857"/>
      <w:bookmarkStart w:id="353" w:name="_Toc152045577"/>
      <w:r>
        <w:rPr>
          <w:rFonts w:hint="eastAsia" w:ascii="宋体" w:hAnsi="宋体" w:eastAsia="宋体" w:cs="宋体"/>
          <w:sz w:val="24"/>
          <w:szCs w:val="24"/>
          <w:highlight w:val="none"/>
        </w:rPr>
        <w:t>7.3 对磋商小组成员的纪律要求</w:t>
      </w:r>
      <w:bookmarkEnd w:id="344"/>
      <w:bookmarkEnd w:id="345"/>
      <w:bookmarkEnd w:id="346"/>
      <w:bookmarkEnd w:id="347"/>
      <w:bookmarkEnd w:id="348"/>
      <w:bookmarkEnd w:id="349"/>
      <w:bookmarkEnd w:id="350"/>
      <w:bookmarkEnd w:id="351"/>
      <w:bookmarkEnd w:id="352"/>
      <w:bookmarkEnd w:id="353"/>
    </w:p>
    <w:p w14:paraId="02A661A7">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磋商小组成员不得收受他人的财物或者其他好处，不得向他人透漏对磋商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磋商小组成员应当客观、公正地履行职责，遵守职业道德，不得擅离职守，影响评标程序正常进行，不得使用第三章“评标办法”没有规定的评审因素和标准进行评标。</w:t>
      </w:r>
    </w:p>
    <w:p w14:paraId="53400E4E">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54" w:name="_Toc247085736"/>
      <w:bookmarkStart w:id="355" w:name="_Toc296602465"/>
      <w:bookmarkStart w:id="356" w:name="_Toc152042354"/>
      <w:bookmarkStart w:id="357" w:name="_Toc77586858"/>
      <w:bookmarkStart w:id="358" w:name="_Toc246996222"/>
      <w:bookmarkStart w:id="359" w:name="_Toc77586951"/>
      <w:bookmarkStart w:id="360" w:name="_Toc179632596"/>
      <w:bookmarkStart w:id="361" w:name="_Toc246996965"/>
      <w:bookmarkStart w:id="362" w:name="_Toc152045578"/>
      <w:bookmarkStart w:id="363" w:name="_Toc144974546"/>
      <w:r>
        <w:rPr>
          <w:rFonts w:hint="eastAsia" w:ascii="宋体" w:hAnsi="宋体" w:eastAsia="宋体" w:cs="宋体"/>
          <w:sz w:val="24"/>
          <w:szCs w:val="24"/>
          <w:highlight w:val="none"/>
        </w:rPr>
        <w:t>7.4 对与评标活动有关的工作人员的纪律要求</w:t>
      </w:r>
      <w:bookmarkEnd w:id="354"/>
      <w:bookmarkEnd w:id="355"/>
      <w:bookmarkEnd w:id="356"/>
      <w:bookmarkEnd w:id="357"/>
      <w:bookmarkEnd w:id="358"/>
      <w:bookmarkEnd w:id="359"/>
      <w:bookmarkEnd w:id="360"/>
      <w:bookmarkEnd w:id="361"/>
      <w:bookmarkEnd w:id="362"/>
    </w:p>
    <w:p w14:paraId="4CDF0712">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bookmarkStart w:id="364" w:name="_Toc152042355"/>
      <w:r>
        <w:rPr>
          <w:rFonts w:hint="eastAsia" w:ascii="宋体" w:hAnsi="宋体" w:eastAsia="宋体" w:cs="宋体"/>
          <w:sz w:val="24"/>
          <w:szCs w:val="24"/>
          <w:highlight w:val="none"/>
        </w:rPr>
        <w:t>与评标活动有关的工作人员不得收受他人的财物或者其他好处，不得向他人透漏对磋商</w:t>
      </w: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的评审和比较、成交候选人的推荐情况以及评标有关的其他情况。在评标活动中，与评标活动有关的工作人员不得擅离职守，影响评标程序正常进行。</w:t>
      </w:r>
      <w:bookmarkEnd w:id="364"/>
    </w:p>
    <w:p w14:paraId="75B2126A">
      <w:pPr>
        <w:pStyle w:val="4"/>
        <w:pageBreakBefore w:val="0"/>
        <w:widowControl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82" w:firstLineChars="200"/>
        <w:textAlignment w:val="auto"/>
        <w:rPr>
          <w:rFonts w:hint="eastAsia" w:ascii="宋体" w:hAnsi="宋体" w:eastAsia="宋体" w:cs="宋体"/>
          <w:sz w:val="24"/>
          <w:szCs w:val="24"/>
          <w:highlight w:val="none"/>
        </w:rPr>
      </w:pPr>
      <w:bookmarkStart w:id="365" w:name="_Toc247085737"/>
      <w:bookmarkStart w:id="366" w:name="_Toc77586952"/>
      <w:bookmarkStart w:id="367" w:name="_Toc246996223"/>
      <w:bookmarkStart w:id="368" w:name="_Toc296602466"/>
      <w:bookmarkStart w:id="369" w:name="_Toc179632597"/>
      <w:bookmarkStart w:id="370" w:name="_Toc77586859"/>
      <w:bookmarkStart w:id="371" w:name="_Toc246996966"/>
      <w:bookmarkStart w:id="372" w:name="_Toc152045579"/>
      <w:bookmarkStart w:id="373" w:name="_Toc152042356"/>
      <w:r>
        <w:rPr>
          <w:rFonts w:hint="eastAsia" w:ascii="宋体" w:hAnsi="宋体" w:eastAsia="宋体" w:cs="宋体"/>
          <w:sz w:val="24"/>
          <w:szCs w:val="24"/>
          <w:highlight w:val="none"/>
        </w:rPr>
        <w:t>7.5 投诉</w:t>
      </w:r>
      <w:bookmarkEnd w:id="363"/>
      <w:bookmarkEnd w:id="365"/>
      <w:bookmarkEnd w:id="366"/>
      <w:bookmarkEnd w:id="367"/>
      <w:bookmarkEnd w:id="368"/>
      <w:bookmarkEnd w:id="369"/>
      <w:bookmarkEnd w:id="370"/>
      <w:bookmarkEnd w:id="371"/>
      <w:bookmarkEnd w:id="372"/>
      <w:bookmarkEnd w:id="373"/>
    </w:p>
    <w:p w14:paraId="7B54D425">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和其他利害关系人认为本次招标活动违反法律、法规和规章规定的，有权向有关行政监督部门投诉。</w:t>
      </w:r>
    </w:p>
    <w:p w14:paraId="05C64240">
      <w:pPr>
        <w:pageBreakBefore w:val="0"/>
        <w:widowControl w:val="0"/>
        <w:tabs>
          <w:tab w:val="left" w:pos="3520"/>
        </w:tabs>
        <w:kinsoku/>
        <w:wordWrap/>
        <w:overflowPunct/>
        <w:topLinePunct w:val="0"/>
        <w:autoSpaceDE/>
        <w:autoSpaceDN/>
        <w:bidi w:val="0"/>
        <w:adjustRightInd w:val="0"/>
        <w:snapToGrid w:val="0"/>
        <w:spacing w:beforeAutospacing="0" w:afterAutospacing="0" w:line="360" w:lineRule="auto"/>
        <w:ind w:left="0" w:leftChars="0" w:right="0" w:rightChars="0" w:firstLine="482" w:firstLineChars="200"/>
        <w:textAlignment w:val="auto"/>
        <w:rPr>
          <w:rFonts w:hint="eastAsia" w:ascii="宋体" w:hAnsi="宋体" w:eastAsia="宋体" w:cs="宋体"/>
          <w:b/>
          <w:sz w:val="24"/>
          <w:szCs w:val="24"/>
          <w:highlight w:val="none"/>
        </w:rPr>
      </w:pPr>
      <w:bookmarkStart w:id="374" w:name="_Toc152045580"/>
      <w:bookmarkStart w:id="375" w:name="_Toc152042357"/>
      <w:bookmarkStart w:id="376" w:name="_Toc247085738"/>
      <w:bookmarkStart w:id="377" w:name="_Toc179632598"/>
      <w:bookmarkStart w:id="378" w:name="_Toc246996967"/>
      <w:bookmarkStart w:id="379" w:name="_Toc296602467"/>
      <w:bookmarkStart w:id="380" w:name="_Toc144974547"/>
      <w:bookmarkStart w:id="381" w:name="_Toc77586860"/>
      <w:bookmarkStart w:id="382" w:name="_Toc77586953"/>
      <w:bookmarkStart w:id="383" w:name="_Toc246996224"/>
      <w:r>
        <w:rPr>
          <w:rFonts w:hint="eastAsia" w:ascii="宋体" w:hAnsi="宋体" w:eastAsia="宋体" w:cs="宋体"/>
          <w:b/>
          <w:sz w:val="24"/>
          <w:szCs w:val="24"/>
          <w:highlight w:val="none"/>
        </w:rPr>
        <w:t>8.需要补充的其他内容</w:t>
      </w:r>
      <w:bookmarkEnd w:id="374"/>
      <w:bookmarkEnd w:id="375"/>
      <w:bookmarkEnd w:id="376"/>
      <w:bookmarkEnd w:id="377"/>
      <w:bookmarkEnd w:id="378"/>
      <w:bookmarkEnd w:id="379"/>
      <w:bookmarkEnd w:id="380"/>
      <w:bookmarkEnd w:id="381"/>
      <w:bookmarkEnd w:id="382"/>
      <w:bookmarkEnd w:id="383"/>
      <w:r>
        <w:rPr>
          <w:rFonts w:hint="eastAsia" w:ascii="宋体" w:hAnsi="宋体" w:eastAsia="宋体" w:cs="宋体"/>
          <w:b/>
          <w:sz w:val="24"/>
          <w:szCs w:val="24"/>
          <w:highlight w:val="none"/>
        </w:rPr>
        <w:tab/>
      </w:r>
    </w:p>
    <w:p w14:paraId="4DA373E9">
      <w:pPr>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需要补充的其他内容：见</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w:t>
      </w:r>
    </w:p>
    <w:p w14:paraId="589176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rPr>
      </w:pPr>
    </w:p>
    <w:p w14:paraId="4E95DC38">
      <w:pPr>
        <w:pStyle w:val="21"/>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p>
    <w:bookmarkEnd w:id="10"/>
    <w:p w14:paraId="7787D8F2">
      <w:pPr>
        <w:pageBreakBefore w:val="0"/>
        <w:kinsoku/>
        <w:overflowPunct/>
        <w:topLinePunct w:val="0"/>
        <w:bidi w:val="0"/>
        <w:adjustRightInd w:val="0"/>
        <w:snapToGrid w:val="0"/>
        <w:spacing w:beforeAutospacing="0" w:afterAutospacing="0" w:line="360" w:lineRule="auto"/>
        <w:ind w:left="0" w:leftChars="0" w:right="0" w:rightChars="0" w:firstLine="0" w:firstLineChars="0"/>
        <w:contextualSpacing/>
        <w:outlineLvl w:val="9"/>
        <w:rPr>
          <w:rFonts w:hint="eastAsia" w:ascii="宋体" w:hAnsi="宋体" w:eastAsia="宋体" w:cs="宋体"/>
          <w:sz w:val="24"/>
          <w:szCs w:val="24"/>
          <w:highlight w:val="none"/>
          <w:lang w:val="en-US" w:eastAsia="zh-CN"/>
        </w:rPr>
      </w:pPr>
      <w:bookmarkStart w:id="384" w:name="_Toc16964"/>
      <w:r>
        <w:rPr>
          <w:rFonts w:hint="eastAsia" w:ascii="宋体" w:hAnsi="宋体" w:eastAsia="宋体" w:cs="宋体"/>
          <w:sz w:val="24"/>
          <w:szCs w:val="24"/>
          <w:highlight w:val="none"/>
          <w:lang w:val="en-US" w:eastAsia="zh-CN"/>
        </w:rPr>
        <w:br w:type="page"/>
      </w:r>
    </w:p>
    <w:p w14:paraId="34F416AA">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36"/>
          <w:highlight w:val="none"/>
        </w:rPr>
      </w:pPr>
      <w:bookmarkStart w:id="385" w:name="_Toc18532"/>
      <w:r>
        <w:rPr>
          <w:rFonts w:hint="eastAsia" w:ascii="宋体" w:hAnsi="宋体" w:eastAsia="宋体" w:cs="宋体"/>
          <w:b/>
          <w:bCs/>
          <w:sz w:val="36"/>
          <w:szCs w:val="36"/>
          <w:highlight w:val="none"/>
        </w:rPr>
        <w:t>第</w:t>
      </w:r>
      <w:r>
        <w:rPr>
          <w:rFonts w:hint="eastAsia" w:ascii="宋体" w:hAnsi="宋体" w:eastAsia="宋体" w:cs="宋体"/>
          <w:b/>
          <w:bCs/>
          <w:sz w:val="36"/>
          <w:szCs w:val="36"/>
          <w:highlight w:val="none"/>
          <w:lang w:val="en-US" w:eastAsia="zh-CN"/>
        </w:rPr>
        <w:t>三</w:t>
      </w:r>
      <w:r>
        <w:rPr>
          <w:rFonts w:hint="eastAsia" w:ascii="宋体" w:hAnsi="宋体" w:eastAsia="宋体" w:cs="宋体"/>
          <w:b/>
          <w:bCs/>
          <w:sz w:val="36"/>
          <w:szCs w:val="36"/>
          <w:highlight w:val="none"/>
        </w:rPr>
        <w:t>章</w:t>
      </w:r>
      <w:r>
        <w:rPr>
          <w:rFonts w:hint="eastAsia" w:ascii="宋体" w:hAnsi="宋体" w:eastAsia="宋体" w:cs="宋体"/>
          <w:b/>
          <w:bCs/>
          <w:sz w:val="36"/>
          <w:szCs w:val="36"/>
          <w:highlight w:val="none"/>
          <w:lang w:val="en-US" w:eastAsia="zh-CN"/>
        </w:rPr>
        <w:t xml:space="preserve"> </w:t>
      </w:r>
      <w:r>
        <w:rPr>
          <w:rFonts w:hint="eastAsia" w:ascii="宋体" w:hAnsi="宋体" w:eastAsia="宋体" w:cs="宋体"/>
          <w:b/>
          <w:bCs/>
          <w:sz w:val="36"/>
          <w:szCs w:val="36"/>
          <w:highlight w:val="none"/>
        </w:rPr>
        <w:t>评标办法（综合评</w:t>
      </w:r>
      <w:r>
        <w:rPr>
          <w:rFonts w:hint="eastAsia" w:ascii="宋体" w:hAnsi="宋体" w:eastAsia="宋体" w:cs="宋体"/>
          <w:b/>
          <w:bCs/>
          <w:sz w:val="36"/>
          <w:szCs w:val="36"/>
          <w:highlight w:val="none"/>
          <w:lang w:val="en-US" w:eastAsia="zh-CN"/>
        </w:rPr>
        <w:t>分</w:t>
      </w:r>
      <w:r>
        <w:rPr>
          <w:rFonts w:hint="eastAsia" w:ascii="宋体" w:hAnsi="宋体" w:eastAsia="宋体" w:cs="宋体"/>
          <w:b/>
          <w:bCs/>
          <w:sz w:val="36"/>
          <w:szCs w:val="36"/>
          <w:highlight w:val="none"/>
        </w:rPr>
        <w:t>法）</w:t>
      </w:r>
      <w:bookmarkEnd w:id="385"/>
    </w:p>
    <w:p w14:paraId="38AF18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color w:val="000000"/>
          <w:kern w:val="0"/>
          <w:sz w:val="28"/>
          <w:szCs w:val="32"/>
          <w:highlight w:val="none"/>
          <w:lang w:val="zh-CN"/>
        </w:rPr>
      </w:pPr>
      <w:bookmarkStart w:id="386" w:name="_Toc247085758"/>
      <w:bookmarkEnd w:id="386"/>
      <w:bookmarkStart w:id="387" w:name="_Toc144974567"/>
      <w:bookmarkEnd w:id="387"/>
      <w:bookmarkStart w:id="388" w:name="_Toc387669600"/>
      <w:bookmarkEnd w:id="388"/>
      <w:bookmarkStart w:id="389" w:name="_Toc152042377"/>
      <w:bookmarkEnd w:id="389"/>
      <w:bookmarkStart w:id="390" w:name="_Toc152042376"/>
      <w:bookmarkEnd w:id="390"/>
      <w:bookmarkStart w:id="391" w:name="_Toc7518073"/>
      <w:bookmarkEnd w:id="391"/>
      <w:bookmarkStart w:id="392" w:name="_Toc4293"/>
      <w:bookmarkEnd w:id="392"/>
      <w:bookmarkStart w:id="393" w:name="_Toc179632618"/>
      <w:bookmarkEnd w:id="393"/>
      <w:bookmarkStart w:id="394" w:name="_Toc144974566"/>
      <w:bookmarkEnd w:id="394"/>
      <w:bookmarkStart w:id="395" w:name="_Toc358707206"/>
      <w:bookmarkEnd w:id="395"/>
      <w:bookmarkStart w:id="396" w:name="_Toc1005"/>
      <w:bookmarkEnd w:id="396"/>
      <w:bookmarkStart w:id="397" w:name="_Toc247085757"/>
      <w:bookmarkEnd w:id="397"/>
      <w:bookmarkStart w:id="398" w:name="_Toc246996242"/>
      <w:bookmarkEnd w:id="398"/>
      <w:bookmarkStart w:id="399" w:name="_Toc246996243"/>
      <w:bookmarkEnd w:id="399"/>
      <w:bookmarkStart w:id="400" w:name="_Toc179632617"/>
      <w:bookmarkEnd w:id="400"/>
      <w:bookmarkStart w:id="401" w:name="_Toc358707205"/>
      <w:bookmarkEnd w:id="401"/>
      <w:bookmarkStart w:id="402" w:name="_Toc7518074"/>
      <w:bookmarkEnd w:id="402"/>
      <w:bookmarkStart w:id="403" w:name="_Toc246996986"/>
      <w:bookmarkEnd w:id="403"/>
      <w:bookmarkStart w:id="404" w:name="_Toc246996985"/>
      <w:bookmarkEnd w:id="404"/>
      <w:bookmarkStart w:id="405" w:name="_Toc57105664"/>
      <w:bookmarkStart w:id="406" w:name="_Toc152045600"/>
      <w:r>
        <w:rPr>
          <w:rFonts w:hint="eastAsia" w:ascii="宋体" w:hAnsi="宋体" w:eastAsia="宋体" w:cs="宋体"/>
          <w:b/>
          <w:bCs/>
          <w:color w:val="000000"/>
          <w:kern w:val="0"/>
          <w:sz w:val="28"/>
          <w:szCs w:val="32"/>
          <w:highlight w:val="none"/>
          <w:lang w:val="zh-CN"/>
        </w:rPr>
        <w:t>评标</w:t>
      </w:r>
      <w:r>
        <w:rPr>
          <w:rFonts w:hint="eastAsia" w:ascii="宋体" w:hAnsi="宋体" w:eastAsia="宋体" w:cs="宋体"/>
          <w:b/>
          <w:color w:val="000000"/>
          <w:kern w:val="0"/>
          <w:sz w:val="28"/>
          <w:szCs w:val="32"/>
          <w:highlight w:val="none"/>
          <w:lang w:val="zh-CN"/>
        </w:rPr>
        <w:t>办法前</w:t>
      </w:r>
      <w:r>
        <w:rPr>
          <w:rFonts w:hint="eastAsia" w:ascii="宋体" w:hAnsi="宋体" w:eastAsia="宋体" w:cs="宋体"/>
          <w:b/>
          <w:bCs/>
          <w:color w:val="000000"/>
          <w:kern w:val="0"/>
          <w:sz w:val="28"/>
          <w:szCs w:val="32"/>
          <w:highlight w:val="none"/>
          <w:lang w:val="zh-CN"/>
        </w:rPr>
        <w:t>附表</w:t>
      </w:r>
      <w:bookmarkEnd w:id="405"/>
    </w:p>
    <w:p w14:paraId="227CFF4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highlight w:val="none"/>
        </w:rPr>
      </w:pPr>
      <w:bookmarkStart w:id="407" w:name="OLE_LINK1"/>
      <w:r>
        <w:rPr>
          <w:rFonts w:hint="eastAsia" w:ascii="宋体" w:hAnsi="宋体" w:eastAsia="宋体" w:cs="宋体"/>
          <w:sz w:val="24"/>
          <w:highlight w:val="none"/>
        </w:rPr>
        <w:t>本次竞争性磋商的评审分为初步审查和详细审查。详细审查采用综合评分法，总分为100分。</w:t>
      </w:r>
      <w:bookmarkEnd w:id="407"/>
    </w:p>
    <w:p w14:paraId="1FAA1FB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24"/>
          <w:highlight w:val="none"/>
        </w:rPr>
      </w:pPr>
      <w:r>
        <w:rPr>
          <w:rFonts w:hint="eastAsia" w:ascii="宋体" w:hAnsi="宋体" w:eastAsia="宋体" w:cs="宋体"/>
          <w:b/>
          <w:bCs/>
          <w:sz w:val="24"/>
          <w:highlight w:val="none"/>
        </w:rPr>
        <w:t>1、评标办法前附表</w:t>
      </w:r>
    </w:p>
    <w:p w14:paraId="619C79EF">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val="zh-CN"/>
        </w:rPr>
      </w:pPr>
    </w:p>
    <w:tbl>
      <w:tblPr>
        <w:tblStyle w:val="23"/>
        <w:tblW w:w="8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766"/>
        <w:gridCol w:w="2076"/>
        <w:gridCol w:w="4883"/>
      </w:tblGrid>
      <w:tr w14:paraId="3187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gridSpan w:val="2"/>
            <w:tcMar>
              <w:left w:w="57" w:type="dxa"/>
              <w:right w:w="57" w:type="dxa"/>
            </w:tcMar>
            <w:vAlign w:val="center"/>
          </w:tcPr>
          <w:p w14:paraId="7C3FFC98">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条款号</w:t>
            </w:r>
          </w:p>
        </w:tc>
        <w:tc>
          <w:tcPr>
            <w:tcW w:w="2076" w:type="dxa"/>
            <w:tcMar>
              <w:left w:w="57" w:type="dxa"/>
              <w:right w:w="57" w:type="dxa"/>
            </w:tcMar>
            <w:vAlign w:val="center"/>
          </w:tcPr>
          <w:p w14:paraId="67BC570A">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评审因素</w:t>
            </w:r>
          </w:p>
        </w:tc>
        <w:tc>
          <w:tcPr>
            <w:tcW w:w="4883" w:type="dxa"/>
            <w:tcMar>
              <w:left w:w="57" w:type="dxa"/>
              <w:right w:w="57" w:type="dxa"/>
            </w:tcMar>
            <w:vAlign w:val="center"/>
          </w:tcPr>
          <w:p w14:paraId="176F5083">
            <w:pPr>
              <w:pStyle w:val="41"/>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bCs/>
                <w:sz w:val="24"/>
                <w:szCs w:val="22"/>
                <w:highlight w:val="none"/>
              </w:rPr>
            </w:pPr>
            <w:r>
              <w:rPr>
                <w:rFonts w:hint="eastAsia" w:ascii="宋体" w:hAnsi="宋体" w:eastAsia="宋体" w:cs="宋体"/>
                <w:b/>
                <w:bCs/>
                <w:sz w:val="24"/>
                <w:szCs w:val="22"/>
                <w:highlight w:val="none"/>
              </w:rPr>
              <w:t>评审标准</w:t>
            </w:r>
          </w:p>
        </w:tc>
      </w:tr>
      <w:tr w14:paraId="44ED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350356D4">
            <w:pPr>
              <w:pStyle w:val="20"/>
              <w:pageBreakBefore w:val="0"/>
              <w:kinsoku/>
              <w:overflowPunct/>
              <w:topLinePunct w:val="0"/>
              <w:bidi w:val="0"/>
              <w:adjustRightInd w:val="0"/>
              <w:snapToGrid w:val="0"/>
              <w:spacing w:before="0"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highlight w:val="none"/>
              </w:rPr>
              <w:t>2.1.1</w:t>
            </w:r>
          </w:p>
        </w:tc>
        <w:tc>
          <w:tcPr>
            <w:tcW w:w="0" w:type="auto"/>
            <w:vMerge w:val="restart"/>
            <w:tcMar>
              <w:left w:w="57" w:type="dxa"/>
              <w:right w:w="57" w:type="dxa"/>
            </w:tcMar>
            <w:vAlign w:val="center"/>
          </w:tcPr>
          <w:p w14:paraId="7E4EB02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w:t>
            </w:r>
          </w:p>
        </w:tc>
        <w:tc>
          <w:tcPr>
            <w:tcW w:w="2076" w:type="dxa"/>
            <w:tcMar>
              <w:left w:w="57" w:type="dxa"/>
              <w:right w:w="57" w:type="dxa"/>
            </w:tcMar>
            <w:vAlign w:val="center"/>
          </w:tcPr>
          <w:p w14:paraId="63F421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名称</w:t>
            </w:r>
          </w:p>
        </w:tc>
        <w:tc>
          <w:tcPr>
            <w:tcW w:w="4883" w:type="dxa"/>
            <w:tcMar>
              <w:left w:w="57" w:type="dxa"/>
              <w:right w:w="57" w:type="dxa"/>
            </w:tcMar>
            <w:vAlign w:val="center"/>
          </w:tcPr>
          <w:p w14:paraId="162F89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与营业执照一致。</w:t>
            </w:r>
          </w:p>
        </w:tc>
      </w:tr>
      <w:tr w14:paraId="1C854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CABDF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1A3179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98575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签字盖章</w:t>
            </w:r>
          </w:p>
        </w:tc>
        <w:tc>
          <w:tcPr>
            <w:tcW w:w="4883" w:type="dxa"/>
            <w:tcMar>
              <w:left w:w="57" w:type="dxa"/>
              <w:right w:w="57" w:type="dxa"/>
            </w:tcMar>
            <w:vAlign w:val="center"/>
          </w:tcPr>
          <w:p w14:paraId="29F32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符合第二章“</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须知”规定。</w:t>
            </w:r>
          </w:p>
        </w:tc>
      </w:tr>
      <w:tr w14:paraId="1C46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30BA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BF479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6C6E0D8">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hAnsi="宋体" w:cs="宋体"/>
                <w:color w:val="auto"/>
                <w:highlight w:val="none"/>
                <w:lang w:eastAsia="zh-CN"/>
              </w:rPr>
              <w:t>投标文件</w:t>
            </w:r>
            <w:r>
              <w:rPr>
                <w:rFonts w:hint="eastAsia" w:ascii="宋体" w:hAnsi="宋体" w:eastAsia="宋体" w:cs="宋体"/>
                <w:color w:val="auto"/>
                <w:highlight w:val="none"/>
              </w:rPr>
              <w:t>格式</w:t>
            </w:r>
          </w:p>
        </w:tc>
        <w:tc>
          <w:tcPr>
            <w:tcW w:w="4883" w:type="dxa"/>
            <w:tcMar>
              <w:left w:w="57" w:type="dxa"/>
              <w:right w:w="57" w:type="dxa"/>
            </w:tcMar>
            <w:vAlign w:val="center"/>
          </w:tcPr>
          <w:p w14:paraId="6BF92A19">
            <w:pPr>
              <w:pStyle w:val="38"/>
              <w:pageBreakBefore w:val="0"/>
              <w:widowControl/>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olor w:val="000000"/>
                <w:sz w:val="24"/>
                <w:szCs w:val="24"/>
                <w:highlight w:val="none"/>
              </w:rPr>
            </w:pPr>
            <w:r>
              <w:rPr>
                <w:rFonts w:hint="eastAsia" w:ascii="宋体" w:hAnsi="宋体" w:eastAsia="宋体" w:cs="宋体"/>
                <w:color w:val="auto"/>
                <w:highlight w:val="none"/>
              </w:rPr>
              <w:t>符合第七章“</w:t>
            </w:r>
            <w:r>
              <w:rPr>
                <w:rFonts w:hint="eastAsia" w:hAnsi="宋体" w:cs="宋体"/>
                <w:color w:val="auto"/>
                <w:highlight w:val="none"/>
                <w:lang w:eastAsia="zh-CN"/>
              </w:rPr>
              <w:t>投标文件</w:t>
            </w:r>
            <w:r>
              <w:rPr>
                <w:rFonts w:hint="eastAsia" w:ascii="宋体" w:hAnsi="宋体" w:eastAsia="宋体" w:cs="宋体"/>
                <w:color w:val="auto"/>
                <w:highlight w:val="none"/>
              </w:rPr>
              <w:t>格式”的要求。</w:t>
            </w:r>
          </w:p>
        </w:tc>
      </w:tr>
      <w:tr w14:paraId="2823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8682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4A76F5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2538D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报价唯一</w:t>
            </w:r>
          </w:p>
        </w:tc>
        <w:tc>
          <w:tcPr>
            <w:tcW w:w="4883" w:type="dxa"/>
            <w:tcMar>
              <w:left w:w="57" w:type="dxa"/>
              <w:right w:w="57" w:type="dxa"/>
            </w:tcMar>
            <w:vAlign w:val="center"/>
          </w:tcPr>
          <w:p w14:paraId="79DC7E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只能有一个有效报价。</w:t>
            </w:r>
          </w:p>
        </w:tc>
      </w:tr>
      <w:tr w14:paraId="4F9D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6899B3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w:t>
            </w:r>
          </w:p>
        </w:tc>
        <w:tc>
          <w:tcPr>
            <w:tcW w:w="0" w:type="auto"/>
            <w:vMerge w:val="restart"/>
            <w:tcMar>
              <w:left w:w="57" w:type="dxa"/>
              <w:right w:w="57" w:type="dxa"/>
            </w:tcMar>
            <w:vAlign w:val="center"/>
          </w:tcPr>
          <w:p w14:paraId="550FE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资格评审标准</w:t>
            </w:r>
          </w:p>
        </w:tc>
        <w:tc>
          <w:tcPr>
            <w:tcW w:w="2076" w:type="dxa"/>
            <w:tcMar>
              <w:left w:w="57" w:type="dxa"/>
              <w:right w:w="57" w:type="dxa"/>
            </w:tcMar>
            <w:vAlign w:val="center"/>
          </w:tcPr>
          <w:p w14:paraId="5AB7132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营业执照</w:t>
            </w:r>
          </w:p>
        </w:tc>
        <w:tc>
          <w:tcPr>
            <w:tcW w:w="4883" w:type="dxa"/>
            <w:vAlign w:val="center"/>
          </w:tcPr>
          <w:p w14:paraId="1A780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具有有效的营业执照。</w:t>
            </w:r>
          </w:p>
        </w:tc>
      </w:tr>
      <w:tr w14:paraId="34F28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DDEAA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95F3B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14AF1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资质证书</w:t>
            </w:r>
          </w:p>
        </w:tc>
        <w:tc>
          <w:tcPr>
            <w:tcW w:w="4883" w:type="dxa"/>
            <w:vAlign w:val="center"/>
          </w:tcPr>
          <w:p w14:paraId="32FA2C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7549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72E8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74F12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4C6F4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项目经理</w:t>
            </w:r>
          </w:p>
        </w:tc>
        <w:tc>
          <w:tcPr>
            <w:tcW w:w="4883" w:type="dxa"/>
            <w:vAlign w:val="center"/>
          </w:tcPr>
          <w:p w14:paraId="78B91D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1350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0" w:type="auto"/>
            <w:vMerge w:val="continue"/>
            <w:tcMar>
              <w:left w:w="57" w:type="dxa"/>
              <w:right w:w="57" w:type="dxa"/>
            </w:tcMar>
            <w:vAlign w:val="center"/>
          </w:tcPr>
          <w:p w14:paraId="627CC98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28B4A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ADFE4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无商业贿赂及无不正当竞争承诺</w:t>
            </w:r>
          </w:p>
        </w:tc>
        <w:tc>
          <w:tcPr>
            <w:tcW w:w="4883" w:type="dxa"/>
            <w:vAlign w:val="center"/>
          </w:tcPr>
          <w:p w14:paraId="47F95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2"/>
                <w:highlight w:val="none"/>
                <w:lang w:eastAsia="zh-CN"/>
              </w:rPr>
            </w:pPr>
            <w:r>
              <w:rPr>
                <w:rFonts w:hint="eastAsia" w:ascii="宋体" w:hAnsi="宋体" w:eastAsia="宋体" w:cs="宋体"/>
                <w:sz w:val="24"/>
                <w:szCs w:val="24"/>
                <w:highlight w:val="none"/>
                <w:lang w:val="en-US" w:eastAsia="zh-CN"/>
              </w:rPr>
              <w:t>符合第一章竞争性磋商公告要求</w:t>
            </w:r>
          </w:p>
        </w:tc>
      </w:tr>
      <w:tr w14:paraId="27AD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43B2A9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62D22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FFDB0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信用查询</w:t>
            </w:r>
          </w:p>
        </w:tc>
        <w:tc>
          <w:tcPr>
            <w:tcW w:w="4883" w:type="dxa"/>
            <w:vAlign w:val="center"/>
          </w:tcPr>
          <w:p w14:paraId="388BCE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29EE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28C146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531D50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565970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无拖欠农民工(员工)工资证明 (函)</w:t>
            </w:r>
          </w:p>
        </w:tc>
        <w:tc>
          <w:tcPr>
            <w:tcW w:w="4883" w:type="dxa"/>
            <w:vAlign w:val="center"/>
          </w:tcPr>
          <w:p w14:paraId="0C30D0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A1C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0E7B82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3A194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2E123BF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非联合体投标</w:t>
            </w:r>
          </w:p>
        </w:tc>
        <w:tc>
          <w:tcPr>
            <w:tcW w:w="4883" w:type="dxa"/>
            <w:vAlign w:val="center"/>
          </w:tcPr>
          <w:p w14:paraId="54A3DB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符合第一章竞争性磋商公告要求</w:t>
            </w:r>
          </w:p>
        </w:tc>
      </w:tr>
      <w:tr w14:paraId="10CB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restart"/>
            <w:tcMar>
              <w:left w:w="57" w:type="dxa"/>
              <w:right w:w="57" w:type="dxa"/>
            </w:tcMar>
            <w:vAlign w:val="center"/>
          </w:tcPr>
          <w:p w14:paraId="7DE9FB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2.1.3</w:t>
            </w:r>
          </w:p>
        </w:tc>
        <w:tc>
          <w:tcPr>
            <w:tcW w:w="0" w:type="auto"/>
            <w:vMerge w:val="restart"/>
            <w:tcMar>
              <w:left w:w="57" w:type="dxa"/>
              <w:right w:w="57" w:type="dxa"/>
            </w:tcMar>
            <w:vAlign w:val="center"/>
          </w:tcPr>
          <w:p w14:paraId="0EDFB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响应性评审标准</w:t>
            </w:r>
          </w:p>
        </w:tc>
        <w:tc>
          <w:tcPr>
            <w:tcW w:w="2076" w:type="dxa"/>
            <w:tcMar>
              <w:left w:w="57" w:type="dxa"/>
              <w:right w:w="57" w:type="dxa"/>
            </w:tcMar>
            <w:vAlign w:val="center"/>
          </w:tcPr>
          <w:p w14:paraId="59F8DC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eastAsia="zh-CN"/>
              </w:rPr>
              <w:t>磋商范围</w:t>
            </w:r>
          </w:p>
        </w:tc>
        <w:tc>
          <w:tcPr>
            <w:tcW w:w="4883" w:type="dxa"/>
            <w:vAlign w:val="center"/>
          </w:tcPr>
          <w:p w14:paraId="1C8E93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施工图纸和工程量清单所包含的全部内容</w:t>
            </w:r>
          </w:p>
        </w:tc>
      </w:tr>
      <w:tr w14:paraId="1B759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6C0C89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28088D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69E27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计划工期</w:t>
            </w:r>
          </w:p>
        </w:tc>
        <w:tc>
          <w:tcPr>
            <w:tcW w:w="4883" w:type="dxa"/>
            <w:vAlign w:val="center"/>
          </w:tcPr>
          <w:p w14:paraId="643726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lang w:val="en-US"/>
              </w:rPr>
            </w:pPr>
            <w:r>
              <w:rPr>
                <w:rFonts w:hint="eastAsia" w:ascii="宋体" w:hAnsi="宋体" w:eastAsia="宋体" w:cs="宋体"/>
                <w:sz w:val="24"/>
                <w:szCs w:val="24"/>
                <w:highlight w:val="none"/>
                <w:lang w:val="en-US" w:eastAsia="zh-CN"/>
              </w:rPr>
              <w:t>符合第一章竞争性磋商公告要求</w:t>
            </w:r>
          </w:p>
        </w:tc>
      </w:tr>
      <w:tr w14:paraId="30511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1C7FD4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77BD89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24E4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质量要求</w:t>
            </w:r>
          </w:p>
        </w:tc>
        <w:tc>
          <w:tcPr>
            <w:tcW w:w="4883" w:type="dxa"/>
            <w:vAlign w:val="center"/>
          </w:tcPr>
          <w:p w14:paraId="31D7AA1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符合第一章竞争性磋商公告要求</w:t>
            </w:r>
          </w:p>
        </w:tc>
      </w:tr>
      <w:tr w14:paraId="4280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0" w:type="auto"/>
            <w:vMerge w:val="continue"/>
            <w:tcMar>
              <w:left w:w="57" w:type="dxa"/>
              <w:right w:w="57" w:type="dxa"/>
            </w:tcMar>
            <w:vAlign w:val="center"/>
          </w:tcPr>
          <w:p w14:paraId="7918AD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04FD0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07276B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磋商有效期</w:t>
            </w:r>
          </w:p>
        </w:tc>
        <w:tc>
          <w:tcPr>
            <w:tcW w:w="4883" w:type="dxa"/>
            <w:vAlign w:val="center"/>
          </w:tcPr>
          <w:p w14:paraId="50557CF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4BE58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0" w:type="auto"/>
            <w:vMerge w:val="continue"/>
            <w:tcMar>
              <w:left w:w="57" w:type="dxa"/>
              <w:right w:w="57" w:type="dxa"/>
            </w:tcMar>
            <w:vAlign w:val="center"/>
          </w:tcPr>
          <w:p w14:paraId="0C95B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0" w:type="auto"/>
            <w:vMerge w:val="continue"/>
            <w:tcMar>
              <w:left w:w="57" w:type="dxa"/>
              <w:right w:w="57" w:type="dxa"/>
            </w:tcMar>
            <w:vAlign w:val="center"/>
          </w:tcPr>
          <w:p w14:paraId="0E7A03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p>
        </w:tc>
        <w:tc>
          <w:tcPr>
            <w:tcW w:w="2076" w:type="dxa"/>
            <w:tcMar>
              <w:left w:w="57" w:type="dxa"/>
              <w:right w:w="57" w:type="dxa"/>
            </w:tcMar>
            <w:vAlign w:val="center"/>
          </w:tcPr>
          <w:p w14:paraId="3A1FA8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磋商价格</w:t>
            </w:r>
          </w:p>
        </w:tc>
        <w:tc>
          <w:tcPr>
            <w:tcW w:w="4883" w:type="dxa"/>
            <w:vAlign w:val="center"/>
          </w:tcPr>
          <w:p w14:paraId="77448A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bCs/>
                <w:sz w:val="24"/>
                <w:szCs w:val="24"/>
                <w:highlight w:val="none"/>
              </w:rPr>
              <w:t>本次磋商采用二轮（最终）报价法，</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递交的</w:t>
            </w:r>
            <w:r>
              <w:rPr>
                <w:rFonts w:hint="eastAsia" w:ascii="宋体" w:hAnsi="宋体" w:eastAsia="宋体" w:cs="宋体"/>
                <w:bCs/>
                <w:sz w:val="24"/>
                <w:szCs w:val="24"/>
                <w:highlight w:val="none"/>
                <w:lang w:eastAsia="zh-CN"/>
              </w:rPr>
              <w:t>投标文件</w:t>
            </w:r>
            <w:r>
              <w:rPr>
                <w:rFonts w:hint="eastAsia" w:ascii="宋体" w:hAnsi="宋体" w:eastAsia="宋体" w:cs="宋体"/>
                <w:bCs/>
                <w:sz w:val="24"/>
                <w:szCs w:val="24"/>
                <w:highlight w:val="none"/>
              </w:rPr>
              <w:t>中的报价为第一轮报价，</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的两轮磋商报价都不得高于</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公布的控制价，否则其投标将被否决。</w:t>
            </w:r>
          </w:p>
        </w:tc>
      </w:tr>
    </w:tbl>
    <w:p w14:paraId="65E01D3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r>
        <w:rPr>
          <w:rFonts w:hint="eastAsia" w:ascii="宋体" w:hAnsi="宋体" w:eastAsia="宋体" w:cs="宋体"/>
          <w:b/>
          <w:kern w:val="1"/>
          <w:sz w:val="24"/>
          <w:highlight w:val="none"/>
          <w:lang w:val="zh-CN"/>
        </w:rPr>
        <w:t>二、详细评审</w:t>
      </w:r>
    </w:p>
    <w:p w14:paraId="3E67E96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kern w:val="1"/>
          <w:sz w:val="24"/>
          <w:highlight w:val="none"/>
          <w:lang w:val="zh-CN"/>
        </w:rPr>
      </w:pPr>
    </w:p>
    <w:tbl>
      <w:tblPr>
        <w:tblStyle w:val="23"/>
        <w:tblW w:w="87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9"/>
        <w:gridCol w:w="871"/>
        <w:gridCol w:w="610"/>
        <w:gridCol w:w="921"/>
        <w:gridCol w:w="4515"/>
        <w:gridCol w:w="1134"/>
      </w:tblGrid>
      <w:tr w14:paraId="6CF07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31" w:hRule="atLeast"/>
          <w:jc w:val="center"/>
        </w:trPr>
        <w:tc>
          <w:tcPr>
            <w:tcW w:w="8780" w:type="dxa"/>
            <w:gridSpan w:val="6"/>
            <w:tcBorders>
              <w:tl2br w:val="nil"/>
              <w:tr2bl w:val="nil"/>
            </w:tcBorders>
            <w:vAlign w:val="center"/>
          </w:tcPr>
          <w:p w14:paraId="2FB20C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评分部分（满分100分）</w:t>
            </w:r>
          </w:p>
        </w:tc>
      </w:tr>
      <w:tr w14:paraId="25D3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1600" w:type="dxa"/>
            <w:gridSpan w:val="2"/>
            <w:tcBorders>
              <w:tl2br w:val="nil"/>
              <w:tr2bl w:val="nil"/>
            </w:tcBorders>
            <w:vAlign w:val="center"/>
          </w:tcPr>
          <w:p w14:paraId="466621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分值构成</w:t>
            </w:r>
          </w:p>
          <w:p w14:paraId="504825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(总分100分)</w:t>
            </w:r>
          </w:p>
        </w:tc>
        <w:tc>
          <w:tcPr>
            <w:tcW w:w="7180" w:type="dxa"/>
            <w:gridSpan w:val="4"/>
            <w:tcBorders>
              <w:tl2br w:val="nil"/>
              <w:tr2bl w:val="nil"/>
            </w:tcBorders>
            <w:vAlign w:val="center"/>
          </w:tcPr>
          <w:p w14:paraId="1E5E439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商务标：</w:t>
            </w:r>
            <w:r>
              <w:rPr>
                <w:rFonts w:hint="eastAsia" w:ascii="宋体" w:hAnsi="宋体" w:eastAsia="宋体" w:cs="宋体"/>
                <w:kern w:val="1"/>
                <w:sz w:val="24"/>
                <w:szCs w:val="24"/>
                <w:highlight w:val="none"/>
                <w:u w:val="single"/>
                <w:lang w:bidi="en-US"/>
              </w:rPr>
              <w:t>30</w:t>
            </w:r>
            <w:r>
              <w:rPr>
                <w:rFonts w:hint="eastAsia" w:ascii="宋体" w:hAnsi="宋体" w:eastAsia="宋体" w:cs="宋体"/>
                <w:kern w:val="1"/>
                <w:sz w:val="24"/>
                <w:szCs w:val="24"/>
                <w:highlight w:val="none"/>
                <w:lang w:bidi="en-US"/>
              </w:rPr>
              <w:t>分</w:t>
            </w:r>
          </w:p>
          <w:p w14:paraId="01D878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技术标：</w:t>
            </w:r>
            <w:r>
              <w:rPr>
                <w:rFonts w:hint="eastAsia" w:ascii="宋体" w:hAnsi="宋体" w:eastAsia="宋体" w:cs="宋体"/>
                <w:kern w:val="1"/>
                <w:sz w:val="24"/>
                <w:szCs w:val="24"/>
                <w:highlight w:val="none"/>
                <w:u w:val="single"/>
                <w:lang w:bidi="en-US"/>
              </w:rPr>
              <w:t>50</w:t>
            </w:r>
            <w:r>
              <w:rPr>
                <w:rFonts w:hint="eastAsia" w:ascii="宋体" w:hAnsi="宋体" w:eastAsia="宋体" w:cs="宋体"/>
                <w:kern w:val="1"/>
                <w:sz w:val="24"/>
                <w:szCs w:val="24"/>
                <w:highlight w:val="none"/>
                <w:lang w:bidi="en-US"/>
              </w:rPr>
              <w:t>分</w:t>
            </w:r>
          </w:p>
          <w:p w14:paraId="63E78C2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r>
              <w:rPr>
                <w:rFonts w:hint="eastAsia" w:ascii="宋体" w:hAnsi="宋体" w:eastAsia="宋体" w:cs="宋体"/>
                <w:kern w:val="1"/>
                <w:sz w:val="24"/>
                <w:szCs w:val="24"/>
                <w:highlight w:val="none"/>
                <w:lang w:bidi="en-US"/>
              </w:rPr>
              <w:t>综合标：</w:t>
            </w:r>
            <w:r>
              <w:rPr>
                <w:rFonts w:hint="eastAsia" w:ascii="宋体" w:hAnsi="宋体" w:eastAsia="宋体" w:cs="宋体"/>
                <w:kern w:val="1"/>
                <w:sz w:val="24"/>
                <w:szCs w:val="24"/>
                <w:highlight w:val="none"/>
                <w:u w:val="single"/>
                <w:lang w:bidi="en-US"/>
              </w:rPr>
              <w:t>20</w:t>
            </w:r>
            <w:r>
              <w:rPr>
                <w:rFonts w:hint="eastAsia" w:ascii="宋体" w:hAnsi="宋体" w:eastAsia="宋体" w:cs="宋体"/>
                <w:kern w:val="1"/>
                <w:sz w:val="24"/>
                <w:szCs w:val="24"/>
                <w:highlight w:val="none"/>
                <w:lang w:bidi="en-US"/>
              </w:rPr>
              <w:t>分</w:t>
            </w:r>
          </w:p>
        </w:tc>
      </w:tr>
      <w:tr w14:paraId="35FF0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1600" w:type="dxa"/>
            <w:gridSpan w:val="2"/>
            <w:tcBorders>
              <w:tl2br w:val="nil"/>
              <w:tr2bl w:val="nil"/>
            </w:tcBorders>
            <w:vAlign w:val="center"/>
          </w:tcPr>
          <w:p w14:paraId="4A9E15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评分因素</w:t>
            </w:r>
          </w:p>
        </w:tc>
        <w:tc>
          <w:tcPr>
            <w:tcW w:w="7180" w:type="dxa"/>
            <w:gridSpan w:val="4"/>
            <w:tcBorders>
              <w:tl2br w:val="nil"/>
              <w:tr2bl w:val="nil"/>
            </w:tcBorders>
            <w:vAlign w:val="center"/>
          </w:tcPr>
          <w:p w14:paraId="684039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kern w:val="1"/>
                <w:sz w:val="24"/>
                <w:szCs w:val="24"/>
                <w:highlight w:val="none"/>
                <w:lang w:eastAsia="en-US" w:bidi="en-US"/>
              </w:rPr>
            </w:pPr>
            <w:r>
              <w:rPr>
                <w:rFonts w:hint="eastAsia" w:ascii="宋体" w:hAnsi="宋体" w:eastAsia="宋体" w:cs="宋体"/>
                <w:b/>
                <w:kern w:val="1"/>
                <w:sz w:val="24"/>
                <w:szCs w:val="24"/>
                <w:highlight w:val="none"/>
                <w:lang w:eastAsia="en-US" w:bidi="en-US"/>
              </w:rPr>
              <w:t>评分标准</w:t>
            </w:r>
          </w:p>
        </w:tc>
      </w:tr>
      <w:tr w14:paraId="1D164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tcBorders>
              <w:tl2br w:val="nil"/>
              <w:tr2bl w:val="nil"/>
            </w:tcBorders>
            <w:vAlign w:val="center"/>
          </w:tcPr>
          <w:p w14:paraId="40A2F2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商务标（</w:t>
            </w:r>
            <w:r>
              <w:rPr>
                <w:rFonts w:hint="eastAsia" w:ascii="宋体" w:hAnsi="宋体" w:eastAsia="宋体" w:cs="宋体"/>
                <w:kern w:val="1"/>
                <w:sz w:val="24"/>
                <w:szCs w:val="24"/>
                <w:highlight w:val="none"/>
                <w:lang w:bidi="en-US"/>
              </w:rPr>
              <w:t>3</w:t>
            </w:r>
            <w:r>
              <w:rPr>
                <w:rFonts w:hint="eastAsia" w:ascii="宋体" w:hAnsi="宋体" w:eastAsia="宋体" w:cs="宋体"/>
                <w:kern w:val="1"/>
                <w:sz w:val="24"/>
                <w:szCs w:val="24"/>
                <w:highlight w:val="none"/>
                <w:lang w:eastAsia="en-US" w:bidi="en-US"/>
              </w:rPr>
              <w:t>0分）</w:t>
            </w:r>
          </w:p>
        </w:tc>
        <w:tc>
          <w:tcPr>
            <w:tcW w:w="871" w:type="dxa"/>
            <w:tcBorders>
              <w:tl2br w:val="nil"/>
              <w:tr2bl w:val="nil"/>
            </w:tcBorders>
            <w:vAlign w:val="center"/>
          </w:tcPr>
          <w:p w14:paraId="419FDC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2.2.1磋商</w:t>
            </w:r>
            <w:r>
              <w:rPr>
                <w:rFonts w:hint="eastAsia" w:ascii="宋体" w:hAnsi="宋体" w:eastAsia="宋体" w:cs="宋体"/>
                <w:kern w:val="1"/>
                <w:sz w:val="24"/>
                <w:szCs w:val="24"/>
                <w:highlight w:val="none"/>
                <w:lang w:eastAsia="en-US" w:bidi="en-US"/>
              </w:rPr>
              <w:t>报价</w:t>
            </w:r>
          </w:p>
        </w:tc>
        <w:tc>
          <w:tcPr>
            <w:tcW w:w="7180" w:type="dxa"/>
            <w:gridSpan w:val="4"/>
            <w:tcBorders>
              <w:tl2br w:val="nil"/>
              <w:tr2bl w:val="nil"/>
            </w:tcBorders>
            <w:vAlign w:val="center"/>
          </w:tcPr>
          <w:p w14:paraId="1A21A2F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eastAsia="zh-CN" w:bidi="en-US"/>
              </w:rPr>
            </w:pPr>
            <w:r>
              <w:rPr>
                <w:rFonts w:hint="eastAsia" w:ascii="宋体" w:hAnsi="宋体" w:eastAsia="宋体" w:cs="宋体"/>
                <w:sz w:val="24"/>
                <w:szCs w:val="24"/>
                <w:highlight w:val="none"/>
                <w:lang w:bidi="en-US"/>
              </w:rPr>
              <w:t>根据《政府采购促进中小企业发展管理办法》（财库〔2020〕46号）规定，本项目专门面向中小企业采购,同时供应商须提供《中小企业声明函》</w:t>
            </w:r>
            <w:r>
              <w:rPr>
                <w:rFonts w:hint="eastAsia" w:ascii="宋体" w:hAnsi="宋体" w:eastAsia="宋体" w:cs="宋体"/>
                <w:sz w:val="24"/>
                <w:szCs w:val="24"/>
                <w:highlight w:val="none"/>
                <w:lang w:eastAsia="zh-CN" w:bidi="en-US"/>
              </w:rPr>
              <w:t>。</w:t>
            </w:r>
          </w:p>
          <w:p w14:paraId="23F52B7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 xml:space="preserve">按照《财政部关于加强政府采购货物和服务项目价格评审管理的通知》（财库【2007】2 号）规定，综合评分法中的价格分用低价优先法计算，即满足竞争性磋商文件要求且投标价格最低的投标报价为评标基准价，其价格分为满分30 分。 </w:t>
            </w:r>
          </w:p>
          <w:p w14:paraId="60E4E3B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其他</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 xml:space="preserve">的价格分统一按照下列公式计算： </w:t>
            </w:r>
          </w:p>
          <w:p w14:paraId="70B39E8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bidi="en-US"/>
              </w:rPr>
              <w:t>最终磋商报价得分=(磋商基准价／最后磋商报价)×30</w:t>
            </w:r>
          </w:p>
          <w:p w14:paraId="01C75BF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napToGrid w:val="0"/>
                <w:spacing w:val="11"/>
                <w:kern w:val="2"/>
                <w:sz w:val="24"/>
                <w:szCs w:val="24"/>
                <w:highlight w:val="none"/>
                <w:lang w:val="en-US" w:eastAsia="zh-CN" w:bidi="ar-SA"/>
              </w:rPr>
            </w:pPr>
            <w:r>
              <w:rPr>
                <w:rFonts w:hint="eastAsia" w:ascii="宋体" w:hAnsi="宋体" w:eastAsia="宋体" w:cs="宋体"/>
                <w:sz w:val="24"/>
                <w:szCs w:val="24"/>
                <w:highlight w:val="none"/>
                <w:lang w:bidi="en-US"/>
              </w:rPr>
              <w:t>注：1、</w:t>
            </w:r>
            <w:r>
              <w:rPr>
                <w:rFonts w:hint="eastAsia" w:ascii="宋体" w:hAnsi="宋体" w:eastAsia="宋体" w:cs="宋体"/>
                <w:snapToGrid w:val="0"/>
                <w:spacing w:val="11"/>
                <w:kern w:val="2"/>
                <w:sz w:val="24"/>
                <w:szCs w:val="24"/>
                <w:highlight w:val="none"/>
                <w:lang w:val="en-US" w:eastAsia="zh-CN" w:bidi="ar-SA"/>
              </w:rPr>
              <w:t>促进中小型企业发展，执行财政部、工信部印发的《政府采购促进中小型企业发展暂行办法》，参加政府采购活动的中小企业应当提供《中小企业声明函》并提供证明材料。</w:t>
            </w:r>
          </w:p>
          <w:p w14:paraId="2368C08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2</w:t>
            </w:r>
            <w:r>
              <w:rPr>
                <w:rFonts w:hint="eastAsia" w:ascii="宋体" w:hAnsi="宋体" w:eastAsia="宋体" w:cs="宋体"/>
                <w:sz w:val="24"/>
                <w:szCs w:val="24"/>
                <w:highlight w:val="none"/>
                <w:lang w:bidi="en-US"/>
              </w:rPr>
              <w:t>、评标委员会认为</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的报价明显低于其他通过符合性审查</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的报价，有可能影响产品质量或者不能诚信履约的，应当要求其在评标现场合理的时间内提供书面说明，必要时提交相关证明材料；</w:t>
            </w:r>
            <w:r>
              <w:rPr>
                <w:rFonts w:hint="eastAsia" w:ascii="宋体" w:hAnsi="宋体" w:eastAsia="宋体" w:cs="宋体"/>
                <w:sz w:val="24"/>
                <w:szCs w:val="24"/>
                <w:highlight w:val="none"/>
                <w:lang w:eastAsia="zh-CN" w:bidi="en-US"/>
              </w:rPr>
              <w:t>投标人</w:t>
            </w:r>
            <w:r>
              <w:rPr>
                <w:rFonts w:hint="eastAsia" w:ascii="宋体" w:hAnsi="宋体" w:eastAsia="宋体" w:cs="宋体"/>
                <w:sz w:val="24"/>
                <w:szCs w:val="24"/>
                <w:highlight w:val="none"/>
                <w:lang w:bidi="en-US"/>
              </w:rPr>
              <w:t>不能证明其报价合理性的，评标委员会应当将其作为无效报价处理。</w:t>
            </w:r>
          </w:p>
          <w:p w14:paraId="24DF7FC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bidi="en-US"/>
              </w:rPr>
            </w:pPr>
            <w:r>
              <w:rPr>
                <w:rFonts w:hint="eastAsia" w:ascii="宋体" w:hAnsi="宋体" w:eastAsia="宋体" w:cs="宋体"/>
                <w:sz w:val="24"/>
                <w:szCs w:val="24"/>
                <w:highlight w:val="none"/>
                <w:lang w:val="en-US" w:eastAsia="zh-CN" w:bidi="en-US"/>
              </w:rPr>
              <w:t>3、</w:t>
            </w:r>
            <w:r>
              <w:rPr>
                <w:rFonts w:hint="eastAsia" w:ascii="宋体" w:hAnsi="宋体" w:eastAsia="宋体" w:cs="宋体"/>
                <w:sz w:val="24"/>
                <w:szCs w:val="24"/>
                <w:highlight w:val="none"/>
                <w:lang w:eastAsia="zh-CN" w:bidi="en-US"/>
              </w:rPr>
              <w:t>超过最高限价的报价招标人不予接受，做无效标处理。</w:t>
            </w:r>
          </w:p>
        </w:tc>
      </w:tr>
      <w:tr w14:paraId="56D7B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2C1BCB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技术标</w:t>
            </w:r>
          </w:p>
          <w:p w14:paraId="444893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eastAsia="en-US" w:bidi="en-US"/>
              </w:rPr>
            </w:pPr>
            <w:r>
              <w:rPr>
                <w:rFonts w:hint="eastAsia" w:ascii="宋体" w:hAnsi="宋体" w:eastAsia="宋体" w:cs="宋体"/>
                <w:spacing w:val="6"/>
                <w:kern w:val="1"/>
                <w:sz w:val="24"/>
                <w:szCs w:val="24"/>
                <w:highlight w:val="none"/>
                <w:lang w:eastAsia="en-US" w:bidi="en-US"/>
              </w:rPr>
              <w:t>（</w:t>
            </w:r>
            <w:r>
              <w:rPr>
                <w:rFonts w:hint="eastAsia" w:ascii="宋体" w:hAnsi="宋体" w:eastAsia="宋体" w:cs="宋体"/>
                <w:spacing w:val="6"/>
                <w:kern w:val="1"/>
                <w:sz w:val="24"/>
                <w:szCs w:val="24"/>
                <w:highlight w:val="none"/>
                <w:lang w:bidi="en-US"/>
              </w:rPr>
              <w:t>50</w:t>
            </w:r>
            <w:r>
              <w:rPr>
                <w:rFonts w:hint="eastAsia" w:ascii="宋体" w:hAnsi="宋体" w:eastAsia="宋体" w:cs="宋体"/>
                <w:spacing w:val="6"/>
                <w:kern w:val="1"/>
                <w:sz w:val="24"/>
                <w:szCs w:val="24"/>
                <w:highlight w:val="none"/>
                <w:lang w:eastAsia="en-US" w:bidi="en-US"/>
              </w:rPr>
              <w:t>分）</w:t>
            </w:r>
          </w:p>
        </w:tc>
        <w:tc>
          <w:tcPr>
            <w:tcW w:w="871" w:type="dxa"/>
            <w:vMerge w:val="restart"/>
            <w:tcBorders>
              <w:tl2br w:val="nil"/>
              <w:tr2bl w:val="nil"/>
            </w:tcBorders>
            <w:vAlign w:val="center"/>
          </w:tcPr>
          <w:p w14:paraId="1F7B3F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val="en-US" w:eastAsia="zh-CN" w:bidi="en-US"/>
              </w:rPr>
              <w:t>2.2.2</w:t>
            </w:r>
            <w:r>
              <w:rPr>
                <w:rFonts w:hint="eastAsia" w:ascii="宋体" w:hAnsi="宋体" w:eastAsia="宋体" w:cs="宋体"/>
                <w:spacing w:val="6"/>
                <w:kern w:val="1"/>
                <w:sz w:val="24"/>
                <w:szCs w:val="24"/>
                <w:highlight w:val="none"/>
                <w:lang w:bidi="en-US"/>
              </w:rPr>
              <w:t>施工组织设计</w:t>
            </w:r>
          </w:p>
          <w:p w14:paraId="6CD71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pacing w:val="6"/>
                <w:kern w:val="1"/>
                <w:sz w:val="24"/>
                <w:szCs w:val="24"/>
                <w:highlight w:val="none"/>
                <w:lang w:bidi="en-US"/>
              </w:rPr>
            </w:pPr>
            <w:r>
              <w:rPr>
                <w:rFonts w:hint="eastAsia" w:ascii="宋体" w:hAnsi="宋体" w:eastAsia="宋体" w:cs="宋体"/>
                <w:spacing w:val="6"/>
                <w:kern w:val="1"/>
                <w:sz w:val="24"/>
                <w:szCs w:val="24"/>
                <w:highlight w:val="none"/>
                <w:lang w:bidi="en-US"/>
              </w:rPr>
              <w:t>评分标准</w:t>
            </w:r>
          </w:p>
        </w:tc>
        <w:tc>
          <w:tcPr>
            <w:tcW w:w="1531" w:type="dxa"/>
            <w:gridSpan w:val="2"/>
            <w:tcBorders>
              <w:tl2br w:val="nil"/>
              <w:tr2bl w:val="nil"/>
            </w:tcBorders>
            <w:vAlign w:val="center"/>
          </w:tcPr>
          <w:p w14:paraId="0A0081E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内容完整性</w:t>
            </w:r>
          </w:p>
        </w:tc>
        <w:tc>
          <w:tcPr>
            <w:tcW w:w="4515" w:type="dxa"/>
            <w:tcBorders>
              <w:tl2br w:val="nil"/>
              <w:tr2bl w:val="nil"/>
            </w:tcBorders>
            <w:vAlign w:val="center"/>
          </w:tcPr>
          <w:p w14:paraId="22A387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技术标的主要内容具有完整性，符合招标文件的要求。</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＜得分≤2。</w:t>
            </w:r>
          </w:p>
          <w:p w14:paraId="6C71942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技术标不符合招标文件要求。</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w:t>
            </w:r>
          </w:p>
        </w:tc>
        <w:tc>
          <w:tcPr>
            <w:tcW w:w="1134" w:type="dxa"/>
            <w:tcBorders>
              <w:tl2br w:val="nil"/>
              <w:tr2bl w:val="nil"/>
            </w:tcBorders>
            <w:vAlign w:val="center"/>
          </w:tcPr>
          <w:p w14:paraId="3A0712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p>
        </w:tc>
      </w:tr>
      <w:tr w14:paraId="37DA8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494E5E0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5253F0C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458238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主要施工方案与技术措施</w:t>
            </w:r>
          </w:p>
        </w:tc>
        <w:tc>
          <w:tcPr>
            <w:tcW w:w="4515" w:type="dxa"/>
            <w:tcBorders>
              <w:tl2br w:val="nil"/>
              <w:tr2bl w:val="nil"/>
            </w:tcBorders>
            <w:vAlign w:val="center"/>
          </w:tcPr>
          <w:p w14:paraId="6EDEA06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施工方案（含工程特点、施工重点与难点及绿色施工）总体安排合理，运用先进、合理的施工工艺、施工机械；对施工难点有先进和合理的建议。</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011425B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施工方案（含工程特点、施工重点与难点及绿色施工）总体安排合理，施工工艺、施工机械合理、可行；对施工难点有合理的建议。</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019A6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1ED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729" w:type="dxa"/>
            <w:vMerge w:val="continue"/>
            <w:tcBorders>
              <w:tl2br w:val="nil"/>
              <w:tr2bl w:val="nil"/>
            </w:tcBorders>
          </w:tcPr>
          <w:p w14:paraId="47D1C63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830E8D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704447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质量管理体系与措施</w:t>
            </w:r>
          </w:p>
        </w:tc>
        <w:tc>
          <w:tcPr>
            <w:tcW w:w="4515" w:type="dxa"/>
            <w:tcBorders>
              <w:tl2br w:val="nil"/>
              <w:tr2bl w:val="nil"/>
            </w:tcBorders>
            <w:vAlign w:val="center"/>
          </w:tcPr>
          <w:p w14:paraId="2714CF4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组织机构形式合理，有完善的指挥系统、质量监控系统、联络协调系统，对项目提出先进、可行、具体的保证措施。主体结构质量保证措施完整得力、经济、安全、切实可行。主体结构、装饰装修按照工程建设强制性标准和其他技术标准施工，不得偷工减料。</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3229B9A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组织机构形式基本合理，指挥系统、质量监控系统、联络协调系统，具体措施可行。主体结构质量保证措施经济、安全、基本可行。主体结构、装饰装修符合工程建设强制性标准，不得偷工减料。</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295270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6BFD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6" w:hRule="atLeast"/>
          <w:jc w:val="center"/>
        </w:trPr>
        <w:tc>
          <w:tcPr>
            <w:tcW w:w="729" w:type="dxa"/>
            <w:vMerge w:val="continue"/>
            <w:tcBorders>
              <w:tl2br w:val="nil"/>
              <w:tr2bl w:val="nil"/>
            </w:tcBorders>
          </w:tcPr>
          <w:p w14:paraId="60645D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64ED0A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44F3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安全管理体系与措施</w:t>
            </w:r>
          </w:p>
        </w:tc>
        <w:tc>
          <w:tcPr>
            <w:tcW w:w="4515" w:type="dxa"/>
            <w:tcBorders>
              <w:tl2br w:val="nil"/>
              <w:tr2bl w:val="nil"/>
            </w:tcBorders>
            <w:vAlign w:val="center"/>
          </w:tcPr>
          <w:p w14:paraId="3DE2C2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安全生产保障体系健全，安全管理制度完善，安全管理目标具体，全员安全责任制明确，现场安全管理组织机构、人员配备满足国家规定要求。根据工程特点、周边环境和施工工艺，现场重大危险源辨识全面，制定有项目危险性较大的分部分项工程清单并明确有相应的安全管理措施。安全技术方案措施科学合理、先进可行。</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6265220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有施工安全生产保障体系、安全责任制和安全管理制度，现场安全管理机构、人员配备满足国家规定。根据工程特点、周边环境和施工工艺，正确识别现场重大危险源并有相应的安全防护管理措施。制定有本项目危险性较大的分部分项工程清单和相关专项施工方案（或方案计划），安全技术方案、措施基本可行。</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467BF9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67922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482" w:hRule="atLeast"/>
          <w:jc w:val="center"/>
        </w:trPr>
        <w:tc>
          <w:tcPr>
            <w:tcW w:w="729" w:type="dxa"/>
            <w:vMerge w:val="continue"/>
            <w:tcBorders>
              <w:tl2br w:val="nil"/>
              <w:tr2bl w:val="nil"/>
            </w:tcBorders>
          </w:tcPr>
          <w:p w14:paraId="4AA9514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871" w:type="dxa"/>
            <w:vMerge w:val="continue"/>
            <w:tcBorders>
              <w:tl2br w:val="nil"/>
              <w:tr2bl w:val="nil"/>
            </w:tcBorders>
          </w:tcPr>
          <w:p w14:paraId="498414B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eastAsia="en-US" w:bidi="en-US"/>
              </w:rPr>
            </w:pPr>
          </w:p>
        </w:tc>
        <w:tc>
          <w:tcPr>
            <w:tcW w:w="1531" w:type="dxa"/>
            <w:gridSpan w:val="2"/>
            <w:tcBorders>
              <w:tl2br w:val="nil"/>
              <w:tr2bl w:val="nil"/>
            </w:tcBorders>
            <w:vAlign w:val="center"/>
          </w:tcPr>
          <w:p w14:paraId="7315B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文明施工、环境保护管理体系及施工现场扬尘治理措施</w:t>
            </w:r>
          </w:p>
        </w:tc>
        <w:tc>
          <w:tcPr>
            <w:tcW w:w="4515" w:type="dxa"/>
            <w:tcBorders>
              <w:tl2br w:val="nil"/>
              <w:tr2bl w:val="nil"/>
            </w:tcBorders>
            <w:vAlign w:val="center"/>
          </w:tcPr>
          <w:p w14:paraId="1417373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创安全文明标准化工地目标明确，有针对项目实际情况，科学可行的创建计划和符合相关标准、规范、规程的创建保证措施和安全文明措施费用投入使用计划，现场施工区、生活区、办公区等设置科学规范，符合有关文明施工、健康卫生的规定。施工现场扬尘治理措施符合河南省《城市房屋建筑和市政基础设施工程及道路扬尘污染防治标准》（DBJ41/174）的规定，防治方案科学、先进。</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753D438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有安全文明标准化工地创建目标计划和创建措施，有安全文明措施费用投入使用计划，现场施工区、生活区、办公区等设置符合有关文明施工、健康卫生的规定。施工现场扬尘治理措施基本达到河南省《城市房屋建筑和市政基础设施工程及道路扬尘污染防治标准》（DBJ41/174）的规定，有防治方案。</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7B0F72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10472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3D2EC7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E1B4EE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F36FE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工期保证措施</w:t>
            </w:r>
          </w:p>
        </w:tc>
        <w:tc>
          <w:tcPr>
            <w:tcW w:w="4515" w:type="dxa"/>
            <w:tcBorders>
              <w:tl2br w:val="nil"/>
              <w:tr2bl w:val="nil"/>
            </w:tcBorders>
            <w:vAlign w:val="center"/>
          </w:tcPr>
          <w:p w14:paraId="392DEB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工期承诺满足招标文件要求，工期保证措施合理且有针对性，有具体的违约责任承诺。</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2939ED7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工期承诺满足招标文件要求，工期保证措施基本合理，有具体的违约责任承诺。</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w:t>
            </w:r>
          </w:p>
        </w:tc>
        <w:tc>
          <w:tcPr>
            <w:tcW w:w="1134" w:type="dxa"/>
            <w:tcBorders>
              <w:tl2br w:val="nil"/>
              <w:tr2bl w:val="nil"/>
            </w:tcBorders>
            <w:vAlign w:val="center"/>
          </w:tcPr>
          <w:p w14:paraId="21F91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2387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25" w:hRule="atLeast"/>
          <w:jc w:val="center"/>
        </w:trPr>
        <w:tc>
          <w:tcPr>
            <w:tcW w:w="729" w:type="dxa"/>
            <w:vMerge w:val="continue"/>
            <w:tcBorders>
              <w:tl2br w:val="nil"/>
              <w:tr2bl w:val="nil"/>
            </w:tcBorders>
          </w:tcPr>
          <w:p w14:paraId="266196F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09E6F31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045E6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拟投入资源配备计划</w:t>
            </w:r>
          </w:p>
        </w:tc>
        <w:tc>
          <w:tcPr>
            <w:tcW w:w="4515" w:type="dxa"/>
            <w:tcBorders>
              <w:tl2br w:val="nil"/>
              <w:tr2bl w:val="nil"/>
            </w:tcBorders>
            <w:vAlign w:val="center"/>
          </w:tcPr>
          <w:p w14:paraId="26A6C98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机械：投入计划与进度计划呼应，采用先进机械设备且配置合理、先进，满足安全技术规范和施工进度需要；PC构件运输、安装设备满足施工要求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劳动力：投入计划与进度计划呼应，较好满足施工需要，调配投入计划合理、准确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主要物资计划：主要物资投入计划与进度计划呼应，较好满足施工需要，调配投入计划合理、准确。</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5</w:t>
            </w:r>
          </w:p>
          <w:p w14:paraId="6245A67D">
            <w:pPr>
              <w:widowControl/>
              <w:spacing w:line="360" w:lineRule="auto"/>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机械：投入计划与进度计划呼应，机械设备配置基本合理，满足安全技术规范和施工进度需要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劳动力：投入计划与进度计划呼应，基本满足施工需要，调配投入计划基本合理</w:t>
            </w:r>
            <w:r>
              <w:rPr>
                <w:rFonts w:hint="eastAsia" w:ascii="宋体" w:hAnsi="宋体" w:eastAsia="宋体" w:cs="宋体"/>
                <w:sz w:val="24"/>
                <w:szCs w:val="24"/>
                <w:highlight w:val="none"/>
                <w:lang w:eastAsia="zh-CN"/>
              </w:rPr>
              <w:t>。</w:t>
            </w:r>
            <w:r>
              <w:rPr>
                <w:rFonts w:hint="eastAsia" w:ascii="宋体" w:hAnsi="宋体" w:eastAsia="宋体" w:cs="宋体"/>
                <w:spacing w:val="-4"/>
                <w:sz w:val="24"/>
                <w:szCs w:val="24"/>
                <w:highlight w:val="none"/>
              </w:rPr>
              <w:t>主要物资计划：主要物资投入计划与进度计划呼应，基本满足施工需要，调配投入计划基本合理。</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2.5</w:t>
            </w:r>
          </w:p>
        </w:tc>
        <w:tc>
          <w:tcPr>
            <w:tcW w:w="1134" w:type="dxa"/>
            <w:tcBorders>
              <w:tl2br w:val="nil"/>
              <w:tr2bl w:val="nil"/>
            </w:tcBorders>
            <w:vAlign w:val="center"/>
          </w:tcPr>
          <w:p w14:paraId="4B7EC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分</w:t>
            </w:r>
          </w:p>
        </w:tc>
      </w:tr>
      <w:tr w14:paraId="2C8DA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continue"/>
            <w:tcBorders>
              <w:tl2br w:val="nil"/>
              <w:tr2bl w:val="nil"/>
            </w:tcBorders>
          </w:tcPr>
          <w:p w14:paraId="72C4CF8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21F754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7288E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施工进度表</w:t>
            </w:r>
          </w:p>
        </w:tc>
        <w:tc>
          <w:tcPr>
            <w:tcW w:w="4515" w:type="dxa"/>
            <w:tcBorders>
              <w:tl2br w:val="nil"/>
              <w:tr2bl w:val="nil"/>
            </w:tcBorders>
            <w:vAlign w:val="center"/>
          </w:tcPr>
          <w:p w14:paraId="7A008461">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关键线路清晰、准确、完整、计划编制合理、可行、满足招标文件对工期的要求。</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269C13D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关键线路基本准确，计划编制基本可行。</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5BBDDA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58EE3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771B7BD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69B2105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04133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施工总平面图布置</w:t>
            </w:r>
          </w:p>
        </w:tc>
        <w:tc>
          <w:tcPr>
            <w:tcW w:w="4515" w:type="dxa"/>
            <w:tcBorders>
              <w:tl2br w:val="nil"/>
              <w:tr2bl w:val="nil"/>
            </w:tcBorders>
            <w:vAlign w:val="center"/>
          </w:tcPr>
          <w:p w14:paraId="285A529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总体布置有针对性、合理、能较好满足施工需要，符合安全、文明施工要求；材料堆放有序。</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253D247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rPr>
            </w:pPr>
            <w:r>
              <w:rPr>
                <w:rFonts w:hint="eastAsia" w:ascii="宋体" w:hAnsi="宋体" w:eastAsia="宋体" w:cs="宋体"/>
                <w:sz w:val="24"/>
                <w:szCs w:val="24"/>
                <w:highlight w:val="none"/>
              </w:rPr>
              <w:t>总体布置基本合理、基本满足施工需要。</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104E6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D699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9" w:hRule="atLeast"/>
          <w:jc w:val="center"/>
        </w:trPr>
        <w:tc>
          <w:tcPr>
            <w:tcW w:w="729" w:type="dxa"/>
            <w:vMerge w:val="continue"/>
            <w:tcBorders>
              <w:tl2br w:val="nil"/>
              <w:tr2bl w:val="nil"/>
            </w:tcBorders>
          </w:tcPr>
          <w:p w14:paraId="604E6C5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1B22A89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596413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技术创新的应用实施措施</w:t>
            </w:r>
          </w:p>
        </w:tc>
        <w:tc>
          <w:tcPr>
            <w:tcW w:w="4515" w:type="dxa"/>
            <w:tcBorders>
              <w:tl2br w:val="nil"/>
              <w:tr2bl w:val="nil"/>
            </w:tcBorders>
            <w:vAlign w:val="center"/>
          </w:tcPr>
          <w:p w14:paraId="1EC22939">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节能减排、绿色施工、工艺创新、装配式建筑等技术创新的应用实施措施符合工程情况，具有针对性、可行性、经济适用性。</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2B4D09F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节能减排、绿色施工、工艺创新、装配式建筑等技术创新</w:t>
            </w:r>
            <w:r>
              <w:rPr>
                <w:rFonts w:hint="eastAsia" w:ascii="宋体" w:hAnsi="宋体" w:eastAsia="宋体" w:cs="宋体"/>
                <w:spacing w:val="-8"/>
                <w:sz w:val="24"/>
                <w:szCs w:val="24"/>
                <w:highlight w:val="none"/>
              </w:rPr>
              <w:t>的应用实施措施基本符合工程情况，具有针</w:t>
            </w:r>
            <w:r>
              <w:rPr>
                <w:rFonts w:hint="eastAsia" w:ascii="宋体" w:hAnsi="宋体" w:eastAsia="宋体" w:cs="宋体"/>
                <w:sz w:val="24"/>
                <w:szCs w:val="24"/>
                <w:highlight w:val="none"/>
              </w:rPr>
              <w:t>对性。</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021ACF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08B1A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2387D09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2470420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3CCA1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w:t>
            </w:r>
          </w:p>
        </w:tc>
        <w:tc>
          <w:tcPr>
            <w:tcW w:w="4515" w:type="dxa"/>
            <w:tcBorders>
              <w:tl2br w:val="nil"/>
              <w:tr2bl w:val="nil"/>
            </w:tcBorders>
            <w:vAlign w:val="center"/>
          </w:tcPr>
          <w:p w14:paraId="70398CC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采用新工艺、新技术、新设备、新材料、BIM等的程度满足设计要求，符合施工需要和相应技术标准等规定，经济适用。</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11DF9BD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采用新工艺、新技术、新设备、新材料等的程度满足设计要求，基本符合施工要求和相应技术标准等规定。</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6E6869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CDD1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74" w:hRule="atLeast"/>
          <w:jc w:val="center"/>
        </w:trPr>
        <w:tc>
          <w:tcPr>
            <w:tcW w:w="729" w:type="dxa"/>
            <w:vMerge w:val="continue"/>
            <w:tcBorders>
              <w:tl2br w:val="nil"/>
              <w:tr2bl w:val="nil"/>
            </w:tcBorders>
          </w:tcPr>
          <w:p w14:paraId="73A00E7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4470EFF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6DD38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w:t>
            </w:r>
          </w:p>
        </w:tc>
        <w:tc>
          <w:tcPr>
            <w:tcW w:w="4515" w:type="dxa"/>
            <w:tcBorders>
              <w:tl2br w:val="nil"/>
              <w:tr2bl w:val="nil"/>
            </w:tcBorders>
            <w:vAlign w:val="center"/>
          </w:tcPr>
          <w:p w14:paraId="2DDF6455">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施工现场实施信息化监控和数据处理系统布置合理，满足需要。</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2AEC084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施工现场实施信息化监控和数据处理系统布置基本符合需要。</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7F91D2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-3分</w:t>
            </w:r>
          </w:p>
        </w:tc>
      </w:tr>
      <w:tr w14:paraId="30D56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79" w:hRule="atLeast"/>
          <w:jc w:val="center"/>
        </w:trPr>
        <w:tc>
          <w:tcPr>
            <w:tcW w:w="729" w:type="dxa"/>
            <w:vMerge w:val="continue"/>
            <w:tcBorders>
              <w:tl2br w:val="nil"/>
              <w:tr2bl w:val="nil"/>
            </w:tcBorders>
          </w:tcPr>
          <w:p w14:paraId="453C54E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871" w:type="dxa"/>
            <w:vMerge w:val="continue"/>
            <w:tcBorders>
              <w:tl2br w:val="nil"/>
              <w:tr2bl w:val="nil"/>
            </w:tcBorders>
          </w:tcPr>
          <w:p w14:paraId="3EC97B7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kern w:val="1"/>
                <w:sz w:val="24"/>
                <w:szCs w:val="24"/>
                <w:highlight w:val="none"/>
                <w:lang w:bidi="en-US"/>
              </w:rPr>
            </w:pPr>
          </w:p>
        </w:tc>
        <w:tc>
          <w:tcPr>
            <w:tcW w:w="1531" w:type="dxa"/>
            <w:gridSpan w:val="2"/>
            <w:tcBorders>
              <w:tl2br w:val="nil"/>
              <w:tr2bl w:val="nil"/>
            </w:tcBorders>
            <w:vAlign w:val="center"/>
          </w:tcPr>
          <w:p w14:paraId="15979F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风险管理措施</w:t>
            </w:r>
          </w:p>
        </w:tc>
        <w:tc>
          <w:tcPr>
            <w:tcW w:w="4515" w:type="dxa"/>
            <w:tcBorders>
              <w:tl2br w:val="nil"/>
              <w:tr2bl w:val="nil"/>
            </w:tcBorders>
            <w:vAlign w:val="center"/>
          </w:tcPr>
          <w:p w14:paraId="7EB65AB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风险防控管理措施齐全，风险预控符合规范要求，风险控制要点定位准确，各阶段风险控制及应急措施得力。</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3</w:t>
            </w:r>
          </w:p>
          <w:p w14:paraId="7D0F5E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风险防控管理措施基本齐全，风险预控符合规范要求，风险控制要点定位基本准确，有各阶段风险控制及应急措施。</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1.5</w:t>
            </w:r>
          </w:p>
        </w:tc>
        <w:tc>
          <w:tcPr>
            <w:tcW w:w="1134" w:type="dxa"/>
            <w:tcBorders>
              <w:tl2br w:val="nil"/>
              <w:tr2bl w:val="nil"/>
            </w:tcBorders>
            <w:vAlign w:val="center"/>
          </w:tcPr>
          <w:p w14:paraId="1DFA9F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w:t>
            </w:r>
          </w:p>
        </w:tc>
      </w:tr>
      <w:tr w14:paraId="69C64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44" w:hRule="atLeast"/>
          <w:jc w:val="center"/>
        </w:trPr>
        <w:tc>
          <w:tcPr>
            <w:tcW w:w="729" w:type="dxa"/>
            <w:vMerge w:val="restart"/>
            <w:tcBorders>
              <w:tl2br w:val="nil"/>
              <w:tr2bl w:val="nil"/>
            </w:tcBorders>
            <w:vAlign w:val="center"/>
          </w:tcPr>
          <w:p w14:paraId="115344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val="en-US" w:eastAsia="zh-CN" w:bidi="en-US"/>
              </w:rPr>
              <w:t>2.2.3</w:t>
            </w:r>
            <w:r>
              <w:rPr>
                <w:rFonts w:hint="eastAsia" w:ascii="宋体" w:hAnsi="宋体" w:eastAsia="宋体" w:cs="宋体"/>
                <w:kern w:val="1"/>
                <w:sz w:val="24"/>
                <w:szCs w:val="24"/>
                <w:highlight w:val="none"/>
                <w:lang w:eastAsia="en-US" w:bidi="en-US"/>
              </w:rPr>
              <w:t>综合标</w:t>
            </w:r>
          </w:p>
          <w:p w14:paraId="566577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eastAsia="en-US" w:bidi="en-US"/>
              </w:rPr>
            </w:pPr>
            <w:r>
              <w:rPr>
                <w:rFonts w:hint="eastAsia" w:ascii="宋体" w:hAnsi="宋体" w:eastAsia="宋体" w:cs="宋体"/>
                <w:kern w:val="1"/>
                <w:sz w:val="24"/>
                <w:szCs w:val="24"/>
                <w:highlight w:val="none"/>
                <w:lang w:eastAsia="en-US" w:bidi="en-US"/>
              </w:rPr>
              <w:t>（</w:t>
            </w:r>
            <w:r>
              <w:rPr>
                <w:rFonts w:hint="eastAsia" w:ascii="宋体" w:hAnsi="宋体" w:eastAsia="宋体" w:cs="宋体"/>
                <w:kern w:val="1"/>
                <w:sz w:val="24"/>
                <w:szCs w:val="24"/>
                <w:highlight w:val="none"/>
                <w:lang w:bidi="en-US"/>
              </w:rPr>
              <w:t>20</w:t>
            </w:r>
            <w:r>
              <w:rPr>
                <w:rFonts w:hint="eastAsia" w:ascii="宋体" w:hAnsi="宋体" w:eastAsia="宋体" w:cs="宋体"/>
                <w:kern w:val="1"/>
                <w:sz w:val="24"/>
                <w:szCs w:val="24"/>
                <w:highlight w:val="none"/>
                <w:lang w:eastAsia="en-US" w:bidi="en-US"/>
              </w:rPr>
              <w:t>分）</w:t>
            </w:r>
          </w:p>
        </w:tc>
        <w:tc>
          <w:tcPr>
            <w:tcW w:w="1481" w:type="dxa"/>
            <w:gridSpan w:val="2"/>
            <w:tcBorders>
              <w:tl2br w:val="nil"/>
              <w:tr2bl w:val="nil"/>
            </w:tcBorders>
            <w:vAlign w:val="center"/>
          </w:tcPr>
          <w:p w14:paraId="0EFF41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企业业绩</w:t>
            </w:r>
          </w:p>
          <w:p w14:paraId="333D73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EAE66D4">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年1月1日以来承担过类似业绩每份2分，最多得</w:t>
            </w:r>
            <w:r>
              <w:rPr>
                <w:rFonts w:hint="eastAsia" w:ascii="宋体" w:hAnsi="宋体" w:eastAsia="宋体" w:cs="宋体"/>
                <w:bCs/>
                <w:kern w:val="1"/>
                <w:sz w:val="24"/>
                <w:szCs w:val="24"/>
                <w:highlight w:val="none"/>
                <w:lang w:val="en-US" w:eastAsia="zh-CN"/>
              </w:rPr>
              <w:t>6</w:t>
            </w:r>
            <w:r>
              <w:rPr>
                <w:rFonts w:hint="eastAsia" w:ascii="宋体" w:hAnsi="宋体" w:eastAsia="宋体" w:cs="宋体"/>
                <w:bCs/>
                <w:kern w:val="1"/>
                <w:sz w:val="24"/>
                <w:szCs w:val="24"/>
                <w:highlight w:val="none"/>
                <w:lang w:val="zh-CN"/>
              </w:rPr>
              <w:t>分，</w:t>
            </w:r>
            <w:r>
              <w:rPr>
                <w:rFonts w:hint="eastAsia" w:ascii="宋体" w:hAnsi="宋体" w:eastAsia="宋体" w:cs="宋体"/>
                <w:sz w:val="24"/>
                <w:szCs w:val="24"/>
                <w:highlight w:val="none"/>
              </w:rPr>
              <w:t>未提供者不得分</w:t>
            </w:r>
            <w:r>
              <w:rPr>
                <w:rFonts w:hint="eastAsia" w:ascii="宋体" w:hAnsi="宋体" w:eastAsia="宋体" w:cs="宋体"/>
                <w:sz w:val="24"/>
                <w:szCs w:val="24"/>
                <w:highlight w:val="none"/>
                <w:lang w:eastAsia="zh-CN"/>
              </w:rPr>
              <w:t>。</w:t>
            </w:r>
            <w:r>
              <w:rPr>
                <w:rFonts w:hint="eastAsia" w:ascii="宋体" w:hAnsi="宋体" w:eastAsia="宋体" w:cs="宋体"/>
                <w:bCs/>
                <w:kern w:val="1"/>
                <w:sz w:val="24"/>
                <w:szCs w:val="24"/>
                <w:highlight w:val="none"/>
                <w:lang w:val="zh-CN"/>
              </w:rPr>
              <w:t>（</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合同协议书及</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w:t>
            </w:r>
            <w:r>
              <w:rPr>
                <w:rFonts w:hint="eastAsia" w:ascii="宋体" w:hAnsi="宋体" w:eastAsia="宋体" w:cs="宋体"/>
                <w:bCs/>
                <w:kern w:val="1"/>
                <w:sz w:val="24"/>
                <w:szCs w:val="24"/>
                <w:highlight w:val="none"/>
                <w:lang w:val="zh-CN"/>
              </w:rPr>
              <w:t>）</w:t>
            </w:r>
          </w:p>
        </w:tc>
      </w:tr>
      <w:tr w14:paraId="02239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04" w:hRule="atLeast"/>
          <w:jc w:val="center"/>
        </w:trPr>
        <w:tc>
          <w:tcPr>
            <w:tcW w:w="729" w:type="dxa"/>
            <w:vMerge w:val="continue"/>
            <w:tcBorders>
              <w:tl2br w:val="nil"/>
              <w:tr2bl w:val="nil"/>
            </w:tcBorders>
            <w:vAlign w:val="center"/>
          </w:tcPr>
          <w:p w14:paraId="302CE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25C35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项目经理业绩</w:t>
            </w:r>
          </w:p>
          <w:p w14:paraId="7C039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21C6E240">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bCs/>
                <w:kern w:val="1"/>
                <w:sz w:val="24"/>
                <w:szCs w:val="24"/>
                <w:highlight w:val="none"/>
                <w:lang w:val="zh-CN"/>
              </w:rPr>
              <w:t>202</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年1月1日以来项目经理承担过类似业绩每份</w:t>
            </w:r>
            <w:r>
              <w:rPr>
                <w:rFonts w:hint="eastAsia" w:ascii="宋体" w:hAnsi="宋体" w:eastAsia="宋体" w:cs="宋体"/>
                <w:bCs/>
                <w:kern w:val="1"/>
                <w:sz w:val="24"/>
                <w:szCs w:val="24"/>
                <w:highlight w:val="none"/>
                <w:lang w:val="en-US" w:eastAsia="zh-CN"/>
              </w:rPr>
              <w:t>1</w:t>
            </w:r>
            <w:r>
              <w:rPr>
                <w:rFonts w:hint="eastAsia" w:ascii="宋体" w:hAnsi="宋体" w:eastAsia="宋体" w:cs="宋体"/>
                <w:bCs/>
                <w:kern w:val="1"/>
                <w:sz w:val="24"/>
                <w:szCs w:val="24"/>
                <w:highlight w:val="none"/>
                <w:lang w:val="zh-CN"/>
              </w:rPr>
              <w:t>分，最多得</w:t>
            </w:r>
            <w:r>
              <w:rPr>
                <w:rFonts w:hint="eastAsia" w:ascii="宋体" w:hAnsi="宋体" w:eastAsia="宋体" w:cs="宋体"/>
                <w:bCs/>
                <w:kern w:val="1"/>
                <w:sz w:val="24"/>
                <w:szCs w:val="24"/>
                <w:highlight w:val="none"/>
                <w:lang w:val="en-US" w:eastAsia="zh-CN"/>
              </w:rPr>
              <w:t>2</w:t>
            </w:r>
            <w:r>
              <w:rPr>
                <w:rFonts w:hint="eastAsia" w:ascii="宋体" w:hAnsi="宋体" w:eastAsia="宋体" w:cs="宋体"/>
                <w:bCs/>
                <w:kern w:val="1"/>
                <w:sz w:val="24"/>
                <w:szCs w:val="24"/>
                <w:highlight w:val="none"/>
                <w:lang w:val="zh-CN"/>
              </w:rPr>
              <w:t>分（</w:t>
            </w:r>
            <w:r>
              <w:rPr>
                <w:rFonts w:hint="eastAsia" w:ascii="宋体" w:hAnsi="宋体" w:eastAsia="宋体" w:cs="宋体"/>
                <w:b/>
                <w:bCs/>
                <w:color w:val="000000"/>
                <w:sz w:val="24"/>
                <w:szCs w:val="24"/>
                <w:highlight w:val="none"/>
              </w:rPr>
              <w:t>以</w:t>
            </w:r>
            <w:r>
              <w:rPr>
                <w:rFonts w:hint="eastAsia" w:ascii="宋体" w:hAnsi="宋体" w:eastAsia="宋体" w:cs="宋体"/>
                <w:b/>
                <w:bCs/>
                <w:sz w:val="24"/>
                <w:szCs w:val="24"/>
                <w:highlight w:val="none"/>
                <w:lang w:eastAsia="zh-CN"/>
              </w:rPr>
              <w:t>合同协议书</w:t>
            </w:r>
            <w:r>
              <w:rPr>
                <w:rFonts w:hint="eastAsia" w:ascii="宋体" w:hAnsi="宋体" w:eastAsia="宋体" w:cs="宋体"/>
                <w:b/>
                <w:bCs/>
                <w:sz w:val="24"/>
                <w:szCs w:val="24"/>
                <w:highlight w:val="none"/>
                <w:lang w:val="en-US" w:eastAsia="zh-CN"/>
              </w:rPr>
              <w:t>或</w:t>
            </w:r>
            <w:r>
              <w:rPr>
                <w:rFonts w:hint="eastAsia" w:ascii="宋体" w:hAnsi="宋体" w:eastAsia="宋体" w:cs="宋体"/>
                <w:b/>
                <w:bCs/>
                <w:sz w:val="24"/>
                <w:szCs w:val="24"/>
                <w:highlight w:val="none"/>
              </w:rPr>
              <w:t>中标通知书</w:t>
            </w:r>
            <w:r>
              <w:rPr>
                <w:rFonts w:hint="eastAsia" w:ascii="宋体" w:hAnsi="宋体" w:eastAsia="宋体" w:cs="宋体"/>
                <w:b/>
                <w:bCs/>
                <w:color w:val="000000"/>
                <w:sz w:val="24"/>
                <w:szCs w:val="24"/>
                <w:highlight w:val="none"/>
                <w:lang w:val="en-US" w:eastAsia="zh-CN"/>
              </w:rPr>
              <w:t>为准，企业业绩与项目经理业绩不累计计分</w:t>
            </w:r>
            <w:r>
              <w:rPr>
                <w:rFonts w:hint="eastAsia" w:ascii="宋体" w:hAnsi="宋体" w:eastAsia="宋体" w:cs="宋体"/>
                <w:bCs/>
                <w:kern w:val="1"/>
                <w:sz w:val="24"/>
                <w:szCs w:val="24"/>
                <w:highlight w:val="none"/>
                <w:lang w:val="zh-CN"/>
              </w:rPr>
              <w:t>）</w:t>
            </w:r>
          </w:p>
        </w:tc>
      </w:tr>
      <w:tr w14:paraId="2647F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90" w:hRule="atLeast"/>
          <w:jc w:val="center"/>
        </w:trPr>
        <w:tc>
          <w:tcPr>
            <w:tcW w:w="729" w:type="dxa"/>
            <w:vMerge w:val="continue"/>
            <w:tcBorders>
              <w:tl2br w:val="nil"/>
              <w:tr2bl w:val="nil"/>
            </w:tcBorders>
            <w:vAlign w:val="center"/>
          </w:tcPr>
          <w:p w14:paraId="6C2ECB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4D5D3F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履职尽责承诺</w:t>
            </w:r>
          </w:p>
          <w:p w14:paraId="77BE4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3F1A7CA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具有全面、详实、可行、合法有效的书面保证技术措施落实到位的承诺，其中包括各关键岗位人员（项目经理、技术负责人及相关技术人员、质量员、安全员、材料员等）的在岗、更换等履职尽责承诺，提供承包商履约保证。</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＜得分≤</w:t>
            </w:r>
            <w:r>
              <w:rPr>
                <w:rFonts w:hint="eastAsia" w:ascii="宋体" w:hAnsi="宋体" w:eastAsia="宋体" w:cs="宋体"/>
                <w:sz w:val="24"/>
                <w:szCs w:val="24"/>
                <w:highlight w:val="none"/>
                <w:lang w:val="en-US" w:eastAsia="zh-CN"/>
              </w:rPr>
              <w:t>6</w:t>
            </w:r>
          </w:p>
          <w:p w14:paraId="1E72417F">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具有可行、合法有效的书面保证技术措施落实到位的承诺，其中包括各关键岗位人员（项目经理、技术负责人及相关技术人员、质量员、安全员、材料员等）的在岗、更换等履职尽责承诺，提供承包商履约保证。0≤得分≤</w:t>
            </w:r>
            <w:r>
              <w:rPr>
                <w:rFonts w:hint="eastAsia" w:ascii="宋体" w:hAnsi="宋体" w:eastAsia="宋体" w:cs="宋体"/>
                <w:sz w:val="24"/>
                <w:szCs w:val="24"/>
                <w:highlight w:val="none"/>
                <w:lang w:val="en-US" w:eastAsia="zh-CN"/>
              </w:rPr>
              <w:t>3</w:t>
            </w:r>
          </w:p>
        </w:tc>
      </w:tr>
      <w:tr w14:paraId="2615E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34" w:hRule="atLeast"/>
          <w:jc w:val="center"/>
        </w:trPr>
        <w:tc>
          <w:tcPr>
            <w:tcW w:w="729" w:type="dxa"/>
            <w:vMerge w:val="continue"/>
            <w:tcBorders>
              <w:tl2br w:val="nil"/>
              <w:tr2bl w:val="nil"/>
            </w:tcBorders>
            <w:vAlign w:val="center"/>
          </w:tcPr>
          <w:p w14:paraId="696041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1"/>
                <w:sz w:val="24"/>
                <w:szCs w:val="24"/>
                <w:highlight w:val="none"/>
                <w:lang w:bidi="en-US"/>
              </w:rPr>
            </w:pPr>
          </w:p>
        </w:tc>
        <w:tc>
          <w:tcPr>
            <w:tcW w:w="1481" w:type="dxa"/>
            <w:gridSpan w:val="2"/>
            <w:tcBorders>
              <w:tl2br w:val="nil"/>
              <w:tr2bl w:val="nil"/>
            </w:tcBorders>
            <w:vAlign w:val="center"/>
          </w:tcPr>
          <w:p w14:paraId="64C88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相关承诺</w:t>
            </w:r>
          </w:p>
          <w:p w14:paraId="654328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0-</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分</w:t>
            </w:r>
          </w:p>
        </w:tc>
        <w:tc>
          <w:tcPr>
            <w:tcW w:w="6570" w:type="dxa"/>
            <w:gridSpan w:val="3"/>
            <w:tcBorders>
              <w:tl2br w:val="nil"/>
              <w:tr2bl w:val="nil"/>
            </w:tcBorders>
            <w:vAlign w:val="center"/>
          </w:tcPr>
          <w:p w14:paraId="1BBE242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协调好周边关系和施工环境，必要时增加人员、技术、资金、机械设备等方面的投入的服务承诺</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p>
          <w:p w14:paraId="6F961CA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安全承诺书（包含农民工人身伤亡保险和重大事故突发事件处理的承诺书）</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p>
          <w:p w14:paraId="612BCFDA">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除不可抗力因素外中标人不得以任何理由停工，尤其在资金暂不到位的情况下，能保证工程施工的连续性，保质保量按期完成工程的承诺书</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0</w:t>
            </w:r>
            <w:r>
              <w:rPr>
                <w:rFonts w:hint="eastAsia" w:ascii="宋体" w:hAnsi="宋体" w:eastAsia="宋体" w:cs="宋体"/>
                <w:sz w:val="24"/>
                <w:szCs w:val="24"/>
                <w:highlight w:val="none"/>
              </w:rPr>
              <w:t>＜得分≤2。</w:t>
            </w:r>
          </w:p>
        </w:tc>
      </w:tr>
      <w:tr w14:paraId="0EBFC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34" w:hRule="atLeast"/>
          <w:jc w:val="center"/>
        </w:trPr>
        <w:tc>
          <w:tcPr>
            <w:tcW w:w="8780" w:type="dxa"/>
            <w:gridSpan w:val="6"/>
            <w:tcBorders>
              <w:tl2br w:val="nil"/>
              <w:tr2bl w:val="nil"/>
            </w:tcBorders>
            <w:vAlign w:val="center"/>
          </w:tcPr>
          <w:p w14:paraId="6586438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综合得分=技术标得分+商务标得分+综合标得分</w:t>
            </w:r>
          </w:p>
          <w:p w14:paraId="7719056D">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sz w:val="24"/>
                <w:szCs w:val="24"/>
                <w:highlight w:val="none"/>
                <w:lang w:bidi="en-US"/>
              </w:rPr>
            </w:pP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的报价应包含</w:t>
            </w:r>
            <w:r>
              <w:rPr>
                <w:rFonts w:hint="eastAsia" w:ascii="宋体" w:hAnsi="宋体" w:eastAsia="宋体" w:cs="宋体"/>
                <w:b/>
                <w:sz w:val="24"/>
                <w:szCs w:val="24"/>
                <w:highlight w:val="none"/>
                <w:lang w:eastAsia="zh-CN" w:bidi="en-US"/>
              </w:rPr>
              <w:t>投标人</w:t>
            </w:r>
            <w:r>
              <w:rPr>
                <w:rFonts w:hint="eastAsia" w:ascii="宋体" w:hAnsi="宋体" w:eastAsia="宋体" w:cs="宋体"/>
                <w:b/>
                <w:sz w:val="24"/>
                <w:szCs w:val="24"/>
                <w:highlight w:val="none"/>
                <w:lang w:bidi="en-US"/>
              </w:rPr>
              <w:t>所承诺的应达到的工程质量标准及其他承诺应达到的标准所包含的所有费用。</w:t>
            </w:r>
          </w:p>
        </w:tc>
      </w:tr>
      <w:bookmarkEnd w:id="406"/>
    </w:tbl>
    <w:p w14:paraId="7AA027E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p>
    <w:p w14:paraId="7555EF2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1.评标方法</w:t>
      </w:r>
    </w:p>
    <w:p w14:paraId="63B2D9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本次评标采用综合评</w:t>
      </w:r>
      <w:r>
        <w:rPr>
          <w:rFonts w:hint="eastAsia" w:ascii="宋体" w:hAnsi="宋体" w:eastAsia="宋体" w:cs="宋体"/>
          <w:sz w:val="24"/>
          <w:szCs w:val="24"/>
          <w:highlight w:val="none"/>
          <w:lang w:val="en-US" w:eastAsia="zh-CN"/>
        </w:rPr>
        <w:t>分</w:t>
      </w:r>
      <w:r>
        <w:rPr>
          <w:rFonts w:hint="eastAsia" w:ascii="宋体" w:hAnsi="宋体" w:eastAsia="宋体" w:cs="宋体"/>
          <w:sz w:val="24"/>
          <w:szCs w:val="24"/>
          <w:highlight w:val="none"/>
        </w:rPr>
        <w:t>法。磋商小组对满足磋商文件实质性要求的响应性文件，按照本章规定的评分标准进行打分，并按得分由高到低顺序推荐</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名成交候选人。</w:t>
      </w:r>
    </w:p>
    <w:p w14:paraId="19E3672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08" w:name="_Toc7518075"/>
      <w:bookmarkEnd w:id="408"/>
      <w:bookmarkStart w:id="409" w:name="_Toc152042378"/>
      <w:bookmarkEnd w:id="409"/>
      <w:bookmarkStart w:id="410" w:name="_Toc4725"/>
      <w:bookmarkEnd w:id="410"/>
      <w:bookmarkStart w:id="411" w:name="_Toc246996244"/>
      <w:bookmarkEnd w:id="411"/>
      <w:bookmarkStart w:id="412" w:name="_Toc247085759"/>
      <w:bookmarkEnd w:id="412"/>
      <w:bookmarkStart w:id="413" w:name="_Toc152045601"/>
      <w:bookmarkEnd w:id="413"/>
      <w:bookmarkStart w:id="414" w:name="_Toc144974568"/>
      <w:bookmarkEnd w:id="414"/>
      <w:bookmarkStart w:id="415" w:name="_Toc358707207"/>
      <w:bookmarkEnd w:id="415"/>
      <w:bookmarkStart w:id="416" w:name="_Toc179632619"/>
      <w:bookmarkEnd w:id="416"/>
      <w:bookmarkStart w:id="417" w:name="_Toc246996987"/>
      <w:r>
        <w:rPr>
          <w:rFonts w:hint="eastAsia" w:ascii="宋体" w:hAnsi="宋体" w:eastAsia="宋体" w:cs="宋体"/>
          <w:b/>
          <w:sz w:val="24"/>
          <w:szCs w:val="24"/>
          <w:highlight w:val="none"/>
        </w:rPr>
        <w:t>2.</w:t>
      </w:r>
      <w:bookmarkEnd w:id="417"/>
      <w:r>
        <w:rPr>
          <w:rFonts w:hint="eastAsia" w:ascii="宋体" w:hAnsi="宋体" w:eastAsia="宋体" w:cs="宋体"/>
          <w:b/>
          <w:sz w:val="24"/>
          <w:szCs w:val="24"/>
          <w:highlight w:val="none"/>
        </w:rPr>
        <w:t>评审标准</w:t>
      </w:r>
    </w:p>
    <w:p w14:paraId="6F8BD66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18" w:name="_Toc247085760"/>
      <w:bookmarkEnd w:id="418"/>
      <w:bookmarkStart w:id="419" w:name="_Toc179632620"/>
      <w:bookmarkEnd w:id="419"/>
      <w:bookmarkStart w:id="420" w:name="_Toc246996245"/>
      <w:bookmarkEnd w:id="420"/>
      <w:bookmarkStart w:id="421" w:name="_Toc246996988"/>
      <w:bookmarkEnd w:id="421"/>
      <w:bookmarkStart w:id="422" w:name="_Toc144974569"/>
      <w:bookmarkEnd w:id="422"/>
      <w:bookmarkStart w:id="423" w:name="_Toc152042379"/>
      <w:bookmarkEnd w:id="423"/>
      <w:bookmarkStart w:id="424" w:name="_Toc152045602"/>
      <w:bookmarkEnd w:id="424"/>
      <w:bookmarkStart w:id="425" w:name="_Toc358707208"/>
      <w:r>
        <w:rPr>
          <w:rFonts w:hint="eastAsia" w:ascii="宋体" w:hAnsi="宋体" w:eastAsia="宋体" w:cs="宋体"/>
          <w:sz w:val="24"/>
          <w:szCs w:val="24"/>
          <w:highlight w:val="none"/>
        </w:rPr>
        <w:t xml:space="preserve">2.1 </w:t>
      </w:r>
      <w:bookmarkEnd w:id="425"/>
      <w:r>
        <w:rPr>
          <w:rFonts w:hint="eastAsia" w:ascii="宋体" w:hAnsi="宋体" w:eastAsia="宋体" w:cs="宋体"/>
          <w:sz w:val="24"/>
          <w:szCs w:val="24"/>
          <w:highlight w:val="none"/>
        </w:rPr>
        <w:t>初步评审标准</w:t>
      </w:r>
    </w:p>
    <w:p w14:paraId="4E570C9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2.1.1</w:t>
      </w:r>
      <w:r>
        <w:rPr>
          <w:rFonts w:hint="eastAsia" w:ascii="宋体" w:hAnsi="宋体" w:eastAsia="宋体" w:cs="宋体"/>
          <w:sz w:val="24"/>
          <w:szCs w:val="24"/>
          <w:highlight w:val="none"/>
          <w:lang w:eastAsia="zh-CN"/>
        </w:rPr>
        <w:t>形式</w:t>
      </w:r>
      <w:r>
        <w:rPr>
          <w:rFonts w:hint="eastAsia" w:ascii="宋体" w:hAnsi="宋体" w:eastAsia="宋体" w:cs="宋体"/>
          <w:sz w:val="24"/>
          <w:szCs w:val="24"/>
          <w:highlight w:val="none"/>
        </w:rPr>
        <w:t>评审标准：见评标办法前附表。</w:t>
      </w:r>
    </w:p>
    <w:p w14:paraId="37B464C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2.1.2 资格评审标准：见评标办法前附表。</w:t>
      </w:r>
    </w:p>
    <w:p w14:paraId="294C976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pacing w:val="-1"/>
          <w:kern w:val="0"/>
          <w:sz w:val="24"/>
          <w:szCs w:val="24"/>
          <w:highlight w:val="none"/>
        </w:rPr>
      </w:pPr>
      <w:r>
        <w:rPr>
          <w:rFonts w:hint="eastAsia" w:ascii="宋体" w:hAnsi="宋体" w:eastAsia="宋体" w:cs="宋体"/>
          <w:spacing w:val="-1"/>
          <w:kern w:val="0"/>
          <w:sz w:val="24"/>
          <w:szCs w:val="24"/>
          <w:highlight w:val="none"/>
        </w:rPr>
        <w:t>2.1.3 响应评审标准：见评标办法前附表。</w:t>
      </w:r>
    </w:p>
    <w:p w14:paraId="5733DC0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26" w:name="_Toc179632621"/>
      <w:bookmarkEnd w:id="426"/>
      <w:bookmarkStart w:id="427" w:name="_Toc152045603"/>
      <w:bookmarkEnd w:id="427"/>
      <w:bookmarkStart w:id="428" w:name="_Toc152042380"/>
      <w:bookmarkEnd w:id="428"/>
      <w:bookmarkStart w:id="429" w:name="_Toc246996246"/>
      <w:bookmarkEnd w:id="429"/>
      <w:bookmarkStart w:id="430" w:name="_Toc247085761"/>
      <w:bookmarkEnd w:id="430"/>
      <w:bookmarkStart w:id="431" w:name="_Toc358707209"/>
      <w:bookmarkEnd w:id="431"/>
      <w:bookmarkStart w:id="432" w:name="_Toc246996989"/>
      <w:bookmarkEnd w:id="432"/>
      <w:bookmarkStart w:id="433" w:name="_Toc144974570"/>
      <w:r>
        <w:rPr>
          <w:rFonts w:hint="eastAsia" w:ascii="宋体" w:hAnsi="宋体" w:eastAsia="宋体" w:cs="宋体"/>
          <w:sz w:val="24"/>
          <w:szCs w:val="24"/>
          <w:highlight w:val="none"/>
        </w:rPr>
        <w:t xml:space="preserve">2.2 </w:t>
      </w:r>
      <w:bookmarkEnd w:id="433"/>
      <w:r>
        <w:rPr>
          <w:rFonts w:hint="eastAsia" w:ascii="宋体" w:hAnsi="宋体" w:eastAsia="宋体" w:cs="宋体"/>
          <w:sz w:val="24"/>
          <w:szCs w:val="24"/>
          <w:highlight w:val="none"/>
        </w:rPr>
        <w:t>评分标准</w:t>
      </w:r>
    </w:p>
    <w:p w14:paraId="21465EF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1商务标</w:t>
      </w:r>
      <w:r>
        <w:rPr>
          <w:rFonts w:hint="eastAsia" w:ascii="宋体" w:hAnsi="宋体" w:eastAsia="宋体" w:cs="宋体"/>
          <w:sz w:val="24"/>
          <w:szCs w:val="24"/>
          <w:highlight w:val="none"/>
        </w:rPr>
        <w:t>评分标准：见评标办法前附表；</w:t>
      </w:r>
    </w:p>
    <w:p w14:paraId="7DE907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技术</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评分标准：见评标办法前附表；</w:t>
      </w:r>
    </w:p>
    <w:p w14:paraId="347B527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2.2.3</w:t>
      </w:r>
      <w:r>
        <w:rPr>
          <w:rFonts w:hint="eastAsia" w:ascii="宋体" w:hAnsi="宋体" w:eastAsia="宋体" w:cs="宋体"/>
          <w:sz w:val="24"/>
          <w:szCs w:val="24"/>
          <w:highlight w:val="none"/>
          <w:lang w:val="en-US" w:eastAsia="zh-CN"/>
        </w:rPr>
        <w:t>综合标</w:t>
      </w:r>
      <w:r>
        <w:rPr>
          <w:rFonts w:hint="eastAsia" w:ascii="宋体" w:hAnsi="宋体" w:eastAsia="宋体" w:cs="宋体"/>
          <w:sz w:val="24"/>
          <w:szCs w:val="24"/>
          <w:highlight w:val="none"/>
        </w:rPr>
        <w:t>评分标准：见评标办法前附表。</w:t>
      </w:r>
    </w:p>
    <w:p w14:paraId="66D7D2A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szCs w:val="24"/>
          <w:highlight w:val="none"/>
        </w:rPr>
      </w:pPr>
      <w:bookmarkStart w:id="434" w:name="_Toc247085762"/>
      <w:bookmarkEnd w:id="434"/>
      <w:bookmarkStart w:id="435" w:name="_Toc152045604"/>
      <w:bookmarkEnd w:id="435"/>
      <w:bookmarkStart w:id="436" w:name="_Toc4463"/>
      <w:bookmarkEnd w:id="436"/>
      <w:bookmarkStart w:id="437" w:name="_Toc246996247"/>
      <w:bookmarkEnd w:id="437"/>
      <w:bookmarkStart w:id="438" w:name="_Toc7518076"/>
      <w:bookmarkEnd w:id="438"/>
      <w:bookmarkStart w:id="439" w:name="_Toc246996990"/>
      <w:bookmarkEnd w:id="439"/>
      <w:bookmarkStart w:id="440" w:name="_Toc358707210"/>
      <w:bookmarkEnd w:id="440"/>
      <w:bookmarkStart w:id="441" w:name="_Toc144974571"/>
      <w:bookmarkEnd w:id="441"/>
      <w:bookmarkStart w:id="442" w:name="_Toc179632622"/>
      <w:bookmarkEnd w:id="442"/>
      <w:bookmarkStart w:id="443" w:name="_Toc152042381"/>
      <w:r>
        <w:rPr>
          <w:rFonts w:hint="eastAsia" w:ascii="宋体" w:hAnsi="宋体" w:eastAsia="宋体" w:cs="宋体"/>
          <w:b/>
          <w:sz w:val="24"/>
          <w:szCs w:val="24"/>
          <w:highlight w:val="none"/>
        </w:rPr>
        <w:t>3.</w:t>
      </w:r>
      <w:bookmarkEnd w:id="443"/>
      <w:r>
        <w:rPr>
          <w:rFonts w:hint="eastAsia" w:ascii="宋体" w:hAnsi="宋体" w:eastAsia="宋体" w:cs="宋体"/>
          <w:b/>
          <w:sz w:val="24"/>
          <w:szCs w:val="24"/>
          <w:highlight w:val="none"/>
        </w:rPr>
        <w:t>评标程序</w:t>
      </w:r>
    </w:p>
    <w:p w14:paraId="4F526AD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3.1.1 评标委员会依据本章评标办法前附表第2.1.1项、第2.1.2项、第2.1.3项规定的评审标准对投标文件进行初步评审。有一项不符合评审标准的，其投标将被否决。</w:t>
      </w:r>
    </w:p>
    <w:p w14:paraId="7E8CAB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有以下情形之一的，其投标作无效标处理：</w:t>
      </w:r>
    </w:p>
    <w:p w14:paraId="3D7D9D6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（1）串通投标或弄虚作假或有其他违法行为的；</w:t>
      </w:r>
    </w:p>
    <w:p w14:paraId="361B56E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（2）不按磋商小组要求澄清、说明或补正的。</w:t>
      </w:r>
    </w:p>
    <w:p w14:paraId="794DCD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3.3投标报价有算术错误的，磋商小组按以下原则对投标报价进行修正，修正的价格经</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书面确认后具有约束力。</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不接受修正价格的，其投标被否决。</w:t>
      </w:r>
    </w:p>
    <w:p w14:paraId="2D41FCB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4" w:name="_Toc152042383"/>
      <w:bookmarkEnd w:id="444"/>
      <w:r>
        <w:rPr>
          <w:rFonts w:hint="eastAsia" w:ascii="宋体" w:hAnsi="宋体" w:eastAsia="宋体" w:cs="宋体"/>
          <w:sz w:val="24"/>
          <w:szCs w:val="24"/>
          <w:highlight w:val="none"/>
        </w:rPr>
        <w:t>磋商文件中的大写金额与小写金额不一致的，以大写金额为准；</w:t>
      </w:r>
    </w:p>
    <w:p w14:paraId="7D1ECC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45" w:name="_Toc179632624"/>
      <w:bookmarkEnd w:id="445"/>
      <w:bookmarkStart w:id="446" w:name="_Toc247085764"/>
      <w:bookmarkEnd w:id="446"/>
      <w:bookmarkStart w:id="447" w:name="_Toc246996249"/>
      <w:bookmarkEnd w:id="447"/>
      <w:bookmarkStart w:id="448" w:name="_Toc152045606"/>
      <w:bookmarkEnd w:id="448"/>
      <w:bookmarkStart w:id="449" w:name="_Toc246996992"/>
      <w:bookmarkEnd w:id="449"/>
      <w:bookmarkStart w:id="450" w:name="_Toc358707212"/>
      <w:bookmarkEnd w:id="450"/>
      <w:bookmarkStart w:id="451" w:name="_Toc144974573"/>
      <w:bookmarkEnd w:id="451"/>
      <w:bookmarkStart w:id="452" w:name="_Toc152042384"/>
      <w:r>
        <w:rPr>
          <w:rFonts w:hint="eastAsia" w:ascii="宋体" w:hAnsi="宋体" w:eastAsia="宋体" w:cs="宋体"/>
          <w:sz w:val="24"/>
          <w:szCs w:val="24"/>
          <w:highlight w:val="none"/>
        </w:rPr>
        <w:t>3.4</w:t>
      </w:r>
      <w:bookmarkEnd w:id="452"/>
      <w:r>
        <w:rPr>
          <w:rFonts w:hint="eastAsia" w:ascii="宋体" w:hAnsi="宋体" w:eastAsia="宋体" w:cs="宋体"/>
          <w:sz w:val="24"/>
          <w:szCs w:val="24"/>
          <w:highlight w:val="none"/>
        </w:rPr>
        <w:t>详细评审</w:t>
      </w:r>
    </w:p>
    <w:p w14:paraId="01FD6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53" w:name="_Toc247085765"/>
      <w:bookmarkEnd w:id="453"/>
      <w:bookmarkStart w:id="454" w:name="_Toc144974575"/>
      <w:bookmarkEnd w:id="454"/>
      <w:bookmarkStart w:id="455" w:name="_Toc152045607"/>
      <w:bookmarkEnd w:id="455"/>
      <w:bookmarkStart w:id="456" w:name="_Toc246996250"/>
      <w:bookmarkEnd w:id="456"/>
      <w:bookmarkStart w:id="457" w:name="_Toc358707213"/>
      <w:bookmarkEnd w:id="457"/>
      <w:bookmarkStart w:id="458" w:name="_Toc179632625"/>
      <w:bookmarkEnd w:id="458"/>
      <w:bookmarkStart w:id="459" w:name="_Toc246996993"/>
      <w:bookmarkEnd w:id="459"/>
      <w:bookmarkStart w:id="460" w:name="_Toc152042385"/>
      <w:r>
        <w:rPr>
          <w:rFonts w:hint="eastAsia" w:ascii="宋体" w:hAnsi="宋体" w:eastAsia="宋体" w:cs="宋体"/>
          <w:sz w:val="24"/>
          <w:szCs w:val="24"/>
          <w:highlight w:val="none"/>
        </w:rPr>
        <w:t>3.4.1 磋商小组按本章第2.2款规定的量化因素和分值进行打分，并计算出综合评估得分。</w:t>
      </w:r>
      <w:bookmarkEnd w:id="460"/>
    </w:p>
    <w:p w14:paraId="52AABA2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（1）按本章第2.2.1规定的评审因素和分值对磋商报价计算出得分；</w:t>
      </w:r>
    </w:p>
    <w:p w14:paraId="0007CC3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（2）按本章第2.2.2规定的评审因素和分值对技术部分计算出得分；</w:t>
      </w:r>
    </w:p>
    <w:p w14:paraId="12B0E2A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（3）按本章第2.2.3规定的评审因素和分值对</w:t>
      </w:r>
      <w:r>
        <w:rPr>
          <w:rFonts w:hint="eastAsia" w:ascii="宋体" w:hAnsi="宋体" w:eastAsia="宋体" w:cs="宋体"/>
          <w:sz w:val="24"/>
          <w:szCs w:val="24"/>
          <w:highlight w:val="none"/>
          <w:lang w:val="en-US" w:eastAsia="zh-CN"/>
        </w:rPr>
        <w:t>综合</w:t>
      </w:r>
      <w:r>
        <w:rPr>
          <w:rFonts w:hint="eastAsia" w:ascii="宋体" w:hAnsi="宋体" w:eastAsia="宋体" w:cs="宋体"/>
          <w:sz w:val="24"/>
          <w:szCs w:val="24"/>
          <w:highlight w:val="none"/>
        </w:rPr>
        <w:t>部分计算出得分；</w:t>
      </w:r>
    </w:p>
    <w:p w14:paraId="0EDFCAF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3.4.2 </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得分=磋商报价+技术部分+商务部分。</w:t>
      </w:r>
    </w:p>
    <w:p w14:paraId="1E35F7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3.4.3 在磋商小组完成对技术部分、磋商报价和商务部分的汇总后取平均值，计分过程按四舍五入取至小数点后两位，最终得分取至小数点后二位。作为该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的最终得分。</w:t>
      </w:r>
    </w:p>
    <w:p w14:paraId="2AD550E2">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3.4.4磋商小组发现</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的报价明显低于其他投标报价，使得其投标报价可能低于其个别成本的，应当要求该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做出书面说明并提供相应的证明材料。</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不能合理说明或者不能提供相应证明材料的，磋商小组应当认定该</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以低于成本报价竞标，否决其投标。</w:t>
      </w:r>
    </w:p>
    <w:p w14:paraId="79CB483B">
      <w:pPr>
        <w:pageBreakBefore w:val="0"/>
        <w:kinsoku/>
        <w:wordWrap/>
        <w:overflowPunct/>
        <w:topLinePunct w:val="0"/>
        <w:bidi w:val="0"/>
        <w:adjustRightInd w:val="0"/>
        <w:snapToGrid w:val="0"/>
        <w:spacing w:beforeAutospacing="0" w:afterAutospacing="0" w:line="360" w:lineRule="auto"/>
        <w:ind w:right="0"/>
        <w:jc w:val="both"/>
        <w:rPr>
          <w:rFonts w:hint="eastAsia" w:ascii="宋体" w:hAnsi="宋体" w:eastAsia="宋体" w:cs="宋体"/>
          <w:color w:val="000000"/>
          <w:sz w:val="24"/>
          <w:highlight w:val="none"/>
        </w:rPr>
      </w:pPr>
      <w:r>
        <w:rPr>
          <w:rFonts w:hint="eastAsia" w:ascii="宋体" w:hAnsi="宋体" w:eastAsia="宋体" w:cs="宋体"/>
          <w:b w:val="0"/>
          <w:bCs w:val="0"/>
          <w:snapToGrid w:val="0"/>
          <w:color w:val="000000"/>
          <w:sz w:val="24"/>
          <w:szCs w:val="24"/>
          <w:highlight w:val="none"/>
          <w:lang w:val="en-US" w:eastAsia="zh-CN"/>
        </w:rPr>
        <w:t>3.4.5磋商小组</w:t>
      </w:r>
      <w:r>
        <w:rPr>
          <w:rFonts w:hint="eastAsia" w:ascii="宋体" w:hAnsi="宋体" w:eastAsia="宋体" w:cs="宋体"/>
          <w:b w:val="0"/>
          <w:bCs w:val="0"/>
          <w:snapToGrid w:val="0"/>
          <w:color w:val="000000"/>
          <w:sz w:val="24"/>
          <w:szCs w:val="24"/>
          <w:highlight w:val="none"/>
        </w:rPr>
        <w:t>否决投标时应审慎。因招标文件表述歧义或逻辑错误等原因，造成投标文件表述不一致的，不作为否决投标的因素，投标人明显打字或排版错误且不影响实质内容的，</w:t>
      </w:r>
      <w:r>
        <w:rPr>
          <w:rFonts w:hint="eastAsia" w:ascii="宋体" w:hAnsi="宋体" w:eastAsia="宋体" w:cs="宋体"/>
          <w:b w:val="0"/>
          <w:bCs w:val="0"/>
          <w:snapToGrid w:val="0"/>
          <w:color w:val="000000"/>
          <w:sz w:val="24"/>
          <w:szCs w:val="24"/>
          <w:highlight w:val="none"/>
          <w:lang w:eastAsia="zh-CN"/>
        </w:rPr>
        <w:t>磋商小组</w:t>
      </w:r>
      <w:r>
        <w:rPr>
          <w:rFonts w:hint="eastAsia" w:ascii="宋体" w:hAnsi="宋体" w:eastAsia="宋体" w:cs="宋体"/>
          <w:b w:val="0"/>
          <w:bCs w:val="0"/>
          <w:snapToGrid w:val="0"/>
          <w:color w:val="000000"/>
          <w:sz w:val="24"/>
          <w:szCs w:val="24"/>
          <w:highlight w:val="none"/>
        </w:rPr>
        <w:t>可要求投标人作出书面澄清、说明或补正，不予以否决投标。</w:t>
      </w:r>
    </w:p>
    <w:p w14:paraId="2732554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70BC12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 响应性文件的澄清和补正</w:t>
      </w:r>
    </w:p>
    <w:p w14:paraId="0AC06F6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3.5.1在评标过程中，磋商小组可以书面形式要求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对所提交响应性文件中不明确的内容进行书面澄清或说明，或者对细微偏差进行补正。磋商小组不接受</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主动提出的澄清、说明或补正。</w:t>
      </w:r>
    </w:p>
    <w:p w14:paraId="439F3C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3.5.2 澄清、说明和补正不得改变响应性文件的实质性内容。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的书面澄清、说明和补正属于响应性文件的组成部分。</w:t>
      </w:r>
    </w:p>
    <w:p w14:paraId="37E3F5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3.5.3 磋商小组对</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提交的澄清、说明或补正有疑问的，可以要求</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进一步澄清、说明或补正，直至满足磋商小组的要求。</w:t>
      </w:r>
    </w:p>
    <w:p w14:paraId="4D4D7DC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bookmarkStart w:id="461" w:name="_Toc152045608"/>
      <w:bookmarkEnd w:id="461"/>
      <w:bookmarkStart w:id="462" w:name="_Toc7518077"/>
      <w:bookmarkEnd w:id="462"/>
      <w:bookmarkStart w:id="463" w:name="_Toc358707214"/>
      <w:bookmarkEnd w:id="463"/>
      <w:bookmarkStart w:id="464" w:name="_Toc152042386"/>
      <w:bookmarkEnd w:id="464"/>
      <w:bookmarkStart w:id="465" w:name="_Toc179632626"/>
      <w:bookmarkEnd w:id="465"/>
      <w:bookmarkStart w:id="466" w:name="_Toc246996251"/>
      <w:bookmarkEnd w:id="466"/>
      <w:bookmarkStart w:id="467" w:name="_Toc246996994"/>
      <w:bookmarkEnd w:id="467"/>
      <w:bookmarkStart w:id="468" w:name="_Toc144974576"/>
      <w:bookmarkEnd w:id="468"/>
      <w:bookmarkStart w:id="469" w:name="_Toc247085766"/>
      <w:r>
        <w:rPr>
          <w:rFonts w:hint="eastAsia" w:ascii="宋体" w:hAnsi="宋体" w:eastAsia="宋体" w:cs="宋体"/>
          <w:sz w:val="24"/>
          <w:szCs w:val="24"/>
          <w:highlight w:val="none"/>
        </w:rPr>
        <w:t xml:space="preserve">3.6 </w:t>
      </w:r>
      <w:bookmarkEnd w:id="469"/>
      <w:r>
        <w:rPr>
          <w:rFonts w:hint="eastAsia" w:ascii="宋体" w:hAnsi="宋体" w:eastAsia="宋体" w:cs="宋体"/>
          <w:sz w:val="24"/>
          <w:szCs w:val="24"/>
          <w:highlight w:val="none"/>
        </w:rPr>
        <w:t>评标结果</w:t>
      </w:r>
    </w:p>
    <w:p w14:paraId="72D6D22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3.6.1除第二章“</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须知”前附表授权直接确定成交人外，磋商小组按照得分由高到低的顺序推荐成交候选人。</w:t>
      </w:r>
      <w:r>
        <w:rPr>
          <w:rFonts w:hint="eastAsia" w:ascii="宋体" w:hAnsi="宋体" w:eastAsia="宋体" w:cs="宋体"/>
          <w:sz w:val="24"/>
          <w:szCs w:val="24"/>
          <w:highlight w:val="none"/>
          <w:lang w:bidi="en-US"/>
        </w:rPr>
        <w:t>得分相同的，按响应报价由低到高顺序排列；得分且响应报价相同的，按技术指标优劣顺序排列。</w:t>
      </w:r>
    </w:p>
    <w:p w14:paraId="0D12C960">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both"/>
        <w:textAlignment w:val="auto"/>
        <w:outlineLvl w:val="0"/>
        <w:rPr>
          <w:rFonts w:hint="eastAsia" w:ascii="宋体" w:hAnsi="宋体" w:eastAsia="宋体" w:cs="宋体"/>
          <w:sz w:val="24"/>
          <w:szCs w:val="24"/>
          <w:highlight w:val="none"/>
        </w:rPr>
      </w:pPr>
      <w:bookmarkStart w:id="470" w:name="_Toc17470"/>
      <w:r>
        <w:rPr>
          <w:rFonts w:hint="eastAsia" w:ascii="宋体" w:hAnsi="宋体" w:eastAsia="宋体" w:cs="宋体"/>
          <w:sz w:val="24"/>
          <w:szCs w:val="24"/>
          <w:highlight w:val="none"/>
        </w:rPr>
        <w:t>3.6.2 磋商小组完成评标后，应当向</w:t>
      </w:r>
      <w:r>
        <w:rPr>
          <w:rFonts w:hint="eastAsia" w:ascii="宋体" w:hAnsi="宋体" w:eastAsia="宋体" w:cs="宋体"/>
          <w:sz w:val="24"/>
          <w:szCs w:val="24"/>
          <w:highlight w:val="none"/>
          <w:lang w:eastAsia="zh-CN"/>
        </w:rPr>
        <w:t>招标人</w:t>
      </w:r>
      <w:r>
        <w:rPr>
          <w:rFonts w:hint="eastAsia" w:ascii="宋体" w:hAnsi="宋体" w:eastAsia="宋体" w:cs="宋体"/>
          <w:sz w:val="24"/>
          <w:szCs w:val="24"/>
          <w:highlight w:val="none"/>
        </w:rPr>
        <w:t>提交书面评标报告。</w:t>
      </w:r>
      <w:bookmarkEnd w:id="470"/>
    </w:p>
    <w:p w14:paraId="054D38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4855138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sz w:val="24"/>
          <w:szCs w:val="24"/>
          <w:highlight w:val="none"/>
        </w:rPr>
      </w:pPr>
    </w:p>
    <w:p w14:paraId="3039BB78">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bookmarkStart w:id="471" w:name="_Toc6637"/>
    </w:p>
    <w:p w14:paraId="40B5688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5CE3822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7614AB3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p>
    <w:p w14:paraId="6408ABD2">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contextualSpacing/>
        <w:jc w:val="center"/>
        <w:textAlignment w:val="auto"/>
        <w:outlineLvl w:val="0"/>
        <w:rPr>
          <w:rFonts w:hint="eastAsia" w:ascii="宋体" w:hAnsi="宋体" w:eastAsia="宋体" w:cs="宋体"/>
          <w:b/>
          <w:bCs/>
          <w:sz w:val="36"/>
          <w:szCs w:val="36"/>
          <w:highlight w:val="none"/>
          <w:lang w:val="en-US" w:eastAsia="zh-CN"/>
        </w:rPr>
      </w:pPr>
      <w:r>
        <w:rPr>
          <w:rFonts w:hint="eastAsia" w:ascii="宋体" w:hAnsi="宋体" w:eastAsia="宋体" w:cs="宋体"/>
          <w:b/>
          <w:bCs/>
          <w:sz w:val="36"/>
          <w:szCs w:val="36"/>
          <w:highlight w:val="none"/>
          <w:lang w:val="en-US" w:eastAsia="zh-CN"/>
        </w:rPr>
        <w:t>第四章 合同条款</w:t>
      </w:r>
      <w:bookmarkEnd w:id="471"/>
    </w:p>
    <w:bookmarkEnd w:id="384"/>
    <w:p w14:paraId="032E2606">
      <w:pPr>
        <w:keepNext/>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kern w:val="2"/>
          <w:sz w:val="24"/>
          <w:szCs w:val="24"/>
          <w:highlight w:val="none"/>
        </w:rPr>
      </w:pPr>
      <w:bookmarkStart w:id="472" w:name="_Toc375040676"/>
      <w:bookmarkEnd w:id="472"/>
      <w:r>
        <w:rPr>
          <w:rFonts w:hint="eastAsia" w:ascii="宋体" w:hAnsi="宋体" w:eastAsia="宋体" w:cs="宋体"/>
          <w:sz w:val="24"/>
          <w:highlight w:val="none"/>
        </w:rPr>
        <w:t>此合同仅供参考。以最终</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与</w:t>
      </w:r>
      <w:r>
        <w:rPr>
          <w:rFonts w:hint="eastAsia" w:ascii="宋体" w:hAnsi="宋体" w:eastAsia="宋体" w:cs="宋体"/>
          <w:sz w:val="24"/>
          <w:highlight w:val="none"/>
          <w:lang w:val="en-US" w:eastAsia="zh-CN"/>
        </w:rPr>
        <w:t>中标单位</w:t>
      </w:r>
      <w:r>
        <w:rPr>
          <w:rFonts w:hint="eastAsia" w:ascii="宋体" w:hAnsi="宋体" w:eastAsia="宋体" w:cs="宋体"/>
          <w:sz w:val="24"/>
          <w:highlight w:val="none"/>
        </w:rPr>
        <w:t>签</w:t>
      </w:r>
      <w:r>
        <w:rPr>
          <w:rFonts w:hint="eastAsia" w:ascii="宋体" w:hAnsi="宋体" w:eastAsia="宋体" w:cs="宋体"/>
          <w:sz w:val="24"/>
          <w:highlight w:val="none"/>
          <w:lang w:val="en-US" w:eastAsia="zh-CN"/>
        </w:rPr>
        <w:t>订</w:t>
      </w:r>
      <w:r>
        <w:rPr>
          <w:rFonts w:hint="eastAsia" w:ascii="宋体" w:hAnsi="宋体" w:eastAsia="宋体" w:cs="宋体"/>
          <w:sz w:val="24"/>
          <w:highlight w:val="none"/>
        </w:rPr>
        <w:t>的合同条款为准进行公示</w:t>
      </w:r>
    </w:p>
    <w:p w14:paraId="1BB9AAF0">
      <w:pPr>
        <w:jc w:val="left"/>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sz w:val="30"/>
          <w:szCs w:val="30"/>
          <w:highlight w:val="none"/>
        </w:rPr>
        <w:t>GF-201</w:t>
      </w:r>
      <w:r>
        <w:rPr>
          <w:rFonts w:hint="eastAsia" w:ascii="宋体" w:hAnsi="宋体" w:eastAsia="宋体" w:cs="宋体"/>
          <w:b/>
          <w:bCs/>
          <w:color w:val="auto"/>
          <w:sz w:val="30"/>
          <w:szCs w:val="30"/>
          <w:highlight w:val="none"/>
          <w:lang w:val="en-US" w:eastAsia="zh-CN"/>
        </w:rPr>
        <w:t>7</w:t>
      </w:r>
      <w:r>
        <w:rPr>
          <w:rFonts w:hint="eastAsia" w:ascii="宋体" w:hAnsi="宋体" w:eastAsia="宋体" w:cs="宋体"/>
          <w:b/>
          <w:bCs/>
          <w:color w:val="auto"/>
          <w:sz w:val="30"/>
          <w:szCs w:val="30"/>
          <w:highlight w:val="none"/>
        </w:rPr>
        <w:t>-02</w:t>
      </w:r>
      <w:r>
        <w:rPr>
          <w:rFonts w:hint="eastAsia" w:ascii="宋体" w:hAnsi="宋体" w:eastAsia="宋体" w:cs="宋体"/>
          <w:b/>
          <w:bCs/>
          <w:color w:val="auto"/>
          <w:sz w:val="30"/>
          <w:szCs w:val="30"/>
          <w:highlight w:val="none"/>
          <w:lang w:val="en-US" w:eastAsia="zh-CN"/>
        </w:rPr>
        <w:t>01</w:t>
      </w:r>
    </w:p>
    <w:p w14:paraId="4E99D154">
      <w:pPr>
        <w:jc w:val="center"/>
        <w:rPr>
          <w:rFonts w:hint="eastAsia" w:ascii="宋体" w:hAnsi="宋体" w:eastAsia="宋体" w:cs="宋体"/>
          <w:b/>
          <w:bCs/>
          <w:color w:val="auto"/>
          <w:sz w:val="48"/>
          <w:highlight w:val="none"/>
        </w:rPr>
      </w:pPr>
    </w:p>
    <w:p w14:paraId="4E4066A5">
      <w:pPr>
        <w:jc w:val="center"/>
        <w:rPr>
          <w:rFonts w:hint="eastAsia" w:ascii="宋体" w:hAnsi="宋体" w:eastAsia="宋体" w:cs="宋体"/>
          <w:b/>
          <w:bCs/>
          <w:color w:val="auto"/>
          <w:sz w:val="48"/>
          <w:highlight w:val="none"/>
        </w:rPr>
      </w:pPr>
    </w:p>
    <w:p w14:paraId="4C1D32D0">
      <w:pPr>
        <w:jc w:val="center"/>
        <w:rPr>
          <w:rFonts w:hint="eastAsia" w:ascii="宋体" w:hAnsi="宋体" w:eastAsia="宋体" w:cs="宋体"/>
          <w:b/>
          <w:bCs/>
          <w:color w:val="auto"/>
          <w:sz w:val="48"/>
          <w:highlight w:val="none"/>
        </w:rPr>
      </w:pPr>
    </w:p>
    <w:p w14:paraId="3A025E57">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建设项目工程总承包合同示范文本</w:t>
      </w:r>
    </w:p>
    <w:p w14:paraId="154FFE23">
      <w:pPr>
        <w:jc w:val="center"/>
        <w:rPr>
          <w:rFonts w:hint="eastAsia" w:ascii="宋体" w:hAnsi="宋体" w:eastAsia="宋体" w:cs="宋体"/>
          <w:b/>
          <w:bCs/>
          <w:color w:val="auto"/>
          <w:sz w:val="28"/>
          <w:highlight w:val="none"/>
        </w:rPr>
      </w:pPr>
    </w:p>
    <w:p w14:paraId="0F77C016">
      <w:pPr>
        <w:jc w:val="center"/>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w:t>
      </w:r>
      <w:r>
        <w:rPr>
          <w:rFonts w:hint="eastAsia" w:ascii="宋体" w:hAnsi="宋体" w:eastAsia="宋体" w:cs="宋体"/>
          <w:bCs/>
          <w:color w:val="auto"/>
          <w:sz w:val="28"/>
          <w:szCs w:val="28"/>
          <w:highlight w:val="none"/>
          <w:lang w:val="en-US" w:eastAsia="zh-CN"/>
        </w:rPr>
        <w:t>示范文本</w:t>
      </w:r>
      <w:r>
        <w:rPr>
          <w:rFonts w:hint="eastAsia" w:ascii="宋体" w:hAnsi="宋体" w:eastAsia="宋体" w:cs="宋体"/>
          <w:bCs/>
          <w:color w:val="auto"/>
          <w:sz w:val="28"/>
          <w:szCs w:val="28"/>
          <w:highlight w:val="none"/>
        </w:rPr>
        <w:t>）</w:t>
      </w:r>
    </w:p>
    <w:p w14:paraId="7E38F8C9">
      <w:pPr>
        <w:jc w:val="center"/>
        <w:rPr>
          <w:rFonts w:hint="eastAsia" w:ascii="宋体" w:hAnsi="宋体" w:eastAsia="宋体" w:cs="宋体"/>
          <w:bCs/>
          <w:color w:val="auto"/>
          <w:sz w:val="28"/>
          <w:highlight w:val="none"/>
        </w:rPr>
      </w:pPr>
    </w:p>
    <w:p w14:paraId="1FAC773C">
      <w:pPr>
        <w:jc w:val="center"/>
        <w:rPr>
          <w:rFonts w:hint="eastAsia" w:ascii="宋体" w:hAnsi="宋体" w:eastAsia="宋体" w:cs="宋体"/>
          <w:bCs/>
          <w:color w:val="auto"/>
          <w:sz w:val="28"/>
          <w:highlight w:val="none"/>
        </w:rPr>
      </w:pPr>
    </w:p>
    <w:p w14:paraId="03E30048">
      <w:pPr>
        <w:jc w:val="center"/>
        <w:rPr>
          <w:rFonts w:hint="eastAsia" w:ascii="宋体" w:hAnsi="宋体" w:eastAsia="宋体" w:cs="宋体"/>
          <w:bCs/>
          <w:color w:val="auto"/>
          <w:sz w:val="28"/>
          <w:highlight w:val="none"/>
        </w:rPr>
      </w:pPr>
    </w:p>
    <w:p w14:paraId="25E00E60">
      <w:pPr>
        <w:jc w:val="center"/>
        <w:rPr>
          <w:rFonts w:hint="eastAsia" w:ascii="宋体" w:hAnsi="宋体" w:eastAsia="宋体" w:cs="宋体"/>
          <w:bCs/>
          <w:color w:val="auto"/>
          <w:sz w:val="28"/>
          <w:highlight w:val="none"/>
        </w:rPr>
      </w:pPr>
    </w:p>
    <w:p w14:paraId="50B881CE">
      <w:pPr>
        <w:jc w:val="center"/>
        <w:rPr>
          <w:rFonts w:hint="eastAsia" w:ascii="宋体" w:hAnsi="宋体" w:eastAsia="宋体" w:cs="宋体"/>
          <w:bCs/>
          <w:color w:val="auto"/>
          <w:sz w:val="28"/>
          <w:highlight w:val="none"/>
        </w:rPr>
      </w:pPr>
    </w:p>
    <w:p w14:paraId="36640514">
      <w:pPr>
        <w:jc w:val="center"/>
        <w:rPr>
          <w:rFonts w:hint="eastAsia" w:ascii="宋体" w:hAnsi="宋体" w:eastAsia="宋体" w:cs="宋体"/>
          <w:bCs/>
          <w:color w:val="auto"/>
          <w:sz w:val="28"/>
          <w:highlight w:val="none"/>
        </w:rPr>
      </w:pPr>
    </w:p>
    <w:p w14:paraId="31D44604">
      <w:pPr>
        <w:jc w:val="center"/>
        <w:rPr>
          <w:rFonts w:hint="eastAsia" w:ascii="宋体" w:hAnsi="宋体" w:eastAsia="宋体" w:cs="宋体"/>
          <w:color w:val="auto"/>
          <w:sz w:val="28"/>
          <w:szCs w:val="28"/>
          <w:highlight w:val="none"/>
        </w:rPr>
      </w:pPr>
    </w:p>
    <w:p w14:paraId="33BB171B">
      <w:pPr>
        <w:jc w:val="both"/>
        <w:rPr>
          <w:rFonts w:hint="eastAsia" w:ascii="宋体" w:hAnsi="宋体" w:eastAsia="宋体" w:cs="宋体"/>
          <w:color w:val="auto"/>
          <w:sz w:val="28"/>
          <w:szCs w:val="28"/>
          <w:highlight w:val="none"/>
        </w:rPr>
      </w:pPr>
    </w:p>
    <w:tbl>
      <w:tblPr>
        <w:tblStyle w:val="23"/>
        <w:tblW w:w="0" w:type="auto"/>
        <w:jc w:val="center"/>
        <w:tblLayout w:type="fixed"/>
        <w:tblCellMar>
          <w:top w:w="0" w:type="dxa"/>
          <w:left w:w="75" w:type="dxa"/>
          <w:bottom w:w="0" w:type="dxa"/>
          <w:right w:w="75" w:type="dxa"/>
        </w:tblCellMar>
      </w:tblPr>
      <w:tblGrid>
        <w:gridCol w:w="3481"/>
        <w:gridCol w:w="479"/>
      </w:tblGrid>
      <w:tr w14:paraId="7A823C73">
        <w:tblPrEx>
          <w:tblCellMar>
            <w:top w:w="0" w:type="dxa"/>
            <w:left w:w="75" w:type="dxa"/>
            <w:bottom w:w="0" w:type="dxa"/>
            <w:right w:w="75" w:type="dxa"/>
          </w:tblCellMar>
        </w:tblPrEx>
        <w:trPr>
          <w:cantSplit/>
          <w:trHeight w:val="766" w:hRule="atLeast"/>
          <w:jc w:val="center"/>
        </w:trPr>
        <w:tc>
          <w:tcPr>
            <w:tcW w:w="3481" w:type="dxa"/>
            <w:noWrap w:val="0"/>
            <w:vAlign w:val="center"/>
          </w:tcPr>
          <w:p w14:paraId="4104D6B8">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中华人民共和国建设部</w:t>
            </w:r>
          </w:p>
        </w:tc>
        <w:tc>
          <w:tcPr>
            <w:tcW w:w="479" w:type="dxa"/>
            <w:vMerge w:val="restart"/>
            <w:noWrap w:val="0"/>
            <w:vAlign w:val="center"/>
          </w:tcPr>
          <w:p w14:paraId="1CDAE1A5">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制定</w:t>
            </w:r>
          </w:p>
        </w:tc>
      </w:tr>
      <w:tr w14:paraId="4DCE6ED2">
        <w:tblPrEx>
          <w:tblCellMar>
            <w:top w:w="0" w:type="dxa"/>
            <w:left w:w="75" w:type="dxa"/>
            <w:bottom w:w="0" w:type="dxa"/>
            <w:right w:w="75" w:type="dxa"/>
          </w:tblCellMar>
        </w:tblPrEx>
        <w:trPr>
          <w:cantSplit/>
          <w:jc w:val="center"/>
        </w:trPr>
        <w:tc>
          <w:tcPr>
            <w:tcW w:w="3481" w:type="dxa"/>
            <w:noWrap w:val="0"/>
            <w:vAlign w:val="center"/>
          </w:tcPr>
          <w:p w14:paraId="79863DF2">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国家工商行政管理局</w:t>
            </w:r>
          </w:p>
        </w:tc>
        <w:tc>
          <w:tcPr>
            <w:tcW w:w="479" w:type="dxa"/>
            <w:vMerge w:val="continue"/>
            <w:noWrap w:val="0"/>
            <w:vAlign w:val="center"/>
          </w:tcPr>
          <w:p w14:paraId="5A8B1A64">
            <w:pPr>
              <w:widowControl/>
              <w:jc w:val="left"/>
              <w:rPr>
                <w:rFonts w:hint="eastAsia" w:ascii="宋体" w:hAnsi="宋体" w:eastAsia="宋体" w:cs="宋体"/>
                <w:color w:val="auto"/>
                <w:sz w:val="28"/>
                <w:szCs w:val="28"/>
                <w:highlight w:val="none"/>
              </w:rPr>
            </w:pPr>
          </w:p>
        </w:tc>
      </w:tr>
    </w:tbl>
    <w:p w14:paraId="1696D0DD">
      <w:pPr>
        <w:pStyle w:val="56"/>
        <w:pageBreakBefore w:val="0"/>
        <w:kinsoku/>
        <w:wordWrap/>
        <w:overflowPunct/>
        <w:topLinePunct w:val="0"/>
        <w:bidi w:val="0"/>
        <w:adjustRightInd w:val="0"/>
        <w:snapToGrid w:val="0"/>
        <w:spacing w:before="0" w:after="0" w:line="360" w:lineRule="auto"/>
        <w:ind w:left="0" w:leftChars="0" w:right="0" w:rightChars="0"/>
        <w:jc w:val="center"/>
        <w:textAlignment w:val="auto"/>
        <w:outlineLvl w:val="0"/>
        <w:rPr>
          <w:rFonts w:hint="eastAsia" w:ascii="宋体" w:hAnsi="宋体" w:eastAsia="宋体" w:cs="宋体"/>
          <w:b/>
          <w:bCs/>
          <w:color w:val="000000"/>
          <w:kern w:val="0"/>
          <w:sz w:val="18"/>
          <w:highlight w:val="none"/>
          <w:lang w:val="zh-CN"/>
        </w:rPr>
      </w:pPr>
      <w:r>
        <w:rPr>
          <w:rFonts w:hint="eastAsia" w:ascii="宋体" w:hAnsi="宋体" w:eastAsia="宋体" w:cs="宋体"/>
          <w:bCs w:val="0"/>
          <w:color w:val="000000"/>
          <w:highlight w:val="none"/>
        </w:rPr>
        <w:br w:type="page"/>
      </w:r>
      <w:bookmarkStart w:id="473" w:name="_Toc1597"/>
      <w:bookmarkStart w:id="474" w:name="_Toc1308"/>
      <w:r>
        <w:rPr>
          <w:rFonts w:hint="eastAsia" w:ascii="宋体" w:hAnsi="宋体" w:eastAsia="宋体" w:cs="宋体"/>
          <w:b/>
          <w:bCs/>
          <w:color w:val="000000"/>
          <w:kern w:val="44"/>
          <w:sz w:val="28"/>
          <w:szCs w:val="48"/>
          <w:highlight w:val="none"/>
          <w:lang w:val="zh-CN"/>
        </w:rPr>
        <w:t>第一部分 合同协议书</w:t>
      </w:r>
      <w:bookmarkEnd w:id="473"/>
      <w:bookmarkEnd w:id="474"/>
    </w:p>
    <w:p w14:paraId="2EDE90A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b/>
          <w:bCs/>
          <w:color w:val="000000"/>
          <w:highlight w:val="none"/>
        </w:rPr>
      </w:pPr>
      <w:r>
        <w:rPr>
          <w:rFonts w:hint="eastAsia" w:ascii="宋体" w:hAnsi="宋体" w:eastAsia="宋体" w:cs="宋体"/>
          <w:b/>
          <w:bCs/>
          <w:color w:val="000000"/>
          <w:highlight w:val="none"/>
        </w:rPr>
        <w:t>（本合同条款及格式供参考，以实际签订为准）</w:t>
      </w:r>
    </w:p>
    <w:p w14:paraId="4AE3B6FE">
      <w:pPr>
        <w:pStyle w:val="5"/>
        <w:jc w:val="center"/>
        <w:rPr>
          <w:rFonts w:hint="eastAsia" w:ascii="宋体" w:hAnsi="宋体" w:eastAsia="宋体" w:cs="宋体"/>
          <w:b w:val="0"/>
          <w:color w:val="auto"/>
          <w:sz w:val="24"/>
          <w:szCs w:val="24"/>
          <w:highlight w:val="none"/>
        </w:rPr>
      </w:pPr>
      <w:r>
        <w:rPr>
          <w:rFonts w:hint="eastAsia" w:ascii="宋体" w:hAnsi="宋体" w:eastAsia="宋体" w:cs="宋体"/>
          <w:color w:val="auto"/>
          <w:sz w:val="24"/>
          <w:szCs w:val="24"/>
          <w:highlight w:val="none"/>
        </w:rPr>
        <w:t>第一部分 合同协议书</w:t>
      </w:r>
    </w:p>
    <w:p w14:paraId="73C3BFCE">
      <w:pPr>
        <w:spacing w:line="360" w:lineRule="auto"/>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发包人（全称）：</w:t>
      </w:r>
      <w:r>
        <w:rPr>
          <w:rFonts w:hint="eastAsia" w:ascii="宋体" w:hAnsi="宋体" w:eastAsia="宋体" w:cs="宋体"/>
          <w:b/>
          <w:color w:val="auto"/>
          <w:sz w:val="24"/>
          <w:szCs w:val="24"/>
          <w:highlight w:val="none"/>
          <w:u w:val="single"/>
        </w:rPr>
        <w:t>                       </w:t>
      </w:r>
    </w:p>
    <w:p w14:paraId="6092432F">
      <w:pPr>
        <w:spacing w:line="360" w:lineRule="auto"/>
        <w:rPr>
          <w:rFonts w:hint="eastAsia" w:ascii="宋体" w:hAnsi="宋体" w:eastAsia="宋体" w:cs="宋体"/>
          <w:b/>
          <w:color w:val="auto"/>
          <w:sz w:val="24"/>
          <w:szCs w:val="24"/>
          <w:highlight w:val="none"/>
          <w:u w:val="single"/>
        </w:rPr>
      </w:pPr>
      <w:r>
        <w:rPr>
          <w:rFonts w:hint="eastAsia" w:ascii="宋体" w:hAnsi="宋体" w:eastAsia="宋体" w:cs="宋体"/>
          <w:b/>
          <w:color w:val="auto"/>
          <w:sz w:val="24"/>
          <w:szCs w:val="24"/>
          <w:highlight w:val="none"/>
        </w:rPr>
        <w:t>承包人（全称）：</w:t>
      </w:r>
      <w:r>
        <w:rPr>
          <w:rFonts w:hint="eastAsia" w:ascii="宋体" w:hAnsi="宋体" w:eastAsia="宋体" w:cs="宋体"/>
          <w:b/>
          <w:color w:val="auto"/>
          <w:sz w:val="24"/>
          <w:szCs w:val="24"/>
          <w:highlight w:val="none"/>
          <w:u w:val="single"/>
        </w:rPr>
        <w:t>                      </w:t>
      </w:r>
    </w:p>
    <w:p w14:paraId="2D76D89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w:t>
      </w:r>
      <w:r>
        <w:rPr>
          <w:rFonts w:hint="eastAsia" w:ascii="宋体" w:hAnsi="宋体" w:eastAsia="宋体" w:cs="宋体"/>
          <w:color w:val="auto"/>
          <w:sz w:val="24"/>
          <w:szCs w:val="24"/>
          <w:highlight w:val="none"/>
          <w:lang w:val="en-US" w:eastAsia="zh-CN"/>
        </w:rPr>
        <w:t>民法典</w:t>
      </w:r>
      <w:r>
        <w:rPr>
          <w:rFonts w:hint="eastAsia" w:ascii="宋体" w:hAnsi="宋体" w:eastAsia="宋体" w:cs="宋体"/>
          <w:color w:val="auto"/>
          <w:sz w:val="24"/>
          <w:szCs w:val="24"/>
          <w:highlight w:val="none"/>
        </w:rPr>
        <w:t>》、《中华人民共和国建筑法》及有关法律规定，遵循平等、自愿、公平和诚实信用的原则，双方就</w:t>
      </w:r>
    </w:p>
    <w:p w14:paraId="39192DC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工程施工及有关事项协商一致，共同达成如下协议：</w:t>
      </w:r>
    </w:p>
    <w:p w14:paraId="74B728DF">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bCs w:val="0"/>
          <w:color w:val="auto"/>
          <w:sz w:val="24"/>
          <w:szCs w:val="24"/>
          <w:highlight w:val="none"/>
        </w:rPr>
        <w:t xml:space="preserve"> </w:t>
      </w:r>
      <w:bookmarkStart w:id="475" w:name="_Toc351203481"/>
      <w:r>
        <w:rPr>
          <w:rFonts w:hint="eastAsia" w:ascii="宋体" w:hAnsi="宋体" w:eastAsia="宋体" w:cs="宋体"/>
          <w:b/>
          <w:bCs w:val="0"/>
          <w:color w:val="auto"/>
          <w:sz w:val="24"/>
          <w:szCs w:val="24"/>
          <w:highlight w:val="none"/>
        </w:rPr>
        <w:t>一、工程概况</w:t>
      </w:r>
      <w:bookmarkEnd w:id="475"/>
    </w:p>
    <w:p w14:paraId="3491A3F8">
      <w:pPr>
        <w:spacing w:line="360" w:lineRule="auto"/>
        <w:ind w:firstLine="470" w:firstLineChars="196"/>
        <w:rPr>
          <w:rFonts w:hint="eastAsia" w:ascii="宋体" w:hAnsi="宋体" w:eastAsia="宋体" w:cs="宋体"/>
          <w:color w:val="auto"/>
          <w:sz w:val="24"/>
          <w:szCs w:val="24"/>
          <w:highlight w:val="none"/>
          <w:u w:val="single"/>
        </w:rPr>
      </w:pPr>
      <w:r>
        <w:rPr>
          <w:rFonts w:hint="eastAsia" w:ascii="宋体" w:hAnsi="宋体" w:eastAsia="宋体" w:cs="宋体"/>
          <w:bCs/>
          <w:color w:val="auto"/>
          <w:sz w:val="24"/>
          <w:szCs w:val="24"/>
          <w:highlight w:val="none"/>
        </w:rPr>
        <w:t>1.工程名称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p>
    <w:p w14:paraId="3E83D5E4">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2.工程地点：</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w:t>
      </w:r>
    </w:p>
    <w:p w14:paraId="32E243AD">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3.工程立项批准文号：</w:t>
      </w:r>
      <w:r>
        <w:rPr>
          <w:rFonts w:hint="eastAsia" w:ascii="宋体" w:hAnsi="宋体" w:eastAsia="宋体" w:cs="宋体"/>
          <w:color w:val="auto"/>
          <w:sz w:val="24"/>
          <w:szCs w:val="24"/>
          <w:highlight w:val="none"/>
          <w:u w:val="single"/>
        </w:rPr>
        <w:t xml:space="preserve">       </w:t>
      </w:r>
      <w:r>
        <w:rPr>
          <w:rFonts w:hint="eastAsia" w:ascii="宋体" w:hAnsi="宋体" w:eastAsia="宋体" w:cs="宋体"/>
          <w:bCs/>
          <w:color w:val="auto"/>
          <w:sz w:val="24"/>
          <w:szCs w:val="24"/>
          <w:highlight w:val="none"/>
        </w:rPr>
        <w:t>。</w:t>
      </w:r>
    </w:p>
    <w:p w14:paraId="1096A0A0">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4.资金来源：</w:t>
      </w:r>
      <w:r>
        <w:rPr>
          <w:rFonts w:hint="eastAsia" w:ascii="宋体" w:hAnsi="宋体" w:eastAsia="宋体" w:cs="宋体"/>
          <w:color w:val="auto"/>
          <w:sz w:val="24"/>
          <w:szCs w:val="24"/>
          <w:highlight w:val="none"/>
          <w:u w:val="single"/>
        </w:rPr>
        <w:t xml:space="preserve">       </w:t>
      </w:r>
      <w:r>
        <w:rPr>
          <w:rFonts w:hint="eastAsia" w:ascii="宋体" w:hAnsi="宋体" w:eastAsia="宋体" w:cs="宋体"/>
          <w:bCs/>
          <w:color w:val="auto"/>
          <w:sz w:val="24"/>
          <w:szCs w:val="24"/>
          <w:highlight w:val="none"/>
        </w:rPr>
        <w:t>。</w:t>
      </w:r>
    </w:p>
    <w:p w14:paraId="6B27FBB5">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5.工程内容：</w:t>
      </w:r>
      <w:r>
        <w:rPr>
          <w:rFonts w:hint="eastAsia" w:ascii="宋体" w:hAnsi="宋体" w:eastAsia="宋体" w:cs="宋体"/>
          <w:color w:val="auto"/>
          <w:sz w:val="24"/>
          <w:szCs w:val="24"/>
          <w:highlight w:val="none"/>
          <w:u w:val="single"/>
        </w:rPr>
        <w:t xml:space="preserve">       </w:t>
      </w:r>
      <w:r>
        <w:rPr>
          <w:rFonts w:hint="eastAsia" w:ascii="宋体" w:hAnsi="宋体" w:eastAsia="宋体" w:cs="宋体"/>
          <w:bCs/>
          <w:color w:val="auto"/>
          <w:sz w:val="24"/>
          <w:szCs w:val="24"/>
          <w:highlight w:val="none"/>
        </w:rPr>
        <w:t>。</w:t>
      </w:r>
    </w:p>
    <w:p w14:paraId="2A807238">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群体工程应附《承包人承揽工程项目一览表》（附件1）。</w:t>
      </w:r>
    </w:p>
    <w:p w14:paraId="32E797FE">
      <w:pPr>
        <w:spacing w:line="360" w:lineRule="auto"/>
        <w:ind w:firstLine="470" w:firstLineChars="196"/>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6.工程承包范围：</w:t>
      </w:r>
    </w:p>
    <w:p w14:paraId="642DDDB6">
      <w:pPr>
        <w:spacing w:line="360" w:lineRule="auto"/>
        <w:ind w:firstLine="463" w:firstLineChars="19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w:t>
      </w:r>
    </w:p>
    <w:p w14:paraId="769705B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w:t>
      </w:r>
    </w:p>
    <w:p w14:paraId="3F040AE4">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 xml:space="preserve">   </w:t>
      </w:r>
      <w:bookmarkStart w:id="476" w:name="_Toc351203482"/>
      <w:r>
        <w:rPr>
          <w:rFonts w:hint="eastAsia" w:ascii="宋体" w:hAnsi="宋体" w:eastAsia="宋体" w:cs="宋体"/>
          <w:b/>
          <w:bCs w:val="0"/>
          <w:color w:val="auto"/>
          <w:sz w:val="24"/>
          <w:szCs w:val="24"/>
          <w:highlight w:val="none"/>
        </w:rPr>
        <w:t>二、合同工期</w:t>
      </w:r>
      <w:bookmarkEnd w:id="476"/>
    </w:p>
    <w:p w14:paraId="691AF828">
      <w:pPr>
        <w:spacing w:line="360" w:lineRule="auto"/>
        <w:ind w:firstLine="4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计划开工日期：</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日。</w:t>
      </w:r>
    </w:p>
    <w:p w14:paraId="4EAA2EFC">
      <w:pPr>
        <w:spacing w:line="360" w:lineRule="auto"/>
        <w:ind w:firstLine="4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计划竣工日期：</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日。</w:t>
      </w:r>
    </w:p>
    <w:p w14:paraId="7BD240AE">
      <w:pPr>
        <w:spacing w:line="360" w:lineRule="auto"/>
        <w:ind w:firstLine="4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工期总日历天数：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天。工期总日历天数与根据前述计划开竣工日期计算的工期天数不一致的，以工期总日历天数为准。</w:t>
      </w:r>
    </w:p>
    <w:p w14:paraId="333EFF83">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bCs w:val="0"/>
          <w:color w:val="auto"/>
          <w:sz w:val="24"/>
          <w:szCs w:val="24"/>
          <w:highlight w:val="none"/>
        </w:rPr>
        <w:t xml:space="preserve"> </w:t>
      </w:r>
      <w:bookmarkStart w:id="477" w:name="_Toc351203483"/>
      <w:r>
        <w:rPr>
          <w:rFonts w:hint="eastAsia" w:ascii="宋体" w:hAnsi="宋体" w:eastAsia="宋体" w:cs="宋体"/>
          <w:b/>
          <w:bCs w:val="0"/>
          <w:color w:val="auto"/>
          <w:sz w:val="24"/>
          <w:szCs w:val="24"/>
          <w:highlight w:val="none"/>
        </w:rPr>
        <w:t>三、质量标准</w:t>
      </w:r>
      <w:bookmarkEnd w:id="477"/>
    </w:p>
    <w:p w14:paraId="3FF6698C">
      <w:pPr>
        <w:spacing w:line="360" w:lineRule="auto"/>
        <w:ind w:firstLine="45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工程质量符合</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rPr>
        <w:t>标准。</w:t>
      </w:r>
    </w:p>
    <w:p w14:paraId="55F234BC">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bCs w:val="0"/>
          <w:color w:val="auto"/>
          <w:sz w:val="24"/>
          <w:szCs w:val="24"/>
          <w:highlight w:val="none"/>
        </w:rPr>
        <w:t xml:space="preserve"> </w:t>
      </w:r>
      <w:bookmarkStart w:id="478" w:name="_Toc351203484"/>
      <w:r>
        <w:rPr>
          <w:rFonts w:hint="eastAsia" w:ascii="宋体" w:hAnsi="宋体" w:eastAsia="宋体" w:cs="宋体"/>
          <w:b/>
          <w:bCs w:val="0"/>
          <w:color w:val="auto"/>
          <w:sz w:val="24"/>
          <w:szCs w:val="24"/>
          <w:highlight w:val="none"/>
        </w:rPr>
        <w:t>四、签约合同价与合同价格形式</w:t>
      </w:r>
      <w:bookmarkEnd w:id="478"/>
      <w:r>
        <w:rPr>
          <w:rFonts w:hint="eastAsia" w:ascii="宋体" w:hAnsi="宋体" w:eastAsia="宋体" w:cs="宋体"/>
          <w:b w:val="0"/>
          <w:color w:val="auto"/>
          <w:sz w:val="24"/>
          <w:szCs w:val="24"/>
          <w:highlight w:val="none"/>
        </w:rPr>
        <w:tab/>
      </w:r>
    </w:p>
    <w:p w14:paraId="652DCAA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1.签约合同价为：</w:t>
      </w:r>
    </w:p>
    <w:p w14:paraId="6DD4BD8E">
      <w:pPr>
        <w:spacing w:line="360" w:lineRule="auto"/>
        <w:ind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79847F8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w:t>
      </w:r>
    </w:p>
    <w:p w14:paraId="220ADC6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（1）安全文明施工费：</w:t>
      </w:r>
    </w:p>
    <w:p w14:paraId="38135160">
      <w:pPr>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6A0D276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（2）材料和工程设备暂估价金额：</w:t>
      </w:r>
    </w:p>
    <w:p w14:paraId="210B2863">
      <w:pPr>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6E61F855">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（3）专业工程暂估价金额：</w:t>
      </w:r>
    </w:p>
    <w:p w14:paraId="44560568">
      <w:pPr>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7280B47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（4）暂列金额：</w:t>
      </w:r>
    </w:p>
    <w:p w14:paraId="7FEA5B86">
      <w:pPr>
        <w:spacing w:line="360" w:lineRule="auto"/>
        <w:ind w:firstLine="1080" w:firstLineChars="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0830815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2.合同价格形式：</w:t>
      </w:r>
      <w:r>
        <w:rPr>
          <w:rFonts w:hint="eastAsia" w:ascii="宋体" w:hAnsi="宋体" w:eastAsia="宋体" w:cs="宋体"/>
          <w:color w:val="auto"/>
          <w:sz w:val="24"/>
          <w:szCs w:val="24"/>
          <w:highlight w:val="none"/>
          <w:u w:val="single"/>
        </w:rPr>
        <w:t></w:t>
      </w:r>
      <w:r>
        <w:rPr>
          <w:rFonts w:hint="eastAsia" w:ascii="宋体" w:hAnsi="宋体" w:eastAsia="宋体" w:cs="宋体"/>
          <w:b/>
          <w:bCs/>
          <w:color w:val="auto"/>
          <w:sz w:val="24"/>
          <w:szCs w:val="24"/>
          <w:highlight w:val="none"/>
          <w:u w:val="single"/>
        </w:rPr>
        <w:t>固定总价承包合同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9E6B893">
      <w:pPr>
        <w:pStyle w:val="6"/>
        <w:spacing w:before="120" w:after="120" w:line="360" w:lineRule="auto"/>
        <w:rPr>
          <w:rFonts w:hint="eastAsia" w:ascii="宋体" w:hAnsi="宋体" w:eastAsia="宋体" w:cs="宋体"/>
          <w:b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w:t>
      </w:r>
      <w:bookmarkStart w:id="479" w:name="_Toc351203485"/>
      <w:r>
        <w:rPr>
          <w:rFonts w:hint="eastAsia" w:ascii="宋体" w:hAnsi="宋体" w:eastAsia="宋体" w:cs="宋体"/>
          <w:b/>
          <w:bCs w:val="0"/>
          <w:color w:val="auto"/>
          <w:sz w:val="24"/>
          <w:szCs w:val="24"/>
          <w:highlight w:val="none"/>
        </w:rPr>
        <w:t>五、</w:t>
      </w:r>
      <w:bookmarkEnd w:id="479"/>
      <w:r>
        <w:rPr>
          <w:rFonts w:hint="eastAsia" w:ascii="宋体" w:hAnsi="宋体" w:eastAsia="宋体" w:cs="宋体"/>
          <w:b/>
          <w:bCs w:val="0"/>
          <w:color w:val="auto"/>
          <w:sz w:val="24"/>
          <w:szCs w:val="24"/>
          <w:highlight w:val="none"/>
        </w:rPr>
        <w:t>项目经理</w:t>
      </w:r>
    </w:p>
    <w:p w14:paraId="345E5DF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承包人项目经理：</w:t>
      </w:r>
      <w:r>
        <w:rPr>
          <w:rFonts w:hint="eastAsia" w:ascii="宋体" w:hAnsi="宋体" w:eastAsia="宋体" w:cs="宋体"/>
          <w:color w:val="auto"/>
          <w:sz w:val="24"/>
          <w:szCs w:val="24"/>
          <w:highlight w:val="none"/>
          <w:u w:val="single"/>
        </w:rPr>
        <w:t>                     </w:t>
      </w:r>
      <w:r>
        <w:rPr>
          <w:rFonts w:hint="eastAsia" w:ascii="宋体" w:hAnsi="宋体" w:eastAsia="宋体" w:cs="宋体"/>
          <w:color w:val="auto"/>
          <w:sz w:val="24"/>
          <w:szCs w:val="24"/>
          <w:highlight w:val="none"/>
        </w:rPr>
        <w:t>。</w:t>
      </w:r>
    </w:p>
    <w:p w14:paraId="4A740D63">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w:t>
      </w:r>
      <w:bookmarkStart w:id="480" w:name="_Toc351203486"/>
      <w:r>
        <w:rPr>
          <w:rFonts w:hint="eastAsia" w:ascii="宋体" w:hAnsi="宋体" w:eastAsia="宋体" w:cs="宋体"/>
          <w:b/>
          <w:bCs w:val="0"/>
          <w:color w:val="auto"/>
          <w:sz w:val="24"/>
          <w:szCs w:val="24"/>
          <w:highlight w:val="none"/>
        </w:rPr>
        <w:t>六、合同文件构成</w:t>
      </w:r>
      <w:bookmarkEnd w:id="480"/>
    </w:p>
    <w:p w14:paraId="704F9E6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本协议书与下列文件一起构成合同文件：</w:t>
      </w:r>
    </w:p>
    <w:p w14:paraId="417E9F1A">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（1）中标通知书（如果有）；</w:t>
      </w:r>
    </w:p>
    <w:p w14:paraId="32D288B9">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（2）投标函及其附录（如果有）； </w:t>
      </w:r>
    </w:p>
    <w:p w14:paraId="326E9419">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（3）专用合同条款及其附件；</w:t>
      </w:r>
    </w:p>
    <w:p w14:paraId="5ADFFF6E">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（4）通用合同条款；</w:t>
      </w:r>
    </w:p>
    <w:p w14:paraId="60852998">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（5）技术标准和要求；</w:t>
      </w:r>
    </w:p>
    <w:p w14:paraId="65E37A83">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（6）图纸；</w:t>
      </w:r>
    </w:p>
    <w:p w14:paraId="76B0E7B6">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（7）已标价工程量清单或预算书；</w:t>
      </w:r>
    </w:p>
    <w:p w14:paraId="3F225C40">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（8）其他合同文件。</w:t>
      </w:r>
    </w:p>
    <w:p w14:paraId="3B388B24">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在合同订立及履行过程中形成的与合同有关的文件均构成合同文件组成部分。</w:t>
      </w:r>
    </w:p>
    <w:p w14:paraId="23913598">
      <w:pPr>
        <w:autoSpaceDE w:val="0"/>
        <w:autoSpaceDN w:val="0"/>
        <w:adjustRightIn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上述各项合同文件包括合同当事人就该项合同文件所作出的补充和修改，属于同一类内容的文件，应以最新签署的为准。专用合同条款及其附件须经合同当事人签字或盖章。</w:t>
      </w:r>
    </w:p>
    <w:p w14:paraId="31FA14F7">
      <w:pPr>
        <w:pStyle w:val="6"/>
        <w:spacing w:before="120" w:after="120"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color w:val="auto"/>
          <w:sz w:val="24"/>
          <w:szCs w:val="24"/>
          <w:highlight w:val="none"/>
        </w:rPr>
        <w:t xml:space="preserve"> </w:t>
      </w:r>
      <w:bookmarkStart w:id="481" w:name="_Toc351203487"/>
      <w:r>
        <w:rPr>
          <w:rFonts w:hint="eastAsia" w:ascii="宋体" w:hAnsi="宋体" w:eastAsia="宋体" w:cs="宋体"/>
          <w:b/>
          <w:bCs w:val="0"/>
          <w:color w:val="auto"/>
          <w:sz w:val="24"/>
          <w:szCs w:val="24"/>
          <w:highlight w:val="none"/>
        </w:rPr>
        <w:t>七、承诺</w:t>
      </w:r>
      <w:bookmarkEnd w:id="481"/>
    </w:p>
    <w:p w14:paraId="519EF7C3">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1.发包人承诺按照法律规定履行项目审批手续、筹集工程建设资金并按照合同约定的期限和方式支付合同价款。</w:t>
      </w:r>
    </w:p>
    <w:p w14:paraId="6B0C7ED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2.承包人承诺按照法律规定及合同约定组织完成工程施工，确保工程质量和安全，不进行转包及违法分包，并在缺陷责任期及保修期内承担相应的工程维修责任。</w:t>
      </w:r>
    </w:p>
    <w:p w14:paraId="568DD0E7">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3.发包人和承包人通过招投标形式签订合同的，双方理解并承诺不再就同一工程另行签订与合同实质性内容相背离的协议。</w:t>
      </w:r>
    </w:p>
    <w:p w14:paraId="43F23150">
      <w:pPr>
        <w:spacing w:line="360" w:lineRule="auto"/>
        <w:rPr>
          <w:rFonts w:hint="eastAsia" w:ascii="宋体" w:hAnsi="宋体" w:eastAsia="宋体" w:cs="宋体"/>
          <w:bCs/>
          <w:color w:val="auto"/>
          <w:sz w:val="24"/>
          <w:szCs w:val="24"/>
          <w:highlight w:val="none"/>
        </w:rPr>
      </w:pPr>
      <w:bookmarkStart w:id="482" w:name="_Toc351203488"/>
      <w:r>
        <w:rPr>
          <w:rFonts w:hint="eastAsia" w:ascii="宋体" w:hAnsi="宋体" w:eastAsia="宋体" w:cs="宋体"/>
          <w:b/>
          <w:color w:val="auto"/>
          <w:sz w:val="24"/>
          <w:szCs w:val="24"/>
          <w:highlight w:val="none"/>
        </w:rPr>
        <w:t xml:space="preserve">    八、词语含义</w:t>
      </w:r>
      <w:bookmarkEnd w:id="482"/>
    </w:p>
    <w:p w14:paraId="42B5F6B1">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本协议书中词语含义与第二部分通用合同条款中赋予的含义相同。</w:t>
      </w:r>
    </w:p>
    <w:p w14:paraId="7F144D8E">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color w:val="auto"/>
          <w:sz w:val="24"/>
          <w:szCs w:val="24"/>
          <w:highlight w:val="none"/>
        </w:rPr>
        <w:t xml:space="preserve">  </w:t>
      </w:r>
      <w:bookmarkStart w:id="483" w:name="_Toc351203489"/>
      <w:r>
        <w:rPr>
          <w:rFonts w:hint="eastAsia" w:ascii="宋体" w:hAnsi="宋体" w:eastAsia="宋体" w:cs="宋体"/>
          <w:b/>
          <w:bCs w:val="0"/>
          <w:color w:val="auto"/>
          <w:sz w:val="24"/>
          <w:szCs w:val="24"/>
          <w:highlight w:val="none"/>
        </w:rPr>
        <w:t>九、签订时间</w:t>
      </w:r>
      <w:bookmarkEnd w:id="483"/>
    </w:p>
    <w:p w14:paraId="5AEFBC4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本合同于</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日签订。</w:t>
      </w:r>
    </w:p>
    <w:p w14:paraId="5BDA929D">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bookmarkStart w:id="484" w:name="_Toc351203490"/>
      <w:r>
        <w:rPr>
          <w:rFonts w:hint="eastAsia" w:ascii="宋体" w:hAnsi="宋体" w:eastAsia="宋体" w:cs="宋体"/>
          <w:b/>
          <w:bCs w:val="0"/>
          <w:color w:val="auto"/>
          <w:sz w:val="24"/>
          <w:szCs w:val="24"/>
          <w:highlight w:val="none"/>
        </w:rPr>
        <w:t>十、签订地点</w:t>
      </w:r>
      <w:bookmarkEnd w:id="484"/>
    </w:p>
    <w:p w14:paraId="4D888840">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签订。</w:t>
      </w:r>
    </w:p>
    <w:p w14:paraId="2788A18E">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bookmarkStart w:id="485" w:name="_Toc351203491"/>
      <w:r>
        <w:rPr>
          <w:rFonts w:hint="eastAsia" w:ascii="宋体" w:hAnsi="宋体" w:eastAsia="宋体" w:cs="宋体"/>
          <w:b/>
          <w:bCs w:val="0"/>
          <w:color w:val="auto"/>
          <w:sz w:val="24"/>
          <w:szCs w:val="24"/>
          <w:highlight w:val="none"/>
        </w:rPr>
        <w:t>十一、补充协议</w:t>
      </w:r>
      <w:bookmarkEnd w:id="485"/>
    </w:p>
    <w:p w14:paraId="180B2B10">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合同未尽事宜，合同当事人另行签订补充协议，补充协议是合同的组成部分。</w:t>
      </w:r>
    </w:p>
    <w:p w14:paraId="2AFD85BD">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bookmarkStart w:id="486" w:name="_Toc351203492"/>
      <w:r>
        <w:rPr>
          <w:rFonts w:hint="eastAsia" w:ascii="宋体" w:hAnsi="宋体" w:eastAsia="宋体" w:cs="宋体"/>
          <w:b/>
          <w:bCs w:val="0"/>
          <w:color w:val="auto"/>
          <w:sz w:val="24"/>
          <w:szCs w:val="24"/>
          <w:highlight w:val="none"/>
        </w:rPr>
        <w:t>十二、合同生效</w:t>
      </w:r>
      <w:bookmarkEnd w:id="486"/>
    </w:p>
    <w:p w14:paraId="67AFEE76">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本合同自</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生效。</w:t>
      </w:r>
    </w:p>
    <w:p w14:paraId="21A85397">
      <w:pPr>
        <w:pStyle w:val="6"/>
        <w:spacing w:before="120" w:after="120" w:line="360" w:lineRule="auto"/>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 xml:space="preserve">   </w:t>
      </w:r>
      <w:r>
        <w:rPr>
          <w:rFonts w:hint="eastAsia" w:ascii="宋体" w:hAnsi="宋体" w:eastAsia="宋体" w:cs="宋体"/>
          <w:b w:val="0"/>
          <w:bCs/>
          <w:color w:val="auto"/>
          <w:sz w:val="24"/>
          <w:szCs w:val="24"/>
          <w:highlight w:val="none"/>
        </w:rPr>
        <w:t xml:space="preserve"> </w:t>
      </w:r>
      <w:bookmarkStart w:id="487" w:name="_Toc351203493"/>
      <w:r>
        <w:rPr>
          <w:rFonts w:hint="eastAsia" w:ascii="宋体" w:hAnsi="宋体" w:eastAsia="宋体" w:cs="宋体"/>
          <w:b/>
          <w:bCs w:val="0"/>
          <w:color w:val="auto"/>
          <w:sz w:val="24"/>
          <w:szCs w:val="24"/>
          <w:highlight w:val="none"/>
        </w:rPr>
        <w:t>十三、合同份数</w:t>
      </w:r>
      <w:bookmarkEnd w:id="487"/>
    </w:p>
    <w:p w14:paraId="3E6EFE46">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本合同一式</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份，均具有同等法律效力，发包人执</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份，承包人执</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份。</w:t>
      </w:r>
    </w:p>
    <w:p w14:paraId="1CC9265B">
      <w:pPr>
        <w:pStyle w:val="57"/>
        <w:rPr>
          <w:rFonts w:hint="eastAsia" w:ascii="宋体" w:hAnsi="宋体" w:eastAsia="宋体" w:cs="宋体"/>
          <w:highlight w:val="none"/>
        </w:rPr>
      </w:pPr>
    </w:p>
    <w:p w14:paraId="2DD5F28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  (公章)             承包人：  (公章)</w:t>
      </w:r>
    </w:p>
    <w:p w14:paraId="3A6F8D99">
      <w:pP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                                 </w:t>
      </w:r>
    </w:p>
    <w:p w14:paraId="1337903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法定代表人或其委托代理人：  法定代表人或其委托代理人：</w:t>
      </w:r>
    </w:p>
    <w:p w14:paraId="3F62FCD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                    （签字）</w:t>
      </w:r>
    </w:p>
    <w:p w14:paraId="5ECDC05A">
      <w:pPr>
        <w:spacing w:line="360" w:lineRule="auto"/>
        <w:rPr>
          <w:rFonts w:hint="eastAsia" w:ascii="宋体" w:hAnsi="宋体" w:eastAsia="宋体" w:cs="宋体"/>
          <w:color w:val="auto"/>
          <w:sz w:val="24"/>
          <w:szCs w:val="24"/>
          <w:highlight w:val="none"/>
          <w:u w:val="single"/>
        </w:rPr>
      </w:pPr>
    </w:p>
    <w:p w14:paraId="633A8513">
      <w:pPr>
        <w:tabs>
          <w:tab w:val="left" w:pos="4410"/>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组织机构代码：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组织机构代码：</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w:t>
      </w:r>
    </w:p>
    <w:p w14:paraId="26473D2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地  址：</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7684442A">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r>
        <w:rPr>
          <w:rFonts w:hint="eastAsia" w:ascii="宋体" w:hAnsi="宋体" w:eastAsia="宋体" w:cs="宋体"/>
          <w:color w:val="auto"/>
          <w:sz w:val="24"/>
          <w:szCs w:val="24"/>
          <w:highlight w:val="none"/>
          <w:u w:val="single"/>
        </w:rPr>
        <w:t xml:space="preserve">      </w:t>
      </w:r>
      <w:r>
        <w:rPr>
          <w:rFonts w:hint="eastAsia" w:ascii="宋体" w:hAnsi="宋体" w:eastAsia="宋体" w:cs="宋体"/>
          <w:color w:val="auto"/>
          <w:sz w:val="24"/>
          <w:szCs w:val="24"/>
          <w:highlight w:val="none"/>
        </w:rPr>
        <w:t xml:space="preserve">  邮政编码：</w:t>
      </w:r>
      <w:r>
        <w:rPr>
          <w:rFonts w:hint="eastAsia" w:ascii="宋体" w:hAnsi="宋体" w:eastAsia="宋体" w:cs="宋体"/>
          <w:color w:val="auto"/>
          <w:sz w:val="24"/>
          <w:szCs w:val="24"/>
          <w:highlight w:val="none"/>
          <w:u w:val="single"/>
        </w:rPr>
        <w:t xml:space="preserve">   </w:t>
      </w:r>
    </w:p>
    <w:p w14:paraId="362DD84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法定代表人：</w:t>
      </w:r>
      <w:r>
        <w:rPr>
          <w:rFonts w:hint="eastAsia" w:ascii="宋体" w:hAnsi="宋体" w:eastAsia="宋体" w:cs="宋体"/>
          <w:color w:val="auto"/>
          <w:sz w:val="24"/>
          <w:szCs w:val="24"/>
          <w:highlight w:val="none"/>
          <w:u w:val="single"/>
        </w:rPr>
        <w:t xml:space="preserve">             </w:t>
      </w:r>
    </w:p>
    <w:p w14:paraId="7181183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委托代理人：</w:t>
      </w:r>
      <w:r>
        <w:rPr>
          <w:rFonts w:hint="eastAsia" w:ascii="宋体" w:hAnsi="宋体" w:eastAsia="宋体" w:cs="宋体"/>
          <w:color w:val="auto"/>
          <w:sz w:val="24"/>
          <w:szCs w:val="24"/>
          <w:highlight w:val="none"/>
          <w:u w:val="single"/>
        </w:rPr>
        <w:t xml:space="preserve">             </w:t>
      </w:r>
    </w:p>
    <w:p w14:paraId="4D01EAF3">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  话：</w:t>
      </w:r>
      <w:r>
        <w:rPr>
          <w:rFonts w:hint="eastAsia" w:ascii="宋体" w:hAnsi="宋体" w:eastAsia="宋体" w:cs="宋体"/>
          <w:color w:val="auto"/>
          <w:sz w:val="24"/>
          <w:szCs w:val="24"/>
          <w:highlight w:val="none"/>
          <w:u w:val="single"/>
        </w:rPr>
        <w:t xml:space="preserve">     </w:t>
      </w:r>
    </w:p>
    <w:p w14:paraId="631F482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  真：</w:t>
      </w:r>
      <w:r>
        <w:rPr>
          <w:rFonts w:hint="eastAsia" w:ascii="宋体" w:hAnsi="宋体" w:eastAsia="宋体" w:cs="宋体"/>
          <w:color w:val="auto"/>
          <w:sz w:val="24"/>
          <w:szCs w:val="24"/>
          <w:highlight w:val="none"/>
          <w:u w:val="single"/>
        </w:rPr>
        <w:t xml:space="preserve">     </w:t>
      </w:r>
    </w:p>
    <w:p w14:paraId="33B8BB0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电子信箱：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电子信箱：</w:t>
      </w:r>
      <w:r>
        <w:rPr>
          <w:rFonts w:hint="eastAsia" w:ascii="宋体" w:hAnsi="宋体" w:eastAsia="宋体" w:cs="宋体"/>
          <w:color w:val="auto"/>
          <w:sz w:val="24"/>
          <w:szCs w:val="24"/>
          <w:highlight w:val="none"/>
          <w:u w:val="single"/>
        </w:rPr>
        <w:t xml:space="preserve">   </w:t>
      </w:r>
    </w:p>
    <w:p w14:paraId="5BFFB68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开户银行：</w:t>
      </w:r>
      <w:r>
        <w:rPr>
          <w:rFonts w:hint="eastAsia" w:ascii="宋体" w:hAnsi="宋体" w:eastAsia="宋体" w:cs="宋体"/>
          <w:color w:val="auto"/>
          <w:sz w:val="24"/>
          <w:szCs w:val="24"/>
          <w:highlight w:val="none"/>
          <w:u w:val="single"/>
        </w:rPr>
        <w:t xml:space="preserve">   </w:t>
      </w:r>
    </w:p>
    <w:p w14:paraId="2B9068D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  号：</w:t>
      </w:r>
      <w:r>
        <w:rPr>
          <w:rFonts w:hint="eastAsia" w:ascii="宋体" w:hAnsi="宋体" w:eastAsia="宋体" w:cs="宋体"/>
          <w:color w:val="auto"/>
          <w:sz w:val="24"/>
          <w:szCs w:val="24"/>
          <w:highlight w:val="none"/>
          <w:u w:val="single"/>
        </w:rPr>
        <w:t xml:space="preserve">       </w:t>
      </w:r>
      <w:r>
        <w:rPr>
          <w:rFonts w:hint="eastAsia" w:ascii="宋体" w:hAnsi="宋体" w:eastAsia="宋体" w:cs="宋体"/>
          <w:color w:val="auto"/>
          <w:sz w:val="24"/>
          <w:szCs w:val="24"/>
          <w:highlight w:val="none"/>
        </w:rPr>
        <w:t xml:space="preserve">   账  号：</w:t>
      </w:r>
      <w:r>
        <w:rPr>
          <w:rFonts w:hint="eastAsia" w:ascii="宋体" w:hAnsi="宋体" w:eastAsia="宋体" w:cs="宋体"/>
          <w:color w:val="auto"/>
          <w:sz w:val="24"/>
          <w:szCs w:val="24"/>
          <w:highlight w:val="none"/>
          <w:u w:val="single"/>
        </w:rPr>
        <w:t xml:space="preserve">     </w:t>
      </w:r>
    </w:p>
    <w:p w14:paraId="6DD955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680"/>
        <w:rPr>
          <w:rFonts w:hint="eastAsia" w:ascii="宋体" w:hAnsi="宋体" w:eastAsia="宋体" w:cs="宋体"/>
          <w:color w:val="000000"/>
          <w:highlight w:val="none"/>
        </w:rPr>
      </w:pPr>
    </w:p>
    <w:p w14:paraId="0F44D0A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bookmarkStart w:id="488" w:name="_Toc41828923"/>
      <w:bookmarkStart w:id="489" w:name="_Toc25463"/>
    </w:p>
    <w:p w14:paraId="3B861D0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49387C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6D9F9CF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AC1AB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30C089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30E6011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D2E80A">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246C65C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77A295B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p w14:paraId="5FE768FC">
      <w:pPr>
        <w:pStyle w:val="38"/>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D00C93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130D402">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57D778E">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48264F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8913E08">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3FFB748">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C0CF34A">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5B3019C1">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0314860">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7C59A479">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1549B46A">
      <w:pPr>
        <w:pStyle w:val="19"/>
        <w:kinsoku/>
        <w:overflowPunct/>
        <w:bidi w:val="0"/>
        <w:adjustRightInd w:val="0"/>
        <w:snapToGrid w:val="0"/>
        <w:spacing w:line="360" w:lineRule="auto"/>
        <w:ind w:left="0" w:right="0"/>
        <w:rPr>
          <w:rFonts w:hint="eastAsia" w:ascii="宋体" w:hAnsi="宋体" w:eastAsia="宋体" w:cs="宋体"/>
          <w:b/>
          <w:bCs/>
          <w:color w:val="000000"/>
          <w:highlight w:val="none"/>
        </w:rPr>
      </w:pPr>
    </w:p>
    <w:p w14:paraId="274190E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outlineLvl w:val="9"/>
        <w:rPr>
          <w:rFonts w:hint="eastAsia" w:ascii="宋体" w:hAnsi="宋体" w:eastAsia="宋体" w:cs="宋体"/>
          <w:b/>
          <w:bCs/>
          <w:color w:val="000000"/>
          <w:highlight w:val="none"/>
        </w:rPr>
      </w:pPr>
    </w:p>
    <w:bookmarkEnd w:id="488"/>
    <w:bookmarkEnd w:id="489"/>
    <w:p w14:paraId="222D8FDC">
      <w:pPr>
        <w:pStyle w:val="5"/>
        <w:jc w:val="center"/>
        <w:rPr>
          <w:rFonts w:hint="eastAsia" w:ascii="宋体" w:hAnsi="宋体" w:eastAsia="宋体" w:cs="宋体"/>
          <w:color w:val="auto"/>
          <w:sz w:val="24"/>
          <w:szCs w:val="24"/>
          <w:highlight w:val="none"/>
        </w:rPr>
      </w:pPr>
      <w:bookmarkStart w:id="490" w:name="_Toc351203494"/>
      <w:r>
        <w:rPr>
          <w:rFonts w:hint="eastAsia" w:ascii="宋体" w:hAnsi="宋体" w:eastAsia="宋体" w:cs="宋体"/>
          <w:color w:val="auto"/>
          <w:sz w:val="24"/>
          <w:szCs w:val="24"/>
          <w:highlight w:val="none"/>
        </w:rPr>
        <w:t>第二部分 通用合同条款</w:t>
      </w:r>
      <w:bookmarkEnd w:id="490"/>
      <w:bookmarkStart w:id="491" w:name="_Toc337558727"/>
    </w:p>
    <w:bookmarkEnd w:id="491"/>
    <w:p w14:paraId="2FC745CB">
      <w:pPr>
        <w:pStyle w:val="5"/>
        <w:jc w:val="center"/>
        <w:rPr>
          <w:rFonts w:hint="eastAsia" w:ascii="宋体" w:hAnsi="宋体" w:eastAsia="宋体" w:cs="宋体"/>
          <w:color w:val="auto"/>
          <w:sz w:val="24"/>
          <w:szCs w:val="24"/>
          <w:highlight w:val="none"/>
          <w:lang w:val="en-US" w:eastAsia="zh-CN"/>
        </w:rPr>
      </w:pPr>
      <w:bookmarkStart w:id="492" w:name="_Toc351203632"/>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略）</w:t>
      </w:r>
    </w:p>
    <w:p w14:paraId="29BAE077">
      <w:pPr>
        <w:pStyle w:val="5"/>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第三部分 专用合同条款</w:t>
      </w:r>
      <w:bookmarkEnd w:id="492"/>
    </w:p>
    <w:p w14:paraId="281E028B">
      <w:pPr>
        <w:keepNext/>
        <w:spacing w:line="540" w:lineRule="exact"/>
        <w:outlineLvl w:val="3"/>
        <w:rPr>
          <w:rFonts w:ascii="宋体" w:hAnsi="宋体" w:cs="楷体"/>
          <w:b/>
          <w:bCs/>
          <w:sz w:val="24"/>
          <w:szCs w:val="24"/>
          <w:highlight w:val="none"/>
        </w:rPr>
      </w:pPr>
      <w:r>
        <w:rPr>
          <w:rFonts w:hint="eastAsia" w:ascii="宋体" w:hAnsi="宋体" w:cs="楷体"/>
          <w:b/>
          <w:bCs/>
          <w:sz w:val="24"/>
          <w:szCs w:val="24"/>
          <w:highlight w:val="none"/>
        </w:rPr>
        <w:t>1.一般约定</w:t>
      </w:r>
    </w:p>
    <w:p w14:paraId="54F247CF">
      <w:pPr>
        <w:spacing w:line="540" w:lineRule="exact"/>
        <w:rPr>
          <w:rFonts w:ascii="宋体" w:hAnsi="宋体" w:cs="楷体"/>
          <w:b/>
          <w:bCs/>
          <w:sz w:val="24"/>
          <w:szCs w:val="24"/>
          <w:highlight w:val="none"/>
        </w:rPr>
      </w:pPr>
      <w:r>
        <w:rPr>
          <w:rFonts w:hint="eastAsia" w:ascii="宋体" w:hAnsi="宋体" w:cs="楷体"/>
          <w:b/>
          <w:bCs/>
          <w:sz w:val="24"/>
          <w:szCs w:val="24"/>
          <w:highlight w:val="none"/>
        </w:rPr>
        <w:t>1.1 词语定义</w:t>
      </w:r>
    </w:p>
    <w:p w14:paraId="37319C1F">
      <w:pPr>
        <w:spacing w:line="540" w:lineRule="exact"/>
        <w:rPr>
          <w:rFonts w:ascii="宋体" w:hAnsi="宋体" w:cs="楷体"/>
          <w:sz w:val="24"/>
          <w:szCs w:val="24"/>
          <w:highlight w:val="none"/>
        </w:rPr>
      </w:pPr>
      <w:r>
        <w:rPr>
          <w:rFonts w:hint="eastAsia" w:ascii="宋体" w:hAnsi="宋体" w:cs="楷体"/>
          <w:sz w:val="24"/>
          <w:szCs w:val="24"/>
          <w:highlight w:val="none"/>
        </w:rPr>
        <w:t>1.1.1合同当事人及人员</w:t>
      </w:r>
    </w:p>
    <w:p w14:paraId="31E35420">
      <w:pPr>
        <w:spacing w:line="540" w:lineRule="exact"/>
        <w:rPr>
          <w:rFonts w:ascii="宋体" w:hAnsi="宋体" w:cs="楷体"/>
          <w:sz w:val="24"/>
          <w:szCs w:val="24"/>
          <w:highlight w:val="none"/>
          <w:u w:val="single"/>
        </w:rPr>
      </w:pPr>
      <w:r>
        <w:rPr>
          <w:rFonts w:hint="eastAsia" w:ascii="宋体" w:hAnsi="宋体" w:cs="楷体"/>
          <w:sz w:val="24"/>
          <w:szCs w:val="24"/>
          <w:highlight w:val="none"/>
        </w:rPr>
        <w:t>1.1.2发包人：</w:t>
      </w:r>
    </w:p>
    <w:p w14:paraId="582E897A">
      <w:pPr>
        <w:spacing w:line="540" w:lineRule="exact"/>
        <w:rPr>
          <w:rFonts w:ascii="宋体" w:hAnsi="宋体" w:cs="楷体"/>
          <w:sz w:val="24"/>
          <w:szCs w:val="24"/>
          <w:highlight w:val="none"/>
          <w:u w:val="single"/>
        </w:rPr>
      </w:pPr>
      <w:r>
        <w:rPr>
          <w:rFonts w:hint="eastAsia" w:ascii="宋体" w:hAnsi="宋体" w:cs="楷体"/>
          <w:sz w:val="24"/>
          <w:szCs w:val="24"/>
          <w:highlight w:val="none"/>
        </w:rPr>
        <w:t>1.1.3承包人：</w:t>
      </w:r>
    </w:p>
    <w:p w14:paraId="1F981DCB">
      <w:pPr>
        <w:spacing w:line="540" w:lineRule="exact"/>
        <w:rPr>
          <w:rFonts w:ascii="宋体" w:hAnsi="宋体" w:cs="楷体"/>
          <w:sz w:val="24"/>
          <w:szCs w:val="24"/>
          <w:highlight w:val="none"/>
          <w:u w:val="single"/>
        </w:rPr>
      </w:pPr>
      <w:r>
        <w:rPr>
          <w:rFonts w:hint="eastAsia" w:ascii="宋体" w:hAnsi="宋体" w:cs="楷体"/>
          <w:sz w:val="24"/>
          <w:szCs w:val="24"/>
          <w:highlight w:val="none"/>
        </w:rPr>
        <w:t>1.1.2.4监理人：</w:t>
      </w:r>
    </w:p>
    <w:p w14:paraId="464F9712">
      <w:pPr>
        <w:spacing w:line="540" w:lineRule="exact"/>
        <w:rPr>
          <w:rFonts w:ascii="宋体" w:hAnsi="宋体" w:cs="楷体"/>
          <w:sz w:val="24"/>
          <w:szCs w:val="24"/>
          <w:highlight w:val="none"/>
          <w:u w:val="single"/>
        </w:rPr>
      </w:pPr>
      <w:r>
        <w:rPr>
          <w:rFonts w:hint="eastAsia" w:ascii="宋体" w:hAnsi="宋体" w:cs="楷体"/>
          <w:sz w:val="24"/>
          <w:szCs w:val="24"/>
          <w:highlight w:val="none"/>
        </w:rPr>
        <w:t>1.1.2.5 设计人：</w:t>
      </w:r>
    </w:p>
    <w:p w14:paraId="17363998">
      <w:pPr>
        <w:spacing w:line="540" w:lineRule="exact"/>
        <w:rPr>
          <w:rFonts w:ascii="宋体" w:hAnsi="宋体" w:cs="楷体"/>
          <w:sz w:val="24"/>
          <w:szCs w:val="24"/>
          <w:highlight w:val="none"/>
        </w:rPr>
      </w:pPr>
      <w:r>
        <w:rPr>
          <w:rFonts w:hint="eastAsia" w:ascii="宋体" w:hAnsi="宋体" w:cs="楷体"/>
          <w:sz w:val="24"/>
          <w:szCs w:val="24"/>
          <w:highlight w:val="none"/>
        </w:rPr>
        <w:t>1.1.3 工程和设备</w:t>
      </w:r>
    </w:p>
    <w:p w14:paraId="731CE48B">
      <w:pPr>
        <w:spacing w:line="540" w:lineRule="exact"/>
        <w:rPr>
          <w:rFonts w:ascii="宋体" w:hAnsi="宋体" w:cs="楷体"/>
          <w:sz w:val="24"/>
          <w:szCs w:val="24"/>
          <w:highlight w:val="none"/>
        </w:rPr>
      </w:pPr>
      <w:r>
        <w:rPr>
          <w:rFonts w:hint="eastAsia" w:ascii="宋体" w:hAnsi="宋体" w:cs="楷体"/>
          <w:sz w:val="24"/>
          <w:szCs w:val="24"/>
          <w:highlight w:val="none"/>
        </w:rPr>
        <w:t>1.1.3.7 作为施工现场组成部分的其他场所包括：。</w:t>
      </w:r>
    </w:p>
    <w:p w14:paraId="466A6792">
      <w:pPr>
        <w:spacing w:line="540" w:lineRule="exact"/>
        <w:rPr>
          <w:rFonts w:ascii="宋体" w:hAnsi="宋体" w:cs="楷体"/>
          <w:sz w:val="24"/>
          <w:szCs w:val="24"/>
          <w:highlight w:val="none"/>
        </w:rPr>
      </w:pPr>
      <w:r>
        <w:rPr>
          <w:rFonts w:hint="eastAsia" w:ascii="宋体" w:hAnsi="宋体" w:cs="楷体"/>
          <w:sz w:val="24"/>
          <w:szCs w:val="24"/>
          <w:highlight w:val="none"/>
        </w:rPr>
        <w:t>1.1.3.9 永久占地包括：。</w:t>
      </w:r>
    </w:p>
    <w:p w14:paraId="17ACA5A6">
      <w:pPr>
        <w:spacing w:line="540" w:lineRule="exact"/>
        <w:rPr>
          <w:rFonts w:ascii="宋体" w:hAnsi="宋体" w:cs="楷体"/>
          <w:sz w:val="24"/>
          <w:szCs w:val="24"/>
          <w:highlight w:val="none"/>
        </w:rPr>
      </w:pPr>
      <w:r>
        <w:rPr>
          <w:rFonts w:hint="eastAsia" w:ascii="宋体" w:hAnsi="宋体" w:cs="楷体"/>
          <w:sz w:val="24"/>
          <w:szCs w:val="24"/>
          <w:highlight w:val="none"/>
        </w:rPr>
        <w:t>1.1.3.10临时占地包括：。</w:t>
      </w:r>
    </w:p>
    <w:p w14:paraId="39B913FD">
      <w:pPr>
        <w:spacing w:line="540" w:lineRule="exact"/>
        <w:rPr>
          <w:rFonts w:ascii="宋体" w:hAnsi="宋体" w:cs="楷体"/>
          <w:sz w:val="24"/>
          <w:szCs w:val="24"/>
          <w:highlight w:val="none"/>
        </w:rPr>
      </w:pPr>
      <w:r>
        <w:rPr>
          <w:rFonts w:hint="eastAsia" w:ascii="宋体" w:hAnsi="宋体" w:cs="楷体"/>
          <w:b/>
          <w:bCs/>
          <w:sz w:val="24"/>
          <w:szCs w:val="24"/>
          <w:highlight w:val="none"/>
        </w:rPr>
        <w:t>1.3</w:t>
      </w:r>
      <w:r>
        <w:rPr>
          <w:rFonts w:hint="eastAsia" w:ascii="宋体" w:hAnsi="宋体" w:cs="楷体"/>
          <w:sz w:val="24"/>
          <w:szCs w:val="24"/>
          <w:highlight w:val="none"/>
        </w:rPr>
        <w:t xml:space="preserve">法律 </w:t>
      </w:r>
    </w:p>
    <w:p w14:paraId="6E819D8D">
      <w:pPr>
        <w:autoSpaceDE w:val="0"/>
        <w:autoSpaceDN w:val="0"/>
        <w:spacing w:line="540" w:lineRule="exact"/>
        <w:rPr>
          <w:rFonts w:ascii="宋体" w:hAnsi="宋体" w:cs="楷体"/>
          <w:sz w:val="24"/>
          <w:szCs w:val="24"/>
          <w:highlight w:val="none"/>
          <w:u w:val="single"/>
        </w:rPr>
      </w:pPr>
      <w:r>
        <w:rPr>
          <w:rFonts w:hint="eastAsia" w:ascii="宋体" w:hAnsi="宋体" w:cs="楷体"/>
          <w:sz w:val="24"/>
          <w:szCs w:val="24"/>
          <w:highlight w:val="none"/>
        </w:rPr>
        <w:t>适用于合同的其他规范性文件：</w:t>
      </w:r>
      <w:r>
        <w:rPr>
          <w:rFonts w:hint="eastAsia" w:ascii="宋体" w:hAnsi="宋体" w:cs="楷体"/>
          <w:sz w:val="24"/>
          <w:szCs w:val="24"/>
          <w:highlight w:val="none"/>
          <w:u w:val="single"/>
        </w:rPr>
        <w:t xml:space="preserve"> 国家规定的现行法律法规及河南省、三门峡市相关法律法规  </w:t>
      </w:r>
      <w:r>
        <w:rPr>
          <w:rFonts w:hint="eastAsia" w:ascii="宋体" w:hAnsi="宋体" w:cs="楷体"/>
          <w:sz w:val="24"/>
          <w:szCs w:val="24"/>
          <w:highlight w:val="none"/>
        </w:rPr>
        <w:t>。</w:t>
      </w:r>
    </w:p>
    <w:p w14:paraId="0965ABF4">
      <w:pPr>
        <w:spacing w:line="540" w:lineRule="exact"/>
        <w:rPr>
          <w:rFonts w:ascii="宋体" w:hAnsi="宋体" w:cs="楷体"/>
          <w:sz w:val="24"/>
          <w:szCs w:val="24"/>
          <w:highlight w:val="none"/>
        </w:rPr>
      </w:pPr>
      <w:r>
        <w:rPr>
          <w:rFonts w:hint="eastAsia" w:ascii="宋体" w:hAnsi="宋体" w:cs="楷体"/>
          <w:b/>
          <w:bCs/>
          <w:sz w:val="24"/>
          <w:szCs w:val="24"/>
          <w:highlight w:val="none"/>
        </w:rPr>
        <w:t xml:space="preserve">1.4 </w:t>
      </w:r>
      <w:r>
        <w:rPr>
          <w:rFonts w:hint="eastAsia" w:ascii="宋体" w:hAnsi="宋体" w:cs="楷体"/>
          <w:sz w:val="24"/>
          <w:szCs w:val="24"/>
          <w:highlight w:val="none"/>
        </w:rPr>
        <w:t>标准和规范</w:t>
      </w:r>
    </w:p>
    <w:p w14:paraId="11780565">
      <w:pPr>
        <w:spacing w:line="540" w:lineRule="exact"/>
        <w:rPr>
          <w:rFonts w:ascii="宋体" w:hAnsi="宋体" w:cs="楷体"/>
          <w:sz w:val="24"/>
          <w:szCs w:val="24"/>
          <w:highlight w:val="none"/>
        </w:rPr>
      </w:pPr>
      <w:r>
        <w:rPr>
          <w:rFonts w:hint="eastAsia" w:ascii="宋体" w:hAnsi="宋体" w:cs="楷体"/>
          <w:sz w:val="24"/>
          <w:szCs w:val="24"/>
          <w:highlight w:val="none"/>
        </w:rPr>
        <w:t>1.4.1适用于工程的标准规范包括：</w:t>
      </w:r>
      <w:r>
        <w:rPr>
          <w:rFonts w:hint="eastAsia" w:ascii="宋体" w:hAnsi="宋体" w:cs="楷体"/>
          <w:sz w:val="24"/>
          <w:szCs w:val="24"/>
          <w:highlight w:val="none"/>
          <w:u w:val="single"/>
        </w:rPr>
        <w:t xml:space="preserve"> 国家规定的现行法律法规及河南省、三门峡市相关法律法规  </w:t>
      </w:r>
      <w:r>
        <w:rPr>
          <w:rFonts w:hint="eastAsia" w:ascii="宋体" w:hAnsi="宋体" w:cs="楷体"/>
          <w:sz w:val="24"/>
          <w:szCs w:val="24"/>
          <w:highlight w:val="none"/>
        </w:rPr>
        <w:t>。</w:t>
      </w:r>
    </w:p>
    <w:p w14:paraId="4F17D9C6">
      <w:pPr>
        <w:spacing w:line="540" w:lineRule="exact"/>
        <w:rPr>
          <w:rFonts w:ascii="宋体" w:hAnsi="宋体" w:cs="楷体"/>
          <w:sz w:val="24"/>
          <w:szCs w:val="24"/>
          <w:highlight w:val="none"/>
          <w:u w:val="single"/>
        </w:rPr>
      </w:pPr>
      <w:r>
        <w:rPr>
          <w:rFonts w:hint="eastAsia" w:ascii="宋体" w:hAnsi="宋体" w:cs="楷体"/>
          <w:sz w:val="24"/>
          <w:szCs w:val="24"/>
          <w:highlight w:val="none"/>
        </w:rPr>
        <w:t>1.4.2发包人提供国外标准、规范的名称：</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EF5122E">
      <w:pPr>
        <w:spacing w:line="540" w:lineRule="exact"/>
        <w:rPr>
          <w:rFonts w:ascii="宋体" w:hAnsi="宋体" w:cs="楷体"/>
          <w:sz w:val="24"/>
          <w:szCs w:val="24"/>
          <w:highlight w:val="none"/>
        </w:rPr>
      </w:pPr>
      <w:r>
        <w:rPr>
          <w:rFonts w:hint="eastAsia" w:ascii="宋体" w:hAnsi="宋体" w:cs="楷体"/>
          <w:sz w:val="24"/>
          <w:szCs w:val="24"/>
          <w:highlight w:val="none"/>
        </w:rPr>
        <w:t>发包人提供国外标准、规范的份数：</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6BD64DE">
      <w:pPr>
        <w:spacing w:line="540" w:lineRule="exact"/>
        <w:rPr>
          <w:rFonts w:ascii="宋体" w:hAnsi="宋体" w:cs="楷体"/>
          <w:sz w:val="24"/>
          <w:szCs w:val="24"/>
          <w:highlight w:val="none"/>
        </w:rPr>
      </w:pPr>
      <w:r>
        <w:rPr>
          <w:rFonts w:hint="eastAsia" w:ascii="宋体" w:hAnsi="宋体" w:cs="楷体"/>
          <w:sz w:val="24"/>
          <w:szCs w:val="24"/>
          <w:highlight w:val="none"/>
        </w:rPr>
        <w:t>发包人提供国外标准、规范的名称：</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8E45AEB">
      <w:pPr>
        <w:spacing w:line="540" w:lineRule="exact"/>
        <w:rPr>
          <w:rFonts w:ascii="宋体" w:hAnsi="宋体" w:cs="楷体"/>
          <w:sz w:val="24"/>
          <w:szCs w:val="24"/>
          <w:highlight w:val="none"/>
        </w:rPr>
      </w:pPr>
      <w:r>
        <w:rPr>
          <w:rFonts w:hint="eastAsia" w:ascii="宋体" w:hAnsi="宋体" w:cs="楷体"/>
          <w:sz w:val="24"/>
          <w:szCs w:val="24"/>
          <w:highlight w:val="none"/>
        </w:rPr>
        <w:t>1.4.3发包人对工程的技术标准和功能要求的特殊要求：</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3B619D44">
      <w:pPr>
        <w:spacing w:line="540" w:lineRule="exact"/>
        <w:rPr>
          <w:rFonts w:ascii="宋体" w:hAnsi="宋体" w:cs="楷体"/>
          <w:sz w:val="24"/>
          <w:szCs w:val="24"/>
          <w:highlight w:val="none"/>
        </w:rPr>
      </w:pPr>
      <w:r>
        <w:rPr>
          <w:rFonts w:hint="eastAsia" w:ascii="宋体" w:hAnsi="宋体" w:cs="楷体"/>
          <w:b/>
          <w:bCs/>
          <w:sz w:val="24"/>
          <w:szCs w:val="24"/>
          <w:highlight w:val="none"/>
        </w:rPr>
        <w:t xml:space="preserve">1.5 </w:t>
      </w:r>
      <w:r>
        <w:rPr>
          <w:rFonts w:hint="eastAsia" w:ascii="宋体" w:hAnsi="宋体" w:cs="楷体"/>
          <w:sz w:val="24"/>
          <w:szCs w:val="24"/>
          <w:highlight w:val="none"/>
        </w:rPr>
        <w:t>合同文件的优先顺序</w:t>
      </w:r>
    </w:p>
    <w:p w14:paraId="4EA77153">
      <w:pPr>
        <w:spacing w:line="540" w:lineRule="exact"/>
        <w:rPr>
          <w:rFonts w:ascii="宋体" w:hAnsi="宋体" w:cs="楷体"/>
          <w:sz w:val="24"/>
          <w:szCs w:val="24"/>
          <w:highlight w:val="none"/>
        </w:rPr>
      </w:pPr>
      <w:r>
        <w:rPr>
          <w:rFonts w:hint="eastAsia" w:ascii="宋体" w:hAnsi="宋体" w:cs="楷体"/>
          <w:sz w:val="24"/>
          <w:szCs w:val="24"/>
          <w:highlight w:val="none"/>
        </w:rPr>
        <w:t>合同文件组成及优先顺序为：</w:t>
      </w:r>
      <w:r>
        <w:rPr>
          <w:rFonts w:hint="eastAsia" w:ascii="宋体" w:hAnsi="宋体" w:cs="楷体"/>
          <w:sz w:val="24"/>
          <w:szCs w:val="24"/>
          <w:highlight w:val="none"/>
          <w:u w:val="single"/>
        </w:rPr>
        <w:t xml:space="preserve">   按通用条款第1.5款执行            </w:t>
      </w:r>
      <w:r>
        <w:rPr>
          <w:rFonts w:hint="eastAsia" w:ascii="宋体" w:hAnsi="宋体" w:cs="楷体"/>
          <w:sz w:val="24"/>
          <w:szCs w:val="24"/>
          <w:highlight w:val="none"/>
        </w:rPr>
        <w:t>。</w:t>
      </w:r>
    </w:p>
    <w:p w14:paraId="1BA86A3A">
      <w:pPr>
        <w:spacing w:line="540" w:lineRule="exact"/>
        <w:rPr>
          <w:rFonts w:ascii="宋体" w:hAnsi="宋体" w:cs="楷体"/>
          <w:sz w:val="24"/>
          <w:szCs w:val="24"/>
          <w:highlight w:val="none"/>
        </w:rPr>
      </w:pPr>
      <w:r>
        <w:rPr>
          <w:rFonts w:hint="eastAsia" w:ascii="宋体" w:hAnsi="宋体" w:cs="楷体"/>
          <w:b/>
          <w:bCs/>
          <w:sz w:val="24"/>
          <w:szCs w:val="24"/>
          <w:highlight w:val="none"/>
        </w:rPr>
        <w:t>1.6</w:t>
      </w:r>
      <w:r>
        <w:rPr>
          <w:rFonts w:hint="eastAsia" w:ascii="宋体" w:hAnsi="宋体" w:cs="楷体"/>
          <w:sz w:val="24"/>
          <w:szCs w:val="24"/>
          <w:highlight w:val="none"/>
        </w:rPr>
        <w:t xml:space="preserve"> 图纸和承包人文件</w:t>
      </w:r>
      <w:r>
        <w:rPr>
          <w:rFonts w:hint="eastAsia" w:ascii="宋体" w:hAnsi="宋体" w:cs="楷体"/>
          <w:sz w:val="24"/>
          <w:szCs w:val="24"/>
          <w:highlight w:val="none"/>
        </w:rPr>
        <w:tab/>
      </w:r>
    </w:p>
    <w:p w14:paraId="2F1BB7C7">
      <w:pPr>
        <w:spacing w:line="540" w:lineRule="exact"/>
        <w:rPr>
          <w:rFonts w:ascii="宋体" w:hAnsi="宋体" w:cs="楷体"/>
          <w:sz w:val="24"/>
          <w:szCs w:val="24"/>
          <w:highlight w:val="none"/>
        </w:rPr>
      </w:pPr>
      <w:r>
        <w:rPr>
          <w:rFonts w:hint="eastAsia" w:ascii="宋体" w:hAnsi="宋体" w:cs="楷体"/>
          <w:sz w:val="24"/>
          <w:szCs w:val="24"/>
          <w:highlight w:val="none"/>
        </w:rPr>
        <w:t>1.6.1 图纸的提供</w:t>
      </w:r>
    </w:p>
    <w:p w14:paraId="7D6EFED0">
      <w:pPr>
        <w:spacing w:line="540" w:lineRule="exact"/>
        <w:rPr>
          <w:rFonts w:ascii="宋体" w:hAnsi="宋体" w:cs="楷体"/>
          <w:sz w:val="24"/>
          <w:szCs w:val="24"/>
          <w:highlight w:val="none"/>
        </w:rPr>
      </w:pPr>
      <w:r>
        <w:rPr>
          <w:rFonts w:hint="eastAsia" w:ascii="宋体" w:hAnsi="宋体" w:cs="楷体"/>
          <w:sz w:val="24"/>
          <w:szCs w:val="24"/>
          <w:highlight w:val="none"/>
        </w:rPr>
        <w:t>发包人向承包人提供图纸的期限：</w:t>
      </w:r>
      <w:r>
        <w:rPr>
          <w:rFonts w:hint="eastAsia" w:ascii="宋体" w:hAnsi="宋体" w:cs="楷体"/>
          <w:sz w:val="24"/>
          <w:szCs w:val="24"/>
          <w:highlight w:val="none"/>
          <w:u w:val="single"/>
        </w:rPr>
        <w:t xml:space="preserve">   开工日期前14天         </w:t>
      </w:r>
      <w:r>
        <w:rPr>
          <w:rFonts w:hint="eastAsia" w:ascii="宋体" w:hAnsi="宋体" w:cs="楷体"/>
          <w:sz w:val="24"/>
          <w:szCs w:val="24"/>
          <w:highlight w:val="none"/>
        </w:rPr>
        <w:t>；</w:t>
      </w:r>
    </w:p>
    <w:p w14:paraId="2D1A0B3B">
      <w:pPr>
        <w:spacing w:line="540" w:lineRule="exact"/>
        <w:rPr>
          <w:rFonts w:ascii="宋体" w:hAnsi="宋体" w:cs="楷体"/>
          <w:sz w:val="24"/>
          <w:szCs w:val="24"/>
          <w:highlight w:val="none"/>
        </w:rPr>
      </w:pPr>
      <w:r>
        <w:rPr>
          <w:rFonts w:hint="eastAsia" w:ascii="宋体" w:hAnsi="宋体" w:cs="楷体"/>
          <w:sz w:val="24"/>
          <w:szCs w:val="24"/>
          <w:highlight w:val="none"/>
        </w:rPr>
        <w:t>发包人向承包人提供图纸的数量：</w:t>
      </w:r>
      <w:r>
        <w:rPr>
          <w:rFonts w:hint="eastAsia" w:ascii="宋体" w:hAnsi="宋体" w:cs="楷体"/>
          <w:sz w:val="24"/>
          <w:szCs w:val="24"/>
          <w:highlight w:val="none"/>
          <w:u w:val="single"/>
        </w:rPr>
        <w:t xml:space="preserve">   叁套（其中加盖公章 壹套）  </w:t>
      </w:r>
    </w:p>
    <w:p w14:paraId="72D83661">
      <w:pPr>
        <w:spacing w:line="540" w:lineRule="exact"/>
        <w:rPr>
          <w:rFonts w:ascii="宋体" w:hAnsi="宋体" w:cs="楷体"/>
          <w:sz w:val="24"/>
          <w:szCs w:val="24"/>
          <w:highlight w:val="none"/>
        </w:rPr>
      </w:pPr>
      <w:r>
        <w:rPr>
          <w:rFonts w:hint="eastAsia" w:ascii="宋体" w:hAnsi="宋体" w:cs="楷体"/>
          <w:sz w:val="24"/>
          <w:szCs w:val="24"/>
          <w:highlight w:val="none"/>
        </w:rPr>
        <w:t>发包人向承包人提供图纸的内容：</w:t>
      </w:r>
      <w:r>
        <w:rPr>
          <w:rFonts w:hint="eastAsia" w:ascii="宋体" w:hAnsi="宋体" w:cs="楷体"/>
          <w:sz w:val="24"/>
          <w:szCs w:val="24"/>
          <w:highlight w:val="none"/>
          <w:u w:val="single"/>
        </w:rPr>
        <w:t xml:space="preserve"> 本合同发包内容中的全部图纸     </w:t>
      </w:r>
      <w:r>
        <w:rPr>
          <w:rFonts w:hint="eastAsia" w:ascii="宋体" w:hAnsi="宋体" w:cs="楷体"/>
          <w:sz w:val="24"/>
          <w:szCs w:val="24"/>
          <w:highlight w:val="none"/>
        </w:rPr>
        <w:t>。</w:t>
      </w:r>
    </w:p>
    <w:p w14:paraId="1DC4B795">
      <w:pPr>
        <w:spacing w:line="540" w:lineRule="exact"/>
        <w:rPr>
          <w:rFonts w:ascii="宋体" w:hAnsi="宋体" w:cs="楷体"/>
          <w:sz w:val="24"/>
          <w:szCs w:val="24"/>
          <w:highlight w:val="none"/>
        </w:rPr>
      </w:pPr>
      <w:r>
        <w:rPr>
          <w:rFonts w:hint="eastAsia" w:ascii="宋体" w:hAnsi="宋体" w:cs="楷体"/>
          <w:sz w:val="24"/>
          <w:szCs w:val="24"/>
          <w:highlight w:val="none"/>
        </w:rPr>
        <w:t>1.6.4 承包人文件</w:t>
      </w:r>
    </w:p>
    <w:p w14:paraId="083CB692">
      <w:pPr>
        <w:spacing w:line="540" w:lineRule="exact"/>
        <w:rPr>
          <w:rFonts w:ascii="宋体" w:hAnsi="宋体" w:cs="楷体"/>
          <w:sz w:val="24"/>
          <w:szCs w:val="24"/>
          <w:highlight w:val="none"/>
        </w:rPr>
      </w:pPr>
      <w:r>
        <w:rPr>
          <w:rFonts w:hint="eastAsia" w:ascii="宋体" w:hAnsi="宋体" w:cs="楷体"/>
          <w:sz w:val="24"/>
          <w:szCs w:val="24"/>
          <w:highlight w:val="none"/>
        </w:rPr>
        <w:t>需要由承包人提供的文件，包括：</w:t>
      </w:r>
      <w:r>
        <w:rPr>
          <w:rFonts w:hint="eastAsia" w:ascii="宋体" w:hAnsi="宋体" w:cs="楷体"/>
          <w:sz w:val="24"/>
          <w:szCs w:val="24"/>
          <w:highlight w:val="none"/>
          <w:u w:val="single"/>
        </w:rPr>
        <w:t xml:space="preserve"> 开工前三天应提供完善的施工组织设计和安全专项方案，每月25日前提供下月完成工程量报表、月进度报表等    </w:t>
      </w:r>
      <w:r>
        <w:rPr>
          <w:rFonts w:hint="eastAsia" w:ascii="宋体" w:hAnsi="宋体" w:cs="楷体"/>
          <w:sz w:val="24"/>
          <w:szCs w:val="24"/>
          <w:highlight w:val="none"/>
        </w:rPr>
        <w:t>；</w:t>
      </w:r>
    </w:p>
    <w:p w14:paraId="50987387">
      <w:pPr>
        <w:spacing w:line="540" w:lineRule="exact"/>
        <w:rPr>
          <w:rFonts w:ascii="宋体" w:hAnsi="宋体" w:cs="楷体"/>
          <w:sz w:val="24"/>
          <w:szCs w:val="24"/>
          <w:highlight w:val="none"/>
        </w:rPr>
      </w:pPr>
      <w:r>
        <w:rPr>
          <w:rFonts w:hint="eastAsia" w:ascii="宋体" w:hAnsi="宋体" w:cs="楷体"/>
          <w:sz w:val="24"/>
          <w:szCs w:val="24"/>
          <w:highlight w:val="none"/>
        </w:rPr>
        <w:t>承包人提供的文件的数量为：</w:t>
      </w:r>
      <w:r>
        <w:rPr>
          <w:rFonts w:hint="eastAsia" w:ascii="宋体" w:hAnsi="宋体" w:cs="楷体"/>
          <w:sz w:val="24"/>
          <w:szCs w:val="24"/>
          <w:highlight w:val="none"/>
          <w:u w:val="single"/>
        </w:rPr>
        <w:t xml:space="preserve"> 视发包人需求    </w:t>
      </w:r>
      <w:r>
        <w:rPr>
          <w:rFonts w:hint="eastAsia" w:ascii="宋体" w:hAnsi="宋体" w:cs="楷体"/>
          <w:sz w:val="24"/>
          <w:szCs w:val="24"/>
          <w:highlight w:val="none"/>
        </w:rPr>
        <w:t>；</w:t>
      </w:r>
    </w:p>
    <w:p w14:paraId="4289C5FF">
      <w:pPr>
        <w:spacing w:line="540" w:lineRule="exact"/>
        <w:rPr>
          <w:rFonts w:ascii="宋体" w:hAnsi="宋体" w:cs="楷体"/>
          <w:sz w:val="24"/>
          <w:szCs w:val="24"/>
          <w:highlight w:val="none"/>
        </w:rPr>
      </w:pPr>
      <w:r>
        <w:rPr>
          <w:rFonts w:hint="eastAsia" w:ascii="宋体" w:hAnsi="宋体" w:cs="楷体"/>
          <w:sz w:val="24"/>
          <w:szCs w:val="24"/>
          <w:highlight w:val="none"/>
        </w:rPr>
        <w:t>承包人提供的文件的形式为：</w:t>
      </w:r>
      <w:r>
        <w:rPr>
          <w:rFonts w:hint="eastAsia" w:ascii="宋体" w:hAnsi="宋体" w:cs="楷体"/>
          <w:sz w:val="24"/>
          <w:szCs w:val="24"/>
          <w:highlight w:val="none"/>
          <w:u w:val="single"/>
        </w:rPr>
        <w:t xml:space="preserve">   书面形式     </w:t>
      </w:r>
      <w:r>
        <w:rPr>
          <w:rFonts w:hint="eastAsia" w:ascii="宋体" w:hAnsi="宋体" w:cs="楷体"/>
          <w:sz w:val="24"/>
          <w:szCs w:val="24"/>
          <w:highlight w:val="none"/>
        </w:rPr>
        <w:t>；</w:t>
      </w:r>
    </w:p>
    <w:p w14:paraId="001260BE">
      <w:pPr>
        <w:spacing w:line="540" w:lineRule="exact"/>
        <w:rPr>
          <w:rFonts w:ascii="宋体" w:hAnsi="宋体" w:cs="楷体"/>
          <w:sz w:val="24"/>
          <w:szCs w:val="24"/>
          <w:highlight w:val="none"/>
        </w:rPr>
      </w:pPr>
      <w:r>
        <w:rPr>
          <w:rFonts w:hint="eastAsia" w:ascii="宋体" w:hAnsi="宋体" w:cs="楷体"/>
          <w:sz w:val="24"/>
          <w:szCs w:val="24"/>
          <w:highlight w:val="none"/>
        </w:rPr>
        <w:t>发包人审批承包人文件的期限：</w:t>
      </w:r>
      <w:r>
        <w:rPr>
          <w:rFonts w:hint="eastAsia" w:ascii="宋体" w:hAnsi="宋体" w:cs="楷体"/>
          <w:sz w:val="24"/>
          <w:szCs w:val="24"/>
          <w:highlight w:val="none"/>
          <w:u w:val="single"/>
        </w:rPr>
        <w:t xml:space="preserve">    收到文件后7天内   </w:t>
      </w:r>
      <w:r>
        <w:rPr>
          <w:rFonts w:hint="eastAsia" w:ascii="宋体" w:hAnsi="宋体" w:cs="楷体"/>
          <w:sz w:val="24"/>
          <w:szCs w:val="24"/>
          <w:highlight w:val="none"/>
        </w:rPr>
        <w:t>。</w:t>
      </w:r>
    </w:p>
    <w:p w14:paraId="0D65BD93">
      <w:pPr>
        <w:spacing w:line="540" w:lineRule="exact"/>
        <w:rPr>
          <w:rFonts w:ascii="宋体" w:hAnsi="宋体" w:cs="楷体"/>
          <w:sz w:val="24"/>
          <w:szCs w:val="24"/>
          <w:highlight w:val="none"/>
        </w:rPr>
      </w:pPr>
      <w:r>
        <w:rPr>
          <w:rFonts w:hint="eastAsia" w:ascii="宋体" w:hAnsi="宋体" w:cs="楷体"/>
          <w:sz w:val="24"/>
          <w:szCs w:val="24"/>
          <w:highlight w:val="none"/>
        </w:rPr>
        <w:t>1.6.5 现场图纸准备</w:t>
      </w:r>
    </w:p>
    <w:p w14:paraId="7CD0C8DF">
      <w:pPr>
        <w:spacing w:line="540" w:lineRule="exact"/>
        <w:rPr>
          <w:rFonts w:ascii="宋体" w:hAnsi="宋体" w:cs="楷体"/>
          <w:sz w:val="24"/>
          <w:szCs w:val="24"/>
          <w:highlight w:val="none"/>
        </w:rPr>
      </w:pPr>
      <w:r>
        <w:rPr>
          <w:rFonts w:hint="eastAsia" w:ascii="宋体" w:hAnsi="宋体" w:cs="楷体"/>
          <w:sz w:val="24"/>
          <w:szCs w:val="24"/>
          <w:highlight w:val="none"/>
        </w:rPr>
        <w:t>关于现场图纸准备的约定：</w:t>
      </w:r>
      <w:r>
        <w:rPr>
          <w:rFonts w:hint="eastAsia" w:ascii="宋体" w:hAnsi="宋体" w:cs="楷体"/>
          <w:sz w:val="24"/>
          <w:szCs w:val="24"/>
          <w:highlight w:val="none"/>
          <w:u w:val="single"/>
        </w:rPr>
        <w:t xml:space="preserve">  施工现场准备一套完整图纸供发包人、监理人及有关人员使用  </w:t>
      </w:r>
      <w:r>
        <w:rPr>
          <w:rFonts w:hint="eastAsia" w:ascii="宋体" w:hAnsi="宋体" w:cs="楷体"/>
          <w:sz w:val="24"/>
          <w:szCs w:val="24"/>
          <w:highlight w:val="none"/>
        </w:rPr>
        <w:t>。</w:t>
      </w:r>
    </w:p>
    <w:p w14:paraId="610A674B">
      <w:pPr>
        <w:spacing w:line="540" w:lineRule="exact"/>
        <w:rPr>
          <w:rFonts w:ascii="宋体" w:hAnsi="宋体" w:cs="楷体"/>
          <w:sz w:val="24"/>
          <w:szCs w:val="24"/>
          <w:highlight w:val="none"/>
        </w:rPr>
      </w:pPr>
      <w:r>
        <w:rPr>
          <w:rFonts w:hint="eastAsia" w:ascii="宋体" w:hAnsi="宋体" w:cs="楷体"/>
          <w:b/>
          <w:bCs/>
          <w:sz w:val="24"/>
          <w:szCs w:val="24"/>
          <w:highlight w:val="none"/>
        </w:rPr>
        <w:t>1.7</w:t>
      </w:r>
      <w:r>
        <w:rPr>
          <w:rFonts w:hint="eastAsia" w:ascii="宋体" w:hAnsi="宋体" w:cs="楷体"/>
          <w:sz w:val="24"/>
          <w:szCs w:val="24"/>
          <w:highlight w:val="none"/>
        </w:rPr>
        <w:t xml:space="preserve"> 联络</w:t>
      </w:r>
    </w:p>
    <w:p w14:paraId="1C9EBF75">
      <w:pPr>
        <w:spacing w:line="540" w:lineRule="exact"/>
        <w:rPr>
          <w:rFonts w:ascii="宋体" w:hAnsi="宋体" w:cs="楷体"/>
          <w:sz w:val="24"/>
          <w:szCs w:val="24"/>
          <w:highlight w:val="none"/>
        </w:rPr>
      </w:pPr>
      <w:r>
        <w:rPr>
          <w:rFonts w:hint="eastAsia" w:ascii="宋体" w:hAnsi="宋体" w:cs="楷体"/>
          <w:sz w:val="24"/>
          <w:szCs w:val="24"/>
          <w:highlight w:val="none"/>
        </w:rPr>
        <w:t>1.7.1发包人和承包人应当在</w:t>
      </w:r>
      <w:r>
        <w:rPr>
          <w:rFonts w:hint="eastAsia" w:ascii="宋体" w:hAnsi="宋体" w:cs="楷体"/>
          <w:sz w:val="24"/>
          <w:szCs w:val="24"/>
          <w:highlight w:val="none"/>
          <w:u w:val="single"/>
        </w:rPr>
        <w:t xml:space="preserve"> 7 </w:t>
      </w:r>
      <w:r>
        <w:rPr>
          <w:rFonts w:hint="eastAsia" w:ascii="宋体" w:hAnsi="宋体" w:cs="楷体"/>
          <w:sz w:val="24"/>
          <w:szCs w:val="24"/>
          <w:highlight w:val="none"/>
        </w:rPr>
        <w:t>天内将与合同有关的通知、批准、证明、证书、指示、指令、要求、请求、同意、意见、确定和决定等书面函件送达对方当事人。</w:t>
      </w:r>
    </w:p>
    <w:p w14:paraId="37CA89C9">
      <w:pPr>
        <w:spacing w:line="540" w:lineRule="exact"/>
        <w:rPr>
          <w:rFonts w:ascii="宋体" w:hAnsi="宋体" w:cs="楷体"/>
          <w:sz w:val="24"/>
          <w:szCs w:val="24"/>
          <w:highlight w:val="none"/>
        </w:rPr>
      </w:pPr>
      <w:r>
        <w:rPr>
          <w:rFonts w:hint="eastAsia" w:ascii="宋体" w:hAnsi="宋体" w:cs="楷体"/>
          <w:sz w:val="24"/>
          <w:szCs w:val="24"/>
          <w:highlight w:val="none"/>
        </w:rPr>
        <w:t>1.7.2 发包人接收文件的地点：；</w:t>
      </w:r>
    </w:p>
    <w:p w14:paraId="7A7F2AFD">
      <w:pPr>
        <w:spacing w:line="540" w:lineRule="exact"/>
        <w:rPr>
          <w:rFonts w:ascii="宋体" w:hAnsi="宋体" w:cs="楷体"/>
          <w:sz w:val="24"/>
          <w:szCs w:val="24"/>
          <w:highlight w:val="none"/>
        </w:rPr>
      </w:pPr>
      <w:r>
        <w:rPr>
          <w:rFonts w:hint="eastAsia" w:ascii="宋体" w:hAnsi="宋体" w:cs="楷体"/>
          <w:sz w:val="24"/>
          <w:szCs w:val="24"/>
          <w:highlight w:val="none"/>
        </w:rPr>
        <w:t>发包人指定的接收人为：。</w:t>
      </w:r>
    </w:p>
    <w:p w14:paraId="5859C05D">
      <w:pPr>
        <w:spacing w:line="540" w:lineRule="exact"/>
        <w:rPr>
          <w:rFonts w:ascii="宋体" w:hAnsi="宋体" w:cs="楷体"/>
          <w:sz w:val="24"/>
          <w:szCs w:val="24"/>
          <w:highlight w:val="none"/>
        </w:rPr>
      </w:pPr>
      <w:r>
        <w:rPr>
          <w:rFonts w:hint="eastAsia" w:ascii="宋体" w:hAnsi="宋体" w:cs="楷体"/>
          <w:sz w:val="24"/>
          <w:szCs w:val="24"/>
          <w:highlight w:val="none"/>
        </w:rPr>
        <w:t>承包人接收文件的地点：；</w:t>
      </w:r>
    </w:p>
    <w:p w14:paraId="2266B31D">
      <w:pPr>
        <w:spacing w:line="540" w:lineRule="exact"/>
        <w:rPr>
          <w:rFonts w:ascii="宋体" w:hAnsi="宋体" w:cs="楷体"/>
          <w:sz w:val="24"/>
          <w:szCs w:val="24"/>
          <w:highlight w:val="none"/>
        </w:rPr>
      </w:pPr>
      <w:r>
        <w:rPr>
          <w:rFonts w:hint="eastAsia" w:ascii="宋体" w:hAnsi="宋体" w:cs="楷体"/>
          <w:sz w:val="24"/>
          <w:szCs w:val="24"/>
          <w:highlight w:val="none"/>
        </w:rPr>
        <w:t>承包人指定的接收人为：。</w:t>
      </w:r>
    </w:p>
    <w:p w14:paraId="6A6456F3">
      <w:pPr>
        <w:spacing w:line="540" w:lineRule="exact"/>
        <w:rPr>
          <w:rFonts w:ascii="宋体" w:hAnsi="宋体" w:cs="楷体"/>
          <w:sz w:val="24"/>
          <w:szCs w:val="24"/>
          <w:highlight w:val="none"/>
        </w:rPr>
      </w:pPr>
      <w:r>
        <w:rPr>
          <w:rFonts w:hint="eastAsia" w:ascii="宋体" w:hAnsi="宋体" w:cs="楷体"/>
          <w:sz w:val="24"/>
          <w:szCs w:val="24"/>
          <w:highlight w:val="none"/>
        </w:rPr>
        <w:t>监理人接收文件的地点：；</w:t>
      </w:r>
    </w:p>
    <w:p w14:paraId="597843A4">
      <w:pPr>
        <w:spacing w:line="540" w:lineRule="exact"/>
        <w:rPr>
          <w:rFonts w:ascii="宋体" w:hAnsi="宋体" w:cs="楷体"/>
          <w:sz w:val="24"/>
          <w:szCs w:val="24"/>
          <w:highlight w:val="none"/>
        </w:rPr>
      </w:pPr>
      <w:r>
        <w:rPr>
          <w:rFonts w:hint="eastAsia" w:ascii="宋体" w:hAnsi="宋体" w:cs="楷体"/>
          <w:sz w:val="24"/>
          <w:szCs w:val="24"/>
          <w:highlight w:val="none"/>
        </w:rPr>
        <w:t>监理人指定的接收人为：。</w:t>
      </w:r>
    </w:p>
    <w:p w14:paraId="334D9BDB">
      <w:pPr>
        <w:spacing w:line="540" w:lineRule="exact"/>
        <w:rPr>
          <w:rFonts w:ascii="宋体" w:hAnsi="宋体" w:cs="楷体"/>
          <w:sz w:val="24"/>
          <w:szCs w:val="24"/>
          <w:highlight w:val="none"/>
        </w:rPr>
      </w:pPr>
      <w:r>
        <w:rPr>
          <w:rFonts w:hint="eastAsia" w:ascii="宋体" w:hAnsi="宋体" w:cs="楷体"/>
          <w:b/>
          <w:bCs/>
          <w:sz w:val="24"/>
          <w:szCs w:val="24"/>
          <w:highlight w:val="none"/>
        </w:rPr>
        <w:t>1.10</w:t>
      </w:r>
      <w:r>
        <w:rPr>
          <w:rFonts w:hint="eastAsia" w:ascii="宋体" w:hAnsi="宋体" w:cs="楷体"/>
          <w:sz w:val="24"/>
          <w:szCs w:val="24"/>
          <w:highlight w:val="none"/>
        </w:rPr>
        <w:t xml:space="preserve"> 交通运输</w:t>
      </w:r>
    </w:p>
    <w:p w14:paraId="20342F2D">
      <w:pPr>
        <w:spacing w:line="540" w:lineRule="exact"/>
        <w:rPr>
          <w:rFonts w:ascii="宋体" w:hAnsi="宋体" w:cs="楷体"/>
          <w:sz w:val="24"/>
          <w:szCs w:val="24"/>
          <w:highlight w:val="none"/>
        </w:rPr>
      </w:pPr>
      <w:r>
        <w:rPr>
          <w:rFonts w:hint="eastAsia" w:ascii="宋体" w:hAnsi="宋体" w:cs="楷体"/>
          <w:sz w:val="24"/>
          <w:szCs w:val="24"/>
          <w:highlight w:val="none"/>
        </w:rPr>
        <w:t>1</w:t>
      </w:r>
      <w:bookmarkStart w:id="493" w:name="_Toc303539100"/>
      <w:bookmarkEnd w:id="493"/>
      <w:bookmarkStart w:id="494" w:name="_Toc304295521"/>
      <w:bookmarkEnd w:id="494"/>
      <w:bookmarkStart w:id="495" w:name="_Toc300934943"/>
      <w:bookmarkEnd w:id="495"/>
      <w:bookmarkStart w:id="496" w:name="_Toc312677986"/>
      <w:bookmarkEnd w:id="496"/>
      <w:bookmarkStart w:id="497" w:name="_Toc318581155"/>
      <w:r>
        <w:rPr>
          <w:rFonts w:hint="eastAsia" w:ascii="宋体" w:hAnsi="宋体" w:cs="楷体"/>
          <w:sz w:val="24"/>
          <w:szCs w:val="24"/>
          <w:highlight w:val="none"/>
        </w:rPr>
        <w:t>.10.1 出入现场的权利</w:t>
      </w:r>
      <w:bookmarkEnd w:id="497"/>
    </w:p>
    <w:p w14:paraId="7F2629AE">
      <w:pPr>
        <w:spacing w:line="540" w:lineRule="exact"/>
        <w:rPr>
          <w:rFonts w:ascii="宋体" w:hAnsi="宋体" w:cs="楷体"/>
          <w:sz w:val="24"/>
          <w:szCs w:val="24"/>
          <w:highlight w:val="none"/>
        </w:rPr>
      </w:pPr>
      <w:r>
        <w:rPr>
          <w:rFonts w:hint="eastAsia" w:ascii="宋体" w:hAnsi="宋体" w:cs="楷体"/>
          <w:sz w:val="24"/>
          <w:szCs w:val="24"/>
          <w:highlight w:val="none"/>
        </w:rPr>
        <w:t>关于出入现场的权利的约定：</w:t>
      </w:r>
      <w:r>
        <w:rPr>
          <w:rFonts w:hint="eastAsia" w:ascii="宋体" w:hAnsi="宋体" w:cs="楷体"/>
          <w:sz w:val="24"/>
          <w:szCs w:val="24"/>
          <w:highlight w:val="none"/>
          <w:u w:val="single"/>
        </w:rPr>
        <w:t xml:space="preserve">     按通用条款第1.10.1款执行       </w:t>
      </w:r>
      <w:r>
        <w:rPr>
          <w:rFonts w:hint="eastAsia" w:ascii="宋体" w:hAnsi="宋体" w:cs="楷体"/>
          <w:sz w:val="24"/>
          <w:szCs w:val="24"/>
          <w:highlight w:val="none"/>
        </w:rPr>
        <w:t>。</w:t>
      </w:r>
    </w:p>
    <w:p w14:paraId="03330D1E">
      <w:pPr>
        <w:spacing w:line="540" w:lineRule="exact"/>
        <w:rPr>
          <w:rFonts w:ascii="宋体" w:hAnsi="宋体" w:cs="楷体"/>
          <w:sz w:val="24"/>
          <w:szCs w:val="24"/>
          <w:highlight w:val="none"/>
        </w:rPr>
      </w:pPr>
      <w:r>
        <w:rPr>
          <w:rFonts w:hint="eastAsia" w:ascii="宋体" w:hAnsi="宋体" w:cs="楷体"/>
          <w:sz w:val="24"/>
          <w:szCs w:val="24"/>
          <w:highlight w:val="none"/>
        </w:rPr>
        <w:t>1</w:t>
      </w:r>
      <w:bookmarkStart w:id="498" w:name="_Toc312677987"/>
      <w:bookmarkEnd w:id="498"/>
      <w:bookmarkStart w:id="499" w:name="_Toc318581156"/>
      <w:bookmarkEnd w:id="499"/>
      <w:bookmarkStart w:id="500" w:name="_Toc303539101"/>
      <w:bookmarkEnd w:id="500"/>
      <w:bookmarkStart w:id="501" w:name="_Toc300934944"/>
      <w:bookmarkEnd w:id="501"/>
      <w:bookmarkStart w:id="502" w:name="_Toc304295522"/>
      <w:r>
        <w:rPr>
          <w:rFonts w:hint="eastAsia" w:ascii="宋体" w:hAnsi="宋体" w:cs="楷体"/>
          <w:sz w:val="24"/>
          <w:szCs w:val="24"/>
          <w:highlight w:val="none"/>
        </w:rPr>
        <w:t>.10.3 场内交通</w:t>
      </w:r>
      <w:bookmarkEnd w:id="502"/>
    </w:p>
    <w:p w14:paraId="37C0BD24">
      <w:pPr>
        <w:spacing w:line="540" w:lineRule="exact"/>
        <w:rPr>
          <w:rFonts w:ascii="宋体" w:hAnsi="宋体" w:cs="楷体"/>
          <w:sz w:val="24"/>
          <w:szCs w:val="24"/>
          <w:highlight w:val="none"/>
        </w:rPr>
      </w:pPr>
      <w:r>
        <w:rPr>
          <w:rFonts w:hint="eastAsia" w:ascii="宋体" w:hAnsi="宋体" w:cs="楷体"/>
          <w:sz w:val="24"/>
          <w:szCs w:val="24"/>
          <w:highlight w:val="none"/>
        </w:rPr>
        <w:t>关于场外交通和场内交通的边界的约定：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10A2938">
      <w:pPr>
        <w:spacing w:line="540" w:lineRule="exact"/>
        <w:rPr>
          <w:rFonts w:ascii="宋体" w:hAnsi="宋体" w:cs="楷体"/>
          <w:sz w:val="24"/>
          <w:szCs w:val="24"/>
          <w:highlight w:val="none"/>
        </w:rPr>
      </w:pPr>
      <w:r>
        <w:rPr>
          <w:rFonts w:hint="eastAsia" w:ascii="宋体" w:hAnsi="宋体" w:cs="楷体"/>
          <w:sz w:val="24"/>
          <w:szCs w:val="24"/>
          <w:highlight w:val="none"/>
        </w:rPr>
        <w:t>关于发包人向承包人免费提供满足工程施工需要的场内道路和交通设施的约定：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bookmarkStart w:id="503" w:name="_Toc318581157"/>
      <w:bookmarkEnd w:id="503"/>
    </w:p>
    <w:p w14:paraId="11DEA58D">
      <w:pPr>
        <w:spacing w:line="540" w:lineRule="exact"/>
        <w:rPr>
          <w:rFonts w:ascii="宋体" w:hAnsi="宋体" w:cs="楷体"/>
          <w:sz w:val="24"/>
          <w:szCs w:val="24"/>
          <w:highlight w:val="none"/>
        </w:rPr>
      </w:pPr>
      <w:r>
        <w:rPr>
          <w:rFonts w:hint="eastAsia" w:ascii="宋体" w:hAnsi="宋体" w:cs="楷体"/>
          <w:sz w:val="24"/>
          <w:szCs w:val="24"/>
          <w:highlight w:val="none"/>
        </w:rPr>
        <w:t>1.10.4超大件和超重件的运输</w:t>
      </w:r>
    </w:p>
    <w:p w14:paraId="7CF8D17C">
      <w:pPr>
        <w:spacing w:line="540" w:lineRule="exact"/>
        <w:rPr>
          <w:rFonts w:ascii="宋体" w:hAnsi="宋体" w:cs="楷体"/>
          <w:sz w:val="24"/>
          <w:szCs w:val="24"/>
          <w:highlight w:val="none"/>
        </w:rPr>
      </w:pPr>
      <w:r>
        <w:rPr>
          <w:rFonts w:hint="eastAsia" w:ascii="宋体" w:hAnsi="宋体" w:cs="楷体"/>
          <w:sz w:val="24"/>
          <w:szCs w:val="24"/>
          <w:highlight w:val="none"/>
        </w:rPr>
        <w:t>运输超大件或超重件所需的道路和桥梁临时加固改造费用和其他有关费用由</w:t>
      </w:r>
    </w:p>
    <w:p w14:paraId="683801D3">
      <w:pPr>
        <w:spacing w:line="540" w:lineRule="exact"/>
        <w:rPr>
          <w:rFonts w:ascii="宋体" w:hAnsi="宋体" w:cs="楷体"/>
          <w:sz w:val="24"/>
          <w:szCs w:val="24"/>
          <w:highlight w:val="none"/>
        </w:rPr>
      </w:pPr>
      <w:r>
        <w:rPr>
          <w:rFonts w:hint="eastAsia" w:ascii="宋体" w:hAnsi="宋体" w:cs="楷体"/>
          <w:sz w:val="24"/>
          <w:szCs w:val="24"/>
          <w:highlight w:val="none"/>
          <w:u w:val="single"/>
        </w:rPr>
        <w:t xml:space="preserve">  承包人 </w:t>
      </w:r>
      <w:r>
        <w:rPr>
          <w:rFonts w:hint="eastAsia" w:ascii="宋体" w:hAnsi="宋体" w:cs="楷体"/>
          <w:sz w:val="24"/>
          <w:szCs w:val="24"/>
          <w:highlight w:val="none"/>
        </w:rPr>
        <w:t>承担。</w:t>
      </w:r>
    </w:p>
    <w:p w14:paraId="3DA0139E">
      <w:pPr>
        <w:spacing w:line="540" w:lineRule="exact"/>
        <w:rPr>
          <w:rFonts w:ascii="宋体" w:hAnsi="宋体" w:cs="楷体"/>
          <w:sz w:val="24"/>
          <w:szCs w:val="24"/>
          <w:highlight w:val="none"/>
        </w:rPr>
      </w:pPr>
      <w:r>
        <w:rPr>
          <w:rFonts w:hint="eastAsia" w:ascii="宋体" w:hAnsi="宋体" w:cs="楷体"/>
          <w:bCs/>
          <w:sz w:val="24"/>
          <w:szCs w:val="24"/>
          <w:highlight w:val="none"/>
        </w:rPr>
        <w:t>1.11</w:t>
      </w:r>
      <w:r>
        <w:rPr>
          <w:rFonts w:hint="eastAsia" w:ascii="宋体" w:hAnsi="宋体" w:cs="楷体"/>
          <w:sz w:val="24"/>
          <w:szCs w:val="24"/>
          <w:highlight w:val="none"/>
        </w:rPr>
        <w:t xml:space="preserve"> 知识产权</w:t>
      </w:r>
    </w:p>
    <w:p w14:paraId="2ED7408F">
      <w:pPr>
        <w:spacing w:line="540" w:lineRule="exact"/>
        <w:rPr>
          <w:rFonts w:ascii="宋体" w:hAnsi="宋体" w:cs="楷体"/>
          <w:sz w:val="24"/>
          <w:szCs w:val="24"/>
          <w:highlight w:val="none"/>
        </w:rPr>
      </w:pPr>
      <w:r>
        <w:rPr>
          <w:rFonts w:hint="eastAsia" w:ascii="宋体" w:hAnsi="宋体" w:cs="楷体"/>
          <w:sz w:val="24"/>
          <w:szCs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7A540BC">
      <w:pPr>
        <w:spacing w:line="540" w:lineRule="exact"/>
        <w:rPr>
          <w:rFonts w:ascii="宋体" w:hAnsi="宋体" w:cs="楷体"/>
          <w:sz w:val="24"/>
          <w:szCs w:val="24"/>
          <w:highlight w:val="none"/>
        </w:rPr>
      </w:pPr>
      <w:r>
        <w:rPr>
          <w:rFonts w:hint="eastAsia" w:ascii="宋体" w:hAnsi="宋体" w:cs="楷体"/>
          <w:sz w:val="24"/>
          <w:szCs w:val="24"/>
          <w:highlight w:val="none"/>
        </w:rPr>
        <w:t>关于发包人提供的上述文件的使用限制的要求：</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EB519E8">
      <w:pPr>
        <w:spacing w:line="540" w:lineRule="exact"/>
        <w:rPr>
          <w:rFonts w:ascii="宋体" w:hAnsi="宋体" w:cs="楷体"/>
          <w:sz w:val="24"/>
          <w:szCs w:val="24"/>
          <w:highlight w:val="none"/>
        </w:rPr>
      </w:pPr>
      <w:r>
        <w:rPr>
          <w:rFonts w:hint="eastAsia" w:ascii="宋体" w:hAnsi="宋体" w:cs="楷体"/>
          <w:sz w:val="24"/>
          <w:szCs w:val="24"/>
          <w:highlight w:val="none"/>
        </w:rPr>
        <w:t>1.11.2 关于承包人为实施工程所编制文件的著作权的归属：</w:t>
      </w:r>
      <w:r>
        <w:rPr>
          <w:rFonts w:hint="eastAsia" w:ascii="宋体" w:hAnsi="宋体" w:cs="楷体"/>
          <w:sz w:val="24"/>
          <w:szCs w:val="24"/>
          <w:highlight w:val="none"/>
          <w:u w:val="single"/>
        </w:rPr>
        <w:t xml:space="preserve"> 按通用条款执行</w:t>
      </w:r>
      <w:r>
        <w:rPr>
          <w:rFonts w:hint="eastAsia" w:ascii="宋体" w:hAnsi="宋体" w:cs="楷体"/>
          <w:sz w:val="24"/>
          <w:szCs w:val="24"/>
          <w:highlight w:val="none"/>
        </w:rPr>
        <w:t>。</w:t>
      </w:r>
    </w:p>
    <w:p w14:paraId="41E0C8B1">
      <w:pPr>
        <w:spacing w:line="540" w:lineRule="exact"/>
        <w:rPr>
          <w:rFonts w:ascii="宋体" w:hAnsi="宋体" w:cs="楷体"/>
          <w:sz w:val="24"/>
          <w:szCs w:val="24"/>
          <w:highlight w:val="none"/>
        </w:rPr>
      </w:pPr>
      <w:r>
        <w:rPr>
          <w:rFonts w:hint="eastAsia" w:ascii="宋体" w:hAnsi="宋体" w:cs="楷体"/>
          <w:sz w:val="24"/>
          <w:szCs w:val="24"/>
          <w:highlight w:val="none"/>
        </w:rPr>
        <w:t xml:space="preserve">关于承包人提供的上述文件的使用限制的要求： </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1EE5A12">
      <w:pPr>
        <w:spacing w:line="540" w:lineRule="exact"/>
        <w:rPr>
          <w:rFonts w:ascii="宋体" w:hAnsi="宋体" w:cs="楷体"/>
          <w:sz w:val="24"/>
          <w:szCs w:val="24"/>
          <w:highlight w:val="none"/>
        </w:rPr>
      </w:pPr>
      <w:r>
        <w:rPr>
          <w:rFonts w:hint="eastAsia" w:ascii="宋体" w:hAnsi="宋体" w:cs="楷体"/>
          <w:sz w:val="24"/>
          <w:szCs w:val="24"/>
          <w:highlight w:val="none"/>
        </w:rPr>
        <w:t xml:space="preserve">1.11.4 承包人在施工过程中所采用的专利、专有技术、技术秘密的使用费的承担方式： </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0891E756">
      <w:pPr>
        <w:spacing w:line="540" w:lineRule="exact"/>
        <w:rPr>
          <w:rFonts w:ascii="宋体" w:hAnsi="宋体" w:cs="楷体"/>
          <w:sz w:val="24"/>
          <w:szCs w:val="24"/>
          <w:highlight w:val="none"/>
        </w:rPr>
      </w:pPr>
      <w:r>
        <w:rPr>
          <w:rFonts w:hint="eastAsia" w:ascii="宋体" w:hAnsi="宋体" w:cs="楷体"/>
          <w:bCs/>
          <w:sz w:val="24"/>
          <w:szCs w:val="24"/>
          <w:highlight w:val="none"/>
        </w:rPr>
        <w:t>1.13</w:t>
      </w:r>
      <w:r>
        <w:rPr>
          <w:rFonts w:hint="eastAsia" w:ascii="宋体" w:hAnsi="宋体" w:cs="楷体"/>
          <w:sz w:val="24"/>
          <w:szCs w:val="24"/>
          <w:highlight w:val="none"/>
        </w:rPr>
        <w:t>工程量清单错误的修正</w:t>
      </w:r>
    </w:p>
    <w:p w14:paraId="33AFB1F5">
      <w:pPr>
        <w:spacing w:line="540" w:lineRule="exact"/>
        <w:rPr>
          <w:rFonts w:ascii="宋体" w:hAnsi="宋体" w:cs="楷体"/>
          <w:sz w:val="24"/>
          <w:szCs w:val="24"/>
          <w:highlight w:val="none"/>
        </w:rPr>
      </w:pPr>
      <w:r>
        <w:rPr>
          <w:rFonts w:hint="eastAsia" w:ascii="宋体" w:hAnsi="宋体" w:cs="楷体"/>
          <w:sz w:val="24"/>
          <w:szCs w:val="24"/>
          <w:highlight w:val="none"/>
        </w:rPr>
        <w:t>出现工程量清单错误时，是否调整合同价格：</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263A8DC">
      <w:pPr>
        <w:spacing w:line="540" w:lineRule="exact"/>
        <w:rPr>
          <w:rFonts w:ascii="宋体" w:hAnsi="宋体" w:cs="楷体"/>
          <w:sz w:val="24"/>
          <w:szCs w:val="24"/>
          <w:highlight w:val="none"/>
          <w:u w:val="single"/>
        </w:rPr>
      </w:pPr>
      <w:r>
        <w:rPr>
          <w:rFonts w:hint="eastAsia" w:ascii="宋体" w:hAnsi="宋体" w:cs="楷体"/>
          <w:sz w:val="24"/>
          <w:szCs w:val="24"/>
          <w:highlight w:val="none"/>
        </w:rPr>
        <w:t>允许调整合同价格的工程量偏差范围：</w:t>
      </w:r>
      <w:r>
        <w:rPr>
          <w:rFonts w:hint="eastAsia" w:ascii="宋体" w:hAnsi="宋体" w:cs="楷体"/>
          <w:sz w:val="24"/>
          <w:szCs w:val="24"/>
          <w:highlight w:val="none"/>
          <w:u w:val="single"/>
        </w:rPr>
        <w:t xml:space="preserve">/  </w:t>
      </w:r>
      <w:r>
        <w:rPr>
          <w:rFonts w:hint="eastAsia" w:ascii="宋体" w:hAnsi="宋体" w:cs="楷体"/>
          <w:sz w:val="24"/>
          <w:szCs w:val="24"/>
          <w:highlight w:val="none"/>
        </w:rPr>
        <w:t>。</w:t>
      </w:r>
    </w:p>
    <w:p w14:paraId="06272FA1">
      <w:pPr>
        <w:keepNext/>
        <w:spacing w:line="540" w:lineRule="exact"/>
        <w:outlineLvl w:val="3"/>
        <w:rPr>
          <w:rFonts w:ascii="宋体" w:hAnsi="宋体" w:cs="楷体"/>
          <w:b/>
          <w:bCs/>
          <w:sz w:val="24"/>
          <w:szCs w:val="24"/>
          <w:highlight w:val="none"/>
        </w:rPr>
      </w:pPr>
      <w:bookmarkStart w:id="504" w:name="_Toc351203634"/>
      <w:bookmarkEnd w:id="504"/>
      <w:r>
        <w:rPr>
          <w:rFonts w:hint="eastAsia" w:ascii="宋体" w:hAnsi="宋体" w:cs="楷体"/>
          <w:b/>
          <w:bCs/>
          <w:sz w:val="24"/>
          <w:szCs w:val="24"/>
          <w:highlight w:val="none"/>
        </w:rPr>
        <w:t>2</w:t>
      </w:r>
      <w:bookmarkStart w:id="505" w:name="_Toc296890985"/>
      <w:bookmarkEnd w:id="505"/>
      <w:bookmarkStart w:id="506" w:name="_Toc296891197"/>
      <w:bookmarkEnd w:id="506"/>
      <w:bookmarkStart w:id="507" w:name="_Toc296503157"/>
      <w:bookmarkEnd w:id="507"/>
      <w:bookmarkStart w:id="508" w:name="_Toc296346658"/>
      <w:bookmarkEnd w:id="508"/>
      <w:bookmarkStart w:id="509" w:name="_Toc297120457"/>
      <w:bookmarkEnd w:id="509"/>
      <w:bookmarkStart w:id="510" w:name="_Toc296347156"/>
      <w:bookmarkEnd w:id="510"/>
      <w:bookmarkStart w:id="511" w:name="_Toc292559362"/>
      <w:bookmarkEnd w:id="511"/>
      <w:bookmarkStart w:id="512" w:name="_Toc296944496"/>
      <w:bookmarkEnd w:id="512"/>
      <w:bookmarkStart w:id="513" w:name="_Toc297048343"/>
      <w:bookmarkEnd w:id="513"/>
      <w:bookmarkStart w:id="514" w:name="_Toc292559867"/>
      <w:r>
        <w:rPr>
          <w:rFonts w:hint="eastAsia" w:ascii="宋体" w:hAnsi="宋体" w:cs="楷体"/>
          <w:b/>
          <w:bCs/>
          <w:sz w:val="24"/>
          <w:szCs w:val="24"/>
          <w:highlight w:val="none"/>
        </w:rPr>
        <w:t>. 发包人</w:t>
      </w:r>
      <w:bookmarkEnd w:id="514"/>
    </w:p>
    <w:p w14:paraId="12D0A6BF">
      <w:pPr>
        <w:spacing w:line="540" w:lineRule="exact"/>
        <w:rPr>
          <w:rFonts w:ascii="宋体" w:hAnsi="宋体" w:cs="楷体"/>
          <w:sz w:val="24"/>
          <w:szCs w:val="24"/>
          <w:highlight w:val="none"/>
        </w:rPr>
      </w:pPr>
      <w:r>
        <w:rPr>
          <w:rFonts w:hint="eastAsia" w:ascii="宋体" w:hAnsi="宋体" w:cs="楷体"/>
          <w:bCs/>
          <w:sz w:val="24"/>
          <w:szCs w:val="24"/>
          <w:highlight w:val="none"/>
        </w:rPr>
        <w:t>2.1</w:t>
      </w:r>
      <w:r>
        <w:rPr>
          <w:rFonts w:hint="eastAsia" w:ascii="宋体" w:hAnsi="宋体" w:cs="楷体"/>
          <w:sz w:val="24"/>
          <w:szCs w:val="24"/>
          <w:highlight w:val="none"/>
        </w:rPr>
        <w:t xml:space="preserve"> 发包人代表</w:t>
      </w:r>
    </w:p>
    <w:p w14:paraId="0AC77681">
      <w:pPr>
        <w:spacing w:line="540" w:lineRule="exact"/>
        <w:rPr>
          <w:rFonts w:ascii="宋体" w:hAnsi="宋体" w:cs="楷体"/>
          <w:sz w:val="24"/>
          <w:szCs w:val="24"/>
          <w:highlight w:val="none"/>
          <w:u w:val="single"/>
        </w:rPr>
      </w:pPr>
      <w:r>
        <w:rPr>
          <w:rFonts w:hint="eastAsia" w:ascii="宋体" w:hAnsi="宋体" w:cs="楷体"/>
          <w:sz w:val="24"/>
          <w:szCs w:val="24"/>
          <w:highlight w:val="none"/>
        </w:rPr>
        <w:t>发包人代表：</w:t>
      </w:r>
    </w:p>
    <w:p w14:paraId="442C6CEE">
      <w:pPr>
        <w:spacing w:line="540" w:lineRule="exact"/>
        <w:rPr>
          <w:rFonts w:ascii="宋体" w:hAnsi="宋体" w:cs="楷体"/>
          <w:sz w:val="24"/>
          <w:szCs w:val="24"/>
          <w:highlight w:val="none"/>
        </w:rPr>
      </w:pPr>
      <w:r>
        <w:rPr>
          <w:rFonts w:hint="eastAsia" w:ascii="宋体" w:hAnsi="宋体" w:cs="楷体"/>
          <w:sz w:val="24"/>
          <w:szCs w:val="24"/>
          <w:highlight w:val="none"/>
        </w:rPr>
        <w:t>姓    名：；</w:t>
      </w:r>
    </w:p>
    <w:p w14:paraId="16FEFDE7">
      <w:pPr>
        <w:spacing w:line="540" w:lineRule="exact"/>
        <w:rPr>
          <w:rFonts w:ascii="宋体" w:hAnsi="宋体" w:cs="楷体"/>
          <w:sz w:val="24"/>
          <w:szCs w:val="24"/>
          <w:highlight w:val="none"/>
        </w:rPr>
      </w:pPr>
      <w:r>
        <w:rPr>
          <w:rFonts w:hint="eastAsia" w:ascii="宋体" w:hAnsi="宋体" w:cs="楷体"/>
          <w:sz w:val="24"/>
          <w:szCs w:val="24"/>
          <w:highlight w:val="none"/>
        </w:rPr>
        <w:t>身份证号：；</w:t>
      </w:r>
    </w:p>
    <w:p w14:paraId="7A4CE7C6">
      <w:pPr>
        <w:spacing w:line="540" w:lineRule="exact"/>
        <w:rPr>
          <w:rFonts w:ascii="宋体" w:hAnsi="宋体" w:cs="楷体"/>
          <w:sz w:val="24"/>
          <w:szCs w:val="24"/>
          <w:highlight w:val="none"/>
        </w:rPr>
      </w:pPr>
      <w:r>
        <w:rPr>
          <w:rFonts w:hint="eastAsia" w:ascii="宋体" w:hAnsi="宋体" w:cs="楷体"/>
          <w:sz w:val="24"/>
          <w:szCs w:val="24"/>
          <w:highlight w:val="none"/>
        </w:rPr>
        <w:t>职    务：；</w:t>
      </w:r>
    </w:p>
    <w:p w14:paraId="7DF14F04">
      <w:pPr>
        <w:spacing w:line="540" w:lineRule="exact"/>
        <w:rPr>
          <w:rFonts w:ascii="宋体" w:hAnsi="宋体" w:cs="楷体"/>
          <w:sz w:val="24"/>
          <w:szCs w:val="24"/>
          <w:highlight w:val="none"/>
        </w:rPr>
      </w:pPr>
      <w:r>
        <w:rPr>
          <w:rFonts w:hint="eastAsia" w:ascii="宋体" w:hAnsi="宋体" w:cs="楷体"/>
          <w:sz w:val="24"/>
          <w:szCs w:val="24"/>
          <w:highlight w:val="none"/>
        </w:rPr>
        <w:t>联系电话：；</w:t>
      </w:r>
    </w:p>
    <w:p w14:paraId="6F4BCC02">
      <w:pPr>
        <w:spacing w:line="540" w:lineRule="exact"/>
        <w:rPr>
          <w:rFonts w:ascii="宋体" w:hAnsi="宋体" w:cs="楷体"/>
          <w:sz w:val="24"/>
          <w:szCs w:val="24"/>
          <w:highlight w:val="none"/>
        </w:rPr>
      </w:pPr>
      <w:r>
        <w:rPr>
          <w:rFonts w:hint="eastAsia" w:ascii="宋体" w:hAnsi="宋体" w:cs="楷体"/>
          <w:sz w:val="24"/>
          <w:szCs w:val="24"/>
          <w:highlight w:val="none"/>
        </w:rPr>
        <w:t>电子信箱：；</w:t>
      </w:r>
    </w:p>
    <w:p w14:paraId="19A8D491">
      <w:pPr>
        <w:spacing w:line="540" w:lineRule="exact"/>
        <w:rPr>
          <w:rFonts w:ascii="宋体" w:hAnsi="宋体" w:cs="楷体"/>
          <w:sz w:val="24"/>
          <w:szCs w:val="24"/>
          <w:highlight w:val="none"/>
        </w:rPr>
      </w:pPr>
      <w:r>
        <w:rPr>
          <w:rFonts w:hint="eastAsia" w:ascii="宋体" w:hAnsi="宋体" w:cs="楷体"/>
          <w:sz w:val="24"/>
          <w:szCs w:val="24"/>
          <w:highlight w:val="none"/>
        </w:rPr>
        <w:t>通信地址：。</w:t>
      </w:r>
    </w:p>
    <w:p w14:paraId="5A024EDE">
      <w:pPr>
        <w:spacing w:line="540" w:lineRule="exact"/>
        <w:rPr>
          <w:rFonts w:ascii="宋体" w:hAnsi="宋体" w:cs="楷体"/>
          <w:b/>
          <w:bCs/>
          <w:sz w:val="24"/>
          <w:szCs w:val="24"/>
          <w:highlight w:val="none"/>
        </w:rPr>
      </w:pPr>
      <w:r>
        <w:rPr>
          <w:rFonts w:hint="eastAsia" w:ascii="宋体" w:hAnsi="宋体" w:cs="楷体"/>
          <w:sz w:val="24"/>
          <w:szCs w:val="24"/>
          <w:highlight w:val="none"/>
        </w:rPr>
        <w:t>发包人对发包人代表的授权范围如下：。</w:t>
      </w:r>
    </w:p>
    <w:p w14:paraId="686E640E">
      <w:pPr>
        <w:spacing w:line="540" w:lineRule="exact"/>
        <w:rPr>
          <w:rFonts w:ascii="宋体" w:hAnsi="宋体" w:cs="楷体"/>
          <w:sz w:val="24"/>
          <w:szCs w:val="24"/>
          <w:highlight w:val="none"/>
        </w:rPr>
      </w:pPr>
      <w:r>
        <w:rPr>
          <w:rFonts w:hint="eastAsia" w:ascii="宋体" w:hAnsi="宋体" w:cs="楷体"/>
          <w:bCs/>
          <w:sz w:val="24"/>
          <w:szCs w:val="24"/>
          <w:highlight w:val="none"/>
        </w:rPr>
        <w:t>2.2</w:t>
      </w:r>
      <w:r>
        <w:rPr>
          <w:rFonts w:hint="eastAsia" w:ascii="宋体" w:hAnsi="宋体" w:cs="楷体"/>
          <w:sz w:val="24"/>
          <w:szCs w:val="24"/>
          <w:highlight w:val="none"/>
        </w:rPr>
        <w:t>施工现场、施工条件和基础资料的提供</w:t>
      </w:r>
    </w:p>
    <w:p w14:paraId="1B3B7DCB">
      <w:pPr>
        <w:spacing w:line="540" w:lineRule="exact"/>
        <w:rPr>
          <w:rFonts w:ascii="宋体" w:hAnsi="宋体" w:cs="楷体"/>
          <w:sz w:val="24"/>
          <w:szCs w:val="24"/>
          <w:highlight w:val="none"/>
        </w:rPr>
      </w:pPr>
      <w:r>
        <w:rPr>
          <w:rFonts w:hint="eastAsia" w:ascii="宋体" w:hAnsi="宋体" w:cs="楷体"/>
          <w:sz w:val="24"/>
          <w:szCs w:val="24"/>
          <w:highlight w:val="none"/>
        </w:rPr>
        <w:t>2.2.1 提供施工现场</w:t>
      </w:r>
    </w:p>
    <w:p w14:paraId="45BF88FA">
      <w:pPr>
        <w:spacing w:line="540" w:lineRule="exact"/>
        <w:rPr>
          <w:rFonts w:ascii="宋体" w:hAnsi="宋体" w:cs="楷体"/>
          <w:sz w:val="24"/>
          <w:szCs w:val="24"/>
          <w:highlight w:val="none"/>
        </w:rPr>
      </w:pPr>
      <w:r>
        <w:rPr>
          <w:rFonts w:hint="eastAsia" w:ascii="宋体" w:hAnsi="宋体" w:cs="楷体"/>
          <w:sz w:val="24"/>
          <w:szCs w:val="24"/>
          <w:highlight w:val="none"/>
        </w:rPr>
        <w:t>关于发包人移交施工现场的期限要求：</w:t>
      </w:r>
      <w:r>
        <w:rPr>
          <w:rFonts w:hint="eastAsia" w:ascii="宋体" w:hAnsi="宋体" w:cs="楷体"/>
          <w:sz w:val="24"/>
          <w:szCs w:val="24"/>
          <w:highlight w:val="none"/>
          <w:u w:val="single"/>
        </w:rPr>
        <w:t xml:space="preserve">  开工日期7天前           </w:t>
      </w:r>
      <w:r>
        <w:rPr>
          <w:rFonts w:hint="eastAsia" w:ascii="宋体" w:hAnsi="宋体" w:cs="楷体"/>
          <w:sz w:val="24"/>
          <w:szCs w:val="24"/>
          <w:highlight w:val="none"/>
        </w:rPr>
        <w:t>。</w:t>
      </w:r>
    </w:p>
    <w:p w14:paraId="2C99C92E">
      <w:pPr>
        <w:spacing w:line="540" w:lineRule="exact"/>
        <w:rPr>
          <w:rFonts w:ascii="宋体" w:hAnsi="宋体" w:cs="楷体"/>
          <w:sz w:val="24"/>
          <w:szCs w:val="24"/>
          <w:highlight w:val="none"/>
        </w:rPr>
      </w:pPr>
      <w:r>
        <w:rPr>
          <w:rFonts w:hint="eastAsia" w:ascii="宋体" w:hAnsi="宋体" w:cs="楷体"/>
          <w:sz w:val="24"/>
          <w:szCs w:val="24"/>
          <w:highlight w:val="none"/>
        </w:rPr>
        <w:t>2.2.2 提供施工条件</w:t>
      </w:r>
    </w:p>
    <w:p w14:paraId="3FED3B75">
      <w:pPr>
        <w:spacing w:line="540" w:lineRule="exact"/>
        <w:rPr>
          <w:rFonts w:ascii="宋体" w:hAnsi="宋体" w:cs="楷体"/>
          <w:sz w:val="24"/>
          <w:szCs w:val="24"/>
          <w:highlight w:val="none"/>
          <w:u w:val="single"/>
        </w:rPr>
      </w:pPr>
      <w:r>
        <w:rPr>
          <w:rFonts w:hint="eastAsia" w:ascii="宋体" w:hAnsi="宋体" w:cs="楷体"/>
          <w:sz w:val="24"/>
          <w:szCs w:val="24"/>
          <w:highlight w:val="none"/>
        </w:rPr>
        <w:t>关于发包人应负责提供施工所需要的条件，包括：</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8D5A732">
      <w:pPr>
        <w:spacing w:line="540" w:lineRule="exact"/>
        <w:rPr>
          <w:rFonts w:ascii="宋体" w:hAnsi="宋体" w:cs="楷体"/>
          <w:sz w:val="24"/>
          <w:szCs w:val="24"/>
          <w:highlight w:val="none"/>
        </w:rPr>
      </w:pPr>
      <w:r>
        <w:rPr>
          <w:rFonts w:hint="eastAsia" w:ascii="宋体" w:hAnsi="宋体" w:cs="楷体"/>
          <w:bCs/>
          <w:sz w:val="24"/>
          <w:szCs w:val="24"/>
          <w:highlight w:val="none"/>
        </w:rPr>
        <w:t>2.3</w:t>
      </w:r>
      <w:r>
        <w:rPr>
          <w:rFonts w:hint="eastAsia" w:ascii="宋体" w:hAnsi="宋体" w:cs="楷体"/>
          <w:sz w:val="24"/>
          <w:szCs w:val="24"/>
          <w:highlight w:val="none"/>
        </w:rPr>
        <w:t xml:space="preserve"> 资金来源证明及支付担保</w:t>
      </w:r>
    </w:p>
    <w:p w14:paraId="5FEA39D6">
      <w:pPr>
        <w:spacing w:line="540" w:lineRule="exact"/>
        <w:rPr>
          <w:rFonts w:ascii="宋体" w:hAnsi="宋体" w:cs="楷体"/>
          <w:sz w:val="24"/>
          <w:szCs w:val="24"/>
          <w:highlight w:val="none"/>
        </w:rPr>
      </w:pPr>
      <w:r>
        <w:rPr>
          <w:rFonts w:hint="eastAsia" w:ascii="宋体" w:hAnsi="宋体" w:cs="楷体"/>
          <w:sz w:val="24"/>
          <w:szCs w:val="24"/>
          <w:highlight w:val="none"/>
        </w:rPr>
        <w:t>发包人提供资金来源证明的期限要求：</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15515F4">
      <w:pPr>
        <w:spacing w:line="540" w:lineRule="exact"/>
        <w:rPr>
          <w:rFonts w:ascii="宋体" w:hAnsi="宋体" w:cs="楷体"/>
          <w:sz w:val="24"/>
          <w:szCs w:val="24"/>
          <w:highlight w:val="none"/>
        </w:rPr>
      </w:pPr>
      <w:r>
        <w:rPr>
          <w:rFonts w:hint="eastAsia" w:ascii="宋体" w:hAnsi="宋体" w:cs="楷体"/>
          <w:sz w:val="24"/>
          <w:szCs w:val="24"/>
          <w:highlight w:val="none"/>
        </w:rPr>
        <w:t>发包人是否提供支付担保：</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4C36127">
      <w:pPr>
        <w:spacing w:line="540" w:lineRule="exact"/>
        <w:rPr>
          <w:rFonts w:ascii="宋体" w:hAnsi="宋体" w:cs="楷体"/>
          <w:sz w:val="24"/>
          <w:szCs w:val="24"/>
          <w:highlight w:val="none"/>
          <w:u w:val="single"/>
        </w:rPr>
      </w:pPr>
      <w:r>
        <w:rPr>
          <w:rFonts w:hint="eastAsia" w:ascii="宋体" w:hAnsi="宋体" w:cs="楷体"/>
          <w:sz w:val="24"/>
          <w:szCs w:val="24"/>
          <w:highlight w:val="none"/>
        </w:rPr>
        <w:t>发包人提供支付担保的形式：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E9F112C">
      <w:pPr>
        <w:keepNext/>
        <w:spacing w:line="540" w:lineRule="exact"/>
        <w:outlineLvl w:val="3"/>
        <w:rPr>
          <w:rFonts w:ascii="宋体" w:hAnsi="宋体" w:cs="楷体"/>
          <w:b/>
          <w:bCs/>
          <w:sz w:val="24"/>
          <w:szCs w:val="24"/>
          <w:highlight w:val="none"/>
        </w:rPr>
      </w:pPr>
      <w:bookmarkStart w:id="515" w:name="_Toc351203635"/>
      <w:bookmarkEnd w:id="515"/>
      <w:r>
        <w:rPr>
          <w:rFonts w:hint="eastAsia" w:ascii="宋体" w:hAnsi="宋体" w:cs="楷体"/>
          <w:b/>
          <w:bCs/>
          <w:sz w:val="24"/>
          <w:szCs w:val="24"/>
          <w:highlight w:val="none"/>
        </w:rPr>
        <w:t>3</w:t>
      </w:r>
      <w:bookmarkStart w:id="516" w:name="_Toc296503158"/>
      <w:bookmarkEnd w:id="516"/>
      <w:bookmarkStart w:id="517" w:name="_Toc292559363"/>
      <w:bookmarkEnd w:id="517"/>
      <w:bookmarkStart w:id="518" w:name="_Toc297048344"/>
      <w:bookmarkEnd w:id="518"/>
      <w:bookmarkStart w:id="519" w:name="_Toc296944497"/>
      <w:bookmarkEnd w:id="519"/>
      <w:bookmarkStart w:id="520" w:name="_Toc296347157"/>
      <w:bookmarkEnd w:id="520"/>
      <w:bookmarkStart w:id="521" w:name="_Toc292559868"/>
      <w:bookmarkEnd w:id="521"/>
      <w:bookmarkStart w:id="522" w:name="_Toc297120458"/>
      <w:bookmarkEnd w:id="522"/>
      <w:bookmarkStart w:id="523" w:name="_Toc296890986"/>
      <w:bookmarkEnd w:id="523"/>
      <w:bookmarkStart w:id="524" w:name="_Toc296346659"/>
      <w:bookmarkEnd w:id="524"/>
      <w:bookmarkStart w:id="525" w:name="_Toc296891198"/>
      <w:r>
        <w:rPr>
          <w:rFonts w:hint="eastAsia" w:ascii="宋体" w:hAnsi="宋体" w:cs="楷体"/>
          <w:b/>
          <w:bCs/>
          <w:sz w:val="24"/>
          <w:szCs w:val="24"/>
          <w:highlight w:val="none"/>
        </w:rPr>
        <w:t>. 承包人</w:t>
      </w:r>
      <w:bookmarkEnd w:id="525"/>
    </w:p>
    <w:p w14:paraId="6A607A0B">
      <w:pPr>
        <w:spacing w:line="540" w:lineRule="exact"/>
        <w:rPr>
          <w:rFonts w:ascii="宋体" w:hAnsi="宋体" w:cs="楷体"/>
          <w:sz w:val="24"/>
          <w:szCs w:val="24"/>
          <w:highlight w:val="none"/>
        </w:rPr>
      </w:pPr>
      <w:r>
        <w:rPr>
          <w:rFonts w:hint="eastAsia" w:ascii="宋体" w:hAnsi="宋体" w:cs="楷体"/>
          <w:b/>
          <w:bCs/>
          <w:sz w:val="24"/>
          <w:szCs w:val="24"/>
          <w:highlight w:val="none"/>
        </w:rPr>
        <w:t xml:space="preserve">3.1 </w:t>
      </w:r>
      <w:r>
        <w:rPr>
          <w:rFonts w:hint="eastAsia" w:ascii="宋体" w:hAnsi="宋体" w:cs="楷体"/>
          <w:sz w:val="24"/>
          <w:szCs w:val="24"/>
          <w:highlight w:val="none"/>
        </w:rPr>
        <w:t>承包人的一般义务</w:t>
      </w:r>
    </w:p>
    <w:p w14:paraId="6E289532">
      <w:pPr>
        <w:spacing w:line="540" w:lineRule="exact"/>
        <w:rPr>
          <w:rFonts w:ascii="宋体" w:hAnsi="宋体" w:cs="楷体"/>
          <w:sz w:val="24"/>
          <w:szCs w:val="24"/>
          <w:highlight w:val="none"/>
          <w:u w:val="single"/>
        </w:rPr>
      </w:pPr>
      <w:r>
        <w:rPr>
          <w:rFonts w:hint="eastAsia" w:ascii="宋体" w:hAnsi="宋体" w:cs="楷体"/>
          <w:sz w:val="24"/>
          <w:szCs w:val="24"/>
          <w:highlight w:val="none"/>
        </w:rPr>
        <w:t>（9）承包人提交的竣工资料的内容：</w:t>
      </w:r>
      <w:r>
        <w:rPr>
          <w:rFonts w:hint="eastAsia" w:ascii="宋体" w:hAnsi="宋体" w:cs="楷体"/>
          <w:sz w:val="24"/>
          <w:szCs w:val="24"/>
          <w:highlight w:val="none"/>
          <w:u w:val="single"/>
        </w:rPr>
        <w:t xml:space="preserve">  承包人向发包人提交完整竣工图纸和竣工图电子文档     </w:t>
      </w:r>
      <w:r>
        <w:rPr>
          <w:rFonts w:hint="eastAsia" w:ascii="宋体" w:hAnsi="宋体" w:cs="楷体"/>
          <w:sz w:val="24"/>
          <w:szCs w:val="24"/>
          <w:highlight w:val="none"/>
        </w:rPr>
        <w:t>。</w:t>
      </w:r>
    </w:p>
    <w:p w14:paraId="2F79E765">
      <w:pPr>
        <w:spacing w:line="540" w:lineRule="exact"/>
        <w:rPr>
          <w:rFonts w:ascii="宋体" w:hAnsi="宋体" w:cs="楷体"/>
          <w:sz w:val="24"/>
          <w:szCs w:val="24"/>
          <w:highlight w:val="none"/>
        </w:rPr>
      </w:pPr>
      <w:r>
        <w:rPr>
          <w:rFonts w:hint="eastAsia" w:ascii="宋体" w:hAnsi="宋体" w:cs="楷体"/>
          <w:sz w:val="24"/>
          <w:szCs w:val="24"/>
          <w:highlight w:val="none"/>
        </w:rPr>
        <w:t>承包人需要提交的竣工资料套数：</w:t>
      </w:r>
      <w:r>
        <w:rPr>
          <w:rFonts w:hint="eastAsia" w:ascii="宋体" w:hAnsi="宋体" w:cs="楷体"/>
          <w:sz w:val="24"/>
          <w:szCs w:val="24"/>
          <w:highlight w:val="none"/>
          <w:u w:val="single"/>
        </w:rPr>
        <w:t xml:space="preserve">保证竣工后提供完整的审验合格后的施工图 </w:t>
      </w:r>
      <w:r>
        <w:rPr>
          <w:rFonts w:hint="eastAsia" w:ascii="宋体" w:hAnsi="宋体" w:cs="楷体"/>
          <w:sz w:val="24"/>
          <w:szCs w:val="24"/>
          <w:highlight w:val="none"/>
        </w:rPr>
        <w:t>。</w:t>
      </w:r>
    </w:p>
    <w:p w14:paraId="038D314D">
      <w:pPr>
        <w:spacing w:line="540" w:lineRule="exact"/>
        <w:rPr>
          <w:rFonts w:ascii="宋体" w:hAnsi="宋体" w:cs="楷体"/>
          <w:sz w:val="24"/>
          <w:szCs w:val="24"/>
          <w:highlight w:val="none"/>
        </w:rPr>
      </w:pPr>
      <w:r>
        <w:rPr>
          <w:rFonts w:hint="eastAsia" w:ascii="宋体" w:hAnsi="宋体" w:cs="楷体"/>
          <w:sz w:val="24"/>
          <w:szCs w:val="24"/>
          <w:highlight w:val="none"/>
        </w:rPr>
        <w:t>承包人提交的竣工资料的费用承担：</w:t>
      </w:r>
      <w:r>
        <w:rPr>
          <w:rFonts w:hint="eastAsia" w:ascii="宋体" w:hAnsi="宋体" w:cs="楷体"/>
          <w:sz w:val="24"/>
          <w:szCs w:val="24"/>
          <w:highlight w:val="none"/>
          <w:u w:val="single"/>
        </w:rPr>
        <w:t xml:space="preserve">         由承包人承担                </w:t>
      </w:r>
      <w:r>
        <w:rPr>
          <w:rFonts w:hint="eastAsia" w:ascii="宋体" w:hAnsi="宋体" w:cs="楷体"/>
          <w:sz w:val="24"/>
          <w:szCs w:val="24"/>
          <w:highlight w:val="none"/>
        </w:rPr>
        <w:t>。</w:t>
      </w:r>
    </w:p>
    <w:p w14:paraId="3B38804F">
      <w:pPr>
        <w:spacing w:line="540" w:lineRule="exact"/>
        <w:rPr>
          <w:rFonts w:ascii="宋体" w:hAnsi="宋体" w:cs="楷体"/>
          <w:sz w:val="24"/>
          <w:szCs w:val="24"/>
          <w:highlight w:val="none"/>
        </w:rPr>
      </w:pPr>
      <w:r>
        <w:rPr>
          <w:rFonts w:hint="eastAsia" w:ascii="宋体" w:hAnsi="宋体" w:cs="楷体"/>
          <w:sz w:val="24"/>
          <w:szCs w:val="24"/>
          <w:highlight w:val="none"/>
        </w:rPr>
        <w:t>承包人提交的竣工资料移交时间：</w:t>
      </w:r>
      <w:r>
        <w:rPr>
          <w:rFonts w:hint="eastAsia" w:ascii="宋体" w:hAnsi="宋体" w:cs="楷体"/>
          <w:sz w:val="24"/>
          <w:szCs w:val="24"/>
          <w:highlight w:val="none"/>
          <w:u w:val="single"/>
        </w:rPr>
        <w:t xml:space="preserve">    工程竣工验收合格后1个月内         </w:t>
      </w:r>
      <w:r>
        <w:rPr>
          <w:rFonts w:hint="eastAsia" w:ascii="宋体" w:hAnsi="宋体" w:cs="楷体"/>
          <w:sz w:val="24"/>
          <w:szCs w:val="24"/>
          <w:highlight w:val="none"/>
        </w:rPr>
        <w:t>。</w:t>
      </w:r>
    </w:p>
    <w:p w14:paraId="7FCF49A5">
      <w:pPr>
        <w:spacing w:line="540" w:lineRule="exact"/>
        <w:rPr>
          <w:rFonts w:ascii="宋体" w:hAnsi="宋体" w:cs="楷体"/>
          <w:sz w:val="24"/>
          <w:szCs w:val="24"/>
          <w:highlight w:val="none"/>
        </w:rPr>
      </w:pPr>
      <w:r>
        <w:rPr>
          <w:rFonts w:hint="eastAsia" w:ascii="宋体" w:hAnsi="宋体" w:cs="楷体"/>
          <w:sz w:val="24"/>
          <w:szCs w:val="24"/>
          <w:highlight w:val="none"/>
        </w:rPr>
        <w:t>承包人提交的竣工资料形式要求：</w:t>
      </w:r>
      <w:r>
        <w:rPr>
          <w:rFonts w:hint="eastAsia" w:ascii="宋体" w:hAnsi="宋体" w:cs="楷体"/>
          <w:sz w:val="24"/>
          <w:szCs w:val="24"/>
          <w:highlight w:val="none"/>
          <w:u w:val="single"/>
        </w:rPr>
        <w:t xml:space="preserve">     书面及电子文档                    </w:t>
      </w:r>
      <w:r>
        <w:rPr>
          <w:rFonts w:hint="eastAsia" w:ascii="宋体" w:hAnsi="宋体" w:cs="楷体"/>
          <w:sz w:val="24"/>
          <w:szCs w:val="24"/>
          <w:highlight w:val="none"/>
        </w:rPr>
        <w:t>。</w:t>
      </w:r>
    </w:p>
    <w:p w14:paraId="0C674689">
      <w:pPr>
        <w:spacing w:line="540" w:lineRule="exact"/>
        <w:rPr>
          <w:rFonts w:ascii="宋体" w:hAnsi="宋体" w:cs="楷体"/>
          <w:sz w:val="24"/>
          <w:szCs w:val="24"/>
          <w:highlight w:val="none"/>
        </w:rPr>
      </w:pPr>
      <w:r>
        <w:rPr>
          <w:rFonts w:hint="eastAsia" w:ascii="宋体" w:hAnsi="宋体" w:cs="楷体"/>
          <w:sz w:val="24"/>
          <w:szCs w:val="24"/>
          <w:highlight w:val="none"/>
        </w:rPr>
        <w:t>（10）承包人应履行的其他义务：</w:t>
      </w:r>
      <w:r>
        <w:rPr>
          <w:rFonts w:hint="eastAsia" w:ascii="宋体" w:hAnsi="宋体" w:cs="楷体"/>
          <w:sz w:val="24"/>
          <w:szCs w:val="24"/>
          <w:highlight w:val="none"/>
          <w:u w:val="single"/>
        </w:rPr>
        <w:t xml:space="preserve">  负责施工人员管理；负责施工现场的安全及整洁，如发生事故一切后果承包人承担；负责工程竣工后的场地清理；与施工范围内的周边关系由承包人协调处理，费用自理；承包人应严格履行发包人只制定的安全、质量、进度管理奖罚细则 </w:t>
      </w:r>
      <w:r>
        <w:rPr>
          <w:rFonts w:hint="eastAsia" w:ascii="宋体" w:hAnsi="宋体" w:cs="楷体"/>
          <w:sz w:val="24"/>
          <w:szCs w:val="24"/>
          <w:highlight w:val="none"/>
        </w:rPr>
        <w:t>。</w:t>
      </w:r>
    </w:p>
    <w:p w14:paraId="5CFECE92">
      <w:pPr>
        <w:spacing w:line="540" w:lineRule="exact"/>
        <w:rPr>
          <w:rFonts w:ascii="宋体" w:hAnsi="宋体" w:cs="楷体"/>
          <w:sz w:val="24"/>
          <w:szCs w:val="24"/>
          <w:highlight w:val="none"/>
        </w:rPr>
      </w:pPr>
      <w:r>
        <w:rPr>
          <w:rFonts w:hint="eastAsia" w:ascii="宋体" w:hAnsi="宋体" w:cs="楷体"/>
          <w:bCs/>
          <w:sz w:val="24"/>
          <w:szCs w:val="24"/>
          <w:highlight w:val="none"/>
        </w:rPr>
        <w:t>3.2</w:t>
      </w:r>
      <w:r>
        <w:rPr>
          <w:rFonts w:hint="eastAsia" w:ascii="宋体" w:hAnsi="宋体" w:cs="楷体"/>
          <w:sz w:val="24"/>
          <w:szCs w:val="24"/>
          <w:highlight w:val="none"/>
        </w:rPr>
        <w:t xml:space="preserve"> 项目经理</w:t>
      </w:r>
    </w:p>
    <w:p w14:paraId="509057C9">
      <w:pPr>
        <w:spacing w:line="540" w:lineRule="exact"/>
        <w:rPr>
          <w:rFonts w:ascii="宋体" w:hAnsi="宋体" w:cs="楷体"/>
          <w:sz w:val="24"/>
          <w:szCs w:val="24"/>
          <w:highlight w:val="none"/>
        </w:rPr>
      </w:pPr>
      <w:r>
        <w:rPr>
          <w:rFonts w:hint="eastAsia" w:ascii="宋体" w:hAnsi="宋体" w:cs="楷体"/>
          <w:sz w:val="24"/>
          <w:szCs w:val="24"/>
          <w:highlight w:val="none"/>
        </w:rPr>
        <w:t>3.2.1 项目经理：</w:t>
      </w:r>
    </w:p>
    <w:p w14:paraId="658AED4B">
      <w:pPr>
        <w:spacing w:line="540" w:lineRule="exact"/>
        <w:rPr>
          <w:rFonts w:ascii="宋体" w:hAnsi="宋体" w:cs="楷体"/>
          <w:sz w:val="24"/>
          <w:szCs w:val="24"/>
          <w:highlight w:val="none"/>
        </w:rPr>
      </w:pPr>
      <w:r>
        <w:rPr>
          <w:rFonts w:hint="eastAsia" w:ascii="宋体" w:hAnsi="宋体" w:cs="楷体"/>
          <w:sz w:val="24"/>
          <w:szCs w:val="24"/>
          <w:highlight w:val="none"/>
        </w:rPr>
        <w:t>姓    名：；</w:t>
      </w:r>
    </w:p>
    <w:p w14:paraId="14563D89">
      <w:pPr>
        <w:spacing w:line="540" w:lineRule="exact"/>
        <w:rPr>
          <w:rFonts w:ascii="宋体" w:hAnsi="宋体" w:cs="楷体"/>
          <w:sz w:val="24"/>
          <w:szCs w:val="24"/>
          <w:highlight w:val="none"/>
        </w:rPr>
      </w:pPr>
      <w:r>
        <w:rPr>
          <w:rFonts w:hint="eastAsia" w:ascii="宋体" w:hAnsi="宋体" w:cs="楷体"/>
          <w:sz w:val="24"/>
          <w:szCs w:val="24"/>
          <w:highlight w:val="none"/>
        </w:rPr>
        <w:t>身份证号：；</w:t>
      </w:r>
    </w:p>
    <w:p w14:paraId="790944CA">
      <w:pPr>
        <w:spacing w:line="540" w:lineRule="exact"/>
        <w:rPr>
          <w:rFonts w:ascii="宋体" w:hAnsi="宋体" w:cs="楷体"/>
          <w:sz w:val="24"/>
          <w:szCs w:val="24"/>
          <w:highlight w:val="none"/>
        </w:rPr>
      </w:pPr>
      <w:r>
        <w:rPr>
          <w:rFonts w:hint="eastAsia" w:ascii="宋体" w:hAnsi="宋体" w:cs="楷体"/>
          <w:sz w:val="24"/>
          <w:szCs w:val="24"/>
          <w:highlight w:val="none"/>
        </w:rPr>
        <w:t>建造师执业资格等级：；</w:t>
      </w:r>
    </w:p>
    <w:p w14:paraId="08652888">
      <w:pPr>
        <w:spacing w:line="540" w:lineRule="exact"/>
        <w:rPr>
          <w:rFonts w:ascii="宋体" w:hAnsi="宋体" w:cs="楷体"/>
          <w:sz w:val="24"/>
          <w:szCs w:val="24"/>
          <w:highlight w:val="none"/>
        </w:rPr>
      </w:pPr>
      <w:r>
        <w:rPr>
          <w:rFonts w:hint="eastAsia" w:ascii="宋体" w:hAnsi="宋体" w:cs="楷体"/>
          <w:sz w:val="24"/>
          <w:szCs w:val="24"/>
          <w:highlight w:val="none"/>
        </w:rPr>
        <w:t>建造师注册证书号：；</w:t>
      </w:r>
    </w:p>
    <w:p w14:paraId="15526D67">
      <w:pPr>
        <w:spacing w:line="540" w:lineRule="exact"/>
        <w:rPr>
          <w:rFonts w:ascii="宋体" w:hAnsi="宋体" w:cs="楷体"/>
          <w:sz w:val="24"/>
          <w:szCs w:val="24"/>
          <w:highlight w:val="none"/>
        </w:rPr>
      </w:pPr>
      <w:r>
        <w:rPr>
          <w:rFonts w:hint="eastAsia" w:ascii="宋体" w:hAnsi="宋体" w:cs="楷体"/>
          <w:sz w:val="24"/>
          <w:szCs w:val="24"/>
          <w:highlight w:val="none"/>
        </w:rPr>
        <w:t>建造师执业印章号：；</w:t>
      </w:r>
    </w:p>
    <w:p w14:paraId="118FBA52">
      <w:pPr>
        <w:spacing w:line="540" w:lineRule="exact"/>
        <w:rPr>
          <w:rFonts w:ascii="宋体" w:hAnsi="宋体" w:cs="楷体"/>
          <w:sz w:val="24"/>
          <w:szCs w:val="24"/>
          <w:highlight w:val="none"/>
        </w:rPr>
      </w:pPr>
      <w:r>
        <w:rPr>
          <w:rFonts w:hint="eastAsia" w:ascii="宋体" w:hAnsi="宋体" w:cs="楷体"/>
          <w:sz w:val="24"/>
          <w:szCs w:val="24"/>
          <w:highlight w:val="none"/>
        </w:rPr>
        <w:t>安全生产考核合格证书号：；</w:t>
      </w:r>
    </w:p>
    <w:p w14:paraId="491F30D5">
      <w:pPr>
        <w:spacing w:line="540" w:lineRule="exact"/>
        <w:rPr>
          <w:rFonts w:ascii="宋体" w:hAnsi="宋体" w:cs="楷体"/>
          <w:sz w:val="24"/>
          <w:szCs w:val="24"/>
          <w:highlight w:val="none"/>
        </w:rPr>
      </w:pPr>
      <w:r>
        <w:rPr>
          <w:rFonts w:hint="eastAsia" w:ascii="宋体" w:hAnsi="宋体" w:cs="楷体"/>
          <w:sz w:val="24"/>
          <w:szCs w:val="24"/>
          <w:highlight w:val="none"/>
        </w:rPr>
        <w:t>联系电话：；</w:t>
      </w:r>
    </w:p>
    <w:p w14:paraId="2F9A7734">
      <w:pPr>
        <w:spacing w:line="540" w:lineRule="exact"/>
        <w:rPr>
          <w:rFonts w:ascii="宋体" w:hAnsi="宋体" w:cs="楷体"/>
          <w:sz w:val="24"/>
          <w:szCs w:val="24"/>
          <w:highlight w:val="none"/>
        </w:rPr>
      </w:pPr>
      <w:r>
        <w:rPr>
          <w:rFonts w:hint="eastAsia" w:ascii="宋体" w:hAnsi="宋体" w:cs="楷体"/>
          <w:sz w:val="24"/>
          <w:szCs w:val="24"/>
          <w:highlight w:val="none"/>
        </w:rPr>
        <w:t>电子信箱：；</w:t>
      </w:r>
    </w:p>
    <w:p w14:paraId="4C873BA9">
      <w:pPr>
        <w:spacing w:line="540" w:lineRule="exact"/>
        <w:rPr>
          <w:rFonts w:ascii="宋体" w:hAnsi="宋体" w:cs="楷体"/>
          <w:sz w:val="24"/>
          <w:szCs w:val="24"/>
          <w:highlight w:val="none"/>
        </w:rPr>
      </w:pPr>
      <w:r>
        <w:rPr>
          <w:rFonts w:hint="eastAsia" w:ascii="宋体" w:hAnsi="宋体" w:cs="楷体"/>
          <w:sz w:val="24"/>
          <w:szCs w:val="24"/>
          <w:highlight w:val="none"/>
        </w:rPr>
        <w:t>通信地址：；</w:t>
      </w:r>
    </w:p>
    <w:p w14:paraId="3010503A">
      <w:pPr>
        <w:spacing w:line="540" w:lineRule="exact"/>
        <w:rPr>
          <w:rFonts w:ascii="宋体" w:hAnsi="宋体" w:cs="楷体"/>
          <w:sz w:val="24"/>
          <w:szCs w:val="24"/>
          <w:highlight w:val="none"/>
        </w:rPr>
      </w:pPr>
      <w:r>
        <w:rPr>
          <w:rFonts w:hint="eastAsia" w:ascii="宋体" w:hAnsi="宋体" w:cs="楷体"/>
          <w:sz w:val="24"/>
          <w:szCs w:val="24"/>
          <w:highlight w:val="none"/>
        </w:rPr>
        <w:t>承包人对项目经理的授权范围如下：。</w:t>
      </w:r>
    </w:p>
    <w:p w14:paraId="3737F2E1">
      <w:pPr>
        <w:spacing w:line="540" w:lineRule="exact"/>
        <w:rPr>
          <w:rFonts w:ascii="宋体" w:hAnsi="宋体" w:cs="楷体"/>
          <w:sz w:val="24"/>
          <w:szCs w:val="24"/>
          <w:highlight w:val="none"/>
        </w:rPr>
      </w:pPr>
      <w:r>
        <w:rPr>
          <w:rFonts w:hint="eastAsia" w:ascii="宋体" w:hAnsi="宋体" w:cs="楷体"/>
          <w:sz w:val="24"/>
          <w:szCs w:val="24"/>
          <w:highlight w:val="none"/>
        </w:rPr>
        <w:t>关于项目经理每月在施工现场的时间要求：</w:t>
      </w:r>
      <w:r>
        <w:rPr>
          <w:rFonts w:hint="eastAsia" w:ascii="宋体" w:hAnsi="宋体" w:cs="楷体"/>
          <w:sz w:val="24"/>
          <w:szCs w:val="24"/>
          <w:highlight w:val="none"/>
          <w:u w:val="single"/>
        </w:rPr>
        <w:t xml:space="preserve">   不得少于20天               </w:t>
      </w:r>
      <w:r>
        <w:rPr>
          <w:rFonts w:hint="eastAsia" w:ascii="宋体" w:hAnsi="宋体" w:cs="楷体"/>
          <w:sz w:val="24"/>
          <w:szCs w:val="24"/>
          <w:highlight w:val="none"/>
        </w:rPr>
        <w:t>。</w:t>
      </w:r>
    </w:p>
    <w:p w14:paraId="60FFA9C6">
      <w:pPr>
        <w:spacing w:line="540" w:lineRule="exact"/>
        <w:rPr>
          <w:rFonts w:ascii="宋体" w:hAnsi="宋体" w:cs="楷体"/>
          <w:sz w:val="24"/>
          <w:szCs w:val="24"/>
          <w:highlight w:val="none"/>
        </w:rPr>
      </w:pPr>
      <w:r>
        <w:rPr>
          <w:rFonts w:hint="eastAsia" w:ascii="宋体" w:hAnsi="宋体" w:cs="楷体"/>
          <w:sz w:val="24"/>
          <w:szCs w:val="24"/>
          <w:highlight w:val="none"/>
        </w:rPr>
        <w:t>承包人未提交劳动合同，以及没有为项目经理缴纳社会保险证明的违约责任：</w:t>
      </w:r>
      <w:r>
        <w:rPr>
          <w:rFonts w:hint="eastAsia" w:ascii="宋体" w:hAnsi="宋体" w:cs="楷体"/>
          <w:sz w:val="24"/>
          <w:szCs w:val="24"/>
          <w:highlight w:val="none"/>
          <w:u w:val="single"/>
        </w:rPr>
        <w:t xml:space="preserve">  处罚2万元罚款，责令限期提交劳动合同并补缴社会保险           </w:t>
      </w:r>
      <w:r>
        <w:rPr>
          <w:rFonts w:hint="eastAsia" w:ascii="宋体" w:hAnsi="宋体" w:cs="楷体"/>
          <w:sz w:val="24"/>
          <w:szCs w:val="24"/>
          <w:highlight w:val="none"/>
        </w:rPr>
        <w:t>。</w:t>
      </w:r>
    </w:p>
    <w:p w14:paraId="3838EB48">
      <w:pPr>
        <w:spacing w:line="540" w:lineRule="exact"/>
        <w:rPr>
          <w:rFonts w:ascii="宋体" w:hAnsi="宋体" w:cs="楷体"/>
          <w:sz w:val="24"/>
          <w:szCs w:val="24"/>
          <w:highlight w:val="none"/>
          <w:u w:val="single"/>
        </w:rPr>
      </w:pPr>
      <w:r>
        <w:rPr>
          <w:rFonts w:hint="eastAsia" w:ascii="宋体" w:hAnsi="宋体" w:cs="楷体"/>
          <w:sz w:val="24"/>
          <w:szCs w:val="24"/>
          <w:highlight w:val="none"/>
        </w:rPr>
        <w:t>项目经理未经批准，擅自离开施工现场的违约责任：。</w:t>
      </w:r>
    </w:p>
    <w:p w14:paraId="6E658BCB">
      <w:pPr>
        <w:spacing w:line="540" w:lineRule="exact"/>
        <w:rPr>
          <w:rFonts w:ascii="宋体" w:hAnsi="宋体" w:cs="楷体"/>
          <w:sz w:val="24"/>
          <w:szCs w:val="24"/>
          <w:highlight w:val="none"/>
        </w:rPr>
      </w:pPr>
      <w:r>
        <w:rPr>
          <w:rFonts w:hint="eastAsia" w:ascii="宋体" w:hAnsi="宋体" w:cs="楷体"/>
          <w:sz w:val="24"/>
          <w:szCs w:val="24"/>
          <w:highlight w:val="none"/>
        </w:rPr>
        <w:t>3.2.3 承包人擅自更换项目经理的违约责任：。</w:t>
      </w:r>
    </w:p>
    <w:p w14:paraId="02DA822E">
      <w:pPr>
        <w:spacing w:line="540" w:lineRule="exact"/>
        <w:rPr>
          <w:rFonts w:ascii="宋体" w:hAnsi="宋体" w:cs="楷体"/>
          <w:sz w:val="24"/>
          <w:szCs w:val="24"/>
          <w:highlight w:val="none"/>
        </w:rPr>
      </w:pPr>
      <w:r>
        <w:rPr>
          <w:rFonts w:hint="eastAsia" w:ascii="宋体" w:hAnsi="宋体" w:cs="楷体"/>
          <w:sz w:val="24"/>
          <w:szCs w:val="24"/>
          <w:highlight w:val="none"/>
        </w:rPr>
        <w:t>3.2.4 承包人无正当理由拒绝更换项目经理的违约责任：。</w:t>
      </w:r>
    </w:p>
    <w:p w14:paraId="2F813143">
      <w:pPr>
        <w:spacing w:line="540" w:lineRule="exact"/>
        <w:rPr>
          <w:rFonts w:ascii="宋体" w:hAnsi="宋体" w:cs="楷体"/>
          <w:sz w:val="24"/>
          <w:szCs w:val="24"/>
          <w:highlight w:val="none"/>
        </w:rPr>
      </w:pPr>
      <w:r>
        <w:rPr>
          <w:rFonts w:hint="eastAsia" w:ascii="宋体" w:hAnsi="宋体" w:cs="楷体"/>
          <w:bCs/>
          <w:sz w:val="24"/>
          <w:szCs w:val="24"/>
          <w:highlight w:val="none"/>
        </w:rPr>
        <w:t>3.3</w:t>
      </w:r>
      <w:r>
        <w:rPr>
          <w:rFonts w:hint="eastAsia" w:ascii="宋体" w:hAnsi="宋体" w:cs="楷体"/>
          <w:sz w:val="24"/>
          <w:szCs w:val="24"/>
          <w:highlight w:val="none"/>
        </w:rPr>
        <w:t xml:space="preserve"> 承包人人员</w:t>
      </w:r>
    </w:p>
    <w:p w14:paraId="2B1431FC">
      <w:pPr>
        <w:spacing w:line="540" w:lineRule="exact"/>
        <w:rPr>
          <w:rFonts w:ascii="宋体" w:hAnsi="宋体" w:cs="楷体"/>
          <w:sz w:val="24"/>
          <w:szCs w:val="24"/>
          <w:highlight w:val="none"/>
        </w:rPr>
      </w:pPr>
      <w:r>
        <w:rPr>
          <w:rFonts w:hint="eastAsia" w:ascii="宋体" w:hAnsi="宋体" w:cs="楷体"/>
          <w:sz w:val="24"/>
          <w:szCs w:val="24"/>
          <w:highlight w:val="none"/>
        </w:rPr>
        <w:t>3.3.1 承包人提交项目管理机构及施工现场管理人员安排报告的期限：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D5100B4">
      <w:pPr>
        <w:spacing w:line="540" w:lineRule="exact"/>
        <w:rPr>
          <w:rFonts w:ascii="宋体" w:hAnsi="宋体" w:cs="楷体"/>
          <w:sz w:val="24"/>
          <w:szCs w:val="24"/>
          <w:highlight w:val="none"/>
        </w:rPr>
      </w:pPr>
      <w:r>
        <w:rPr>
          <w:rFonts w:hint="eastAsia" w:ascii="宋体" w:hAnsi="宋体" w:cs="楷体"/>
          <w:sz w:val="24"/>
          <w:szCs w:val="24"/>
          <w:highlight w:val="none"/>
        </w:rPr>
        <w:t>3.3.3 承包人无正当理由拒绝撤换主要施工管理人员的违约责任：。</w:t>
      </w:r>
    </w:p>
    <w:p w14:paraId="17E7FFCB">
      <w:pPr>
        <w:spacing w:line="540" w:lineRule="exact"/>
        <w:rPr>
          <w:rFonts w:ascii="宋体" w:hAnsi="宋体" w:cs="楷体"/>
          <w:sz w:val="24"/>
          <w:szCs w:val="24"/>
          <w:highlight w:val="none"/>
          <w:u w:val="single"/>
        </w:rPr>
      </w:pPr>
      <w:r>
        <w:rPr>
          <w:rFonts w:hint="eastAsia" w:ascii="宋体" w:hAnsi="宋体" w:cs="楷体"/>
          <w:sz w:val="24"/>
          <w:szCs w:val="24"/>
          <w:highlight w:val="none"/>
        </w:rPr>
        <w:t>3.3.4 承包人主要施工管理人员离开施工现场的批准要求：</w:t>
      </w:r>
      <w:r>
        <w:rPr>
          <w:rFonts w:hint="eastAsia" w:ascii="宋体" w:hAnsi="宋体" w:cs="楷体"/>
          <w:sz w:val="24"/>
          <w:szCs w:val="24"/>
          <w:highlight w:val="none"/>
          <w:u w:val="single"/>
        </w:rPr>
        <w:t xml:space="preserve">  由总监理工程师批准，发包人认可后方可离开  </w:t>
      </w:r>
      <w:r>
        <w:rPr>
          <w:rFonts w:hint="eastAsia" w:ascii="宋体" w:hAnsi="宋体" w:cs="楷体"/>
          <w:sz w:val="24"/>
          <w:szCs w:val="24"/>
          <w:highlight w:val="none"/>
        </w:rPr>
        <w:t>。</w:t>
      </w:r>
    </w:p>
    <w:p w14:paraId="71EF5977">
      <w:pPr>
        <w:spacing w:line="540" w:lineRule="exact"/>
        <w:rPr>
          <w:rFonts w:ascii="宋体" w:hAnsi="宋体" w:cs="楷体"/>
          <w:sz w:val="24"/>
          <w:szCs w:val="24"/>
          <w:highlight w:val="none"/>
        </w:rPr>
      </w:pPr>
      <w:r>
        <w:rPr>
          <w:rFonts w:hint="eastAsia" w:ascii="宋体" w:hAnsi="宋体" w:cs="楷体"/>
          <w:sz w:val="24"/>
          <w:szCs w:val="24"/>
          <w:highlight w:val="none"/>
        </w:rPr>
        <w:t>3.3.5承包人擅自更换主要施工管理人员的违约责任： 。</w:t>
      </w:r>
    </w:p>
    <w:p w14:paraId="6F5E1005">
      <w:pPr>
        <w:spacing w:line="540" w:lineRule="exact"/>
        <w:rPr>
          <w:rFonts w:ascii="宋体" w:hAnsi="宋体" w:cs="楷体"/>
          <w:sz w:val="24"/>
          <w:szCs w:val="24"/>
          <w:highlight w:val="none"/>
        </w:rPr>
      </w:pPr>
      <w:r>
        <w:rPr>
          <w:rFonts w:hint="eastAsia" w:ascii="宋体" w:hAnsi="宋体" w:cs="楷体"/>
          <w:sz w:val="24"/>
          <w:szCs w:val="24"/>
          <w:highlight w:val="none"/>
        </w:rPr>
        <w:t>承包人主要施工管理人员擅自离开施工现场的违约责任：。</w:t>
      </w:r>
    </w:p>
    <w:p w14:paraId="647E7191">
      <w:pPr>
        <w:spacing w:line="540" w:lineRule="exact"/>
        <w:rPr>
          <w:rFonts w:ascii="宋体" w:hAnsi="宋体" w:cs="楷体"/>
          <w:sz w:val="24"/>
          <w:szCs w:val="24"/>
          <w:highlight w:val="none"/>
        </w:rPr>
      </w:pPr>
      <w:r>
        <w:rPr>
          <w:rFonts w:hint="eastAsia" w:ascii="宋体" w:hAnsi="宋体" w:cs="楷体"/>
          <w:bCs/>
          <w:sz w:val="24"/>
          <w:szCs w:val="24"/>
          <w:highlight w:val="none"/>
        </w:rPr>
        <w:t>3</w:t>
      </w:r>
      <w:bookmarkStart w:id="526" w:name="_Toc300934945"/>
      <w:bookmarkEnd w:id="526"/>
      <w:bookmarkStart w:id="527" w:name="_Toc296891199"/>
      <w:bookmarkEnd w:id="527"/>
      <w:bookmarkStart w:id="528" w:name="_Toc297123492"/>
      <w:bookmarkEnd w:id="528"/>
      <w:bookmarkStart w:id="529" w:name="_Toc304295523"/>
      <w:bookmarkEnd w:id="529"/>
      <w:bookmarkStart w:id="530" w:name="_Toc296346660"/>
      <w:bookmarkEnd w:id="530"/>
      <w:bookmarkStart w:id="531" w:name="_Toc312677988"/>
      <w:bookmarkEnd w:id="531"/>
      <w:bookmarkStart w:id="532" w:name="_Toc296503159"/>
      <w:bookmarkEnd w:id="532"/>
      <w:bookmarkStart w:id="533" w:name="_Toc297120459"/>
      <w:bookmarkEnd w:id="533"/>
      <w:bookmarkStart w:id="534" w:name="_Toc296347158"/>
      <w:bookmarkEnd w:id="534"/>
      <w:bookmarkStart w:id="535" w:name="_Toc297048345"/>
      <w:bookmarkEnd w:id="535"/>
      <w:bookmarkStart w:id="536" w:name="_Toc297216151"/>
      <w:bookmarkEnd w:id="536"/>
      <w:bookmarkStart w:id="537" w:name="_Toc292559869"/>
      <w:bookmarkEnd w:id="537"/>
      <w:bookmarkStart w:id="538" w:name="_Toc296944498"/>
      <w:bookmarkEnd w:id="538"/>
      <w:bookmarkStart w:id="539" w:name="_Toc303539102"/>
      <w:bookmarkEnd w:id="539"/>
      <w:bookmarkStart w:id="540" w:name="_Toc296890987"/>
      <w:bookmarkEnd w:id="540"/>
      <w:bookmarkStart w:id="541" w:name="_Toc292559364"/>
      <w:r>
        <w:rPr>
          <w:rFonts w:hint="eastAsia" w:ascii="宋体" w:hAnsi="宋体" w:cs="楷体"/>
          <w:bCs/>
          <w:sz w:val="24"/>
          <w:szCs w:val="24"/>
          <w:highlight w:val="none"/>
        </w:rPr>
        <w:t xml:space="preserve">.5 </w:t>
      </w:r>
      <w:bookmarkEnd w:id="541"/>
      <w:r>
        <w:rPr>
          <w:rFonts w:hint="eastAsia" w:ascii="宋体" w:hAnsi="宋体" w:cs="楷体"/>
          <w:sz w:val="24"/>
          <w:szCs w:val="24"/>
          <w:highlight w:val="none"/>
        </w:rPr>
        <w:t>分包</w:t>
      </w:r>
    </w:p>
    <w:p w14:paraId="2033304F">
      <w:pPr>
        <w:spacing w:line="540" w:lineRule="exact"/>
        <w:rPr>
          <w:rFonts w:ascii="宋体" w:hAnsi="宋体" w:cs="楷体"/>
          <w:sz w:val="24"/>
          <w:szCs w:val="24"/>
          <w:highlight w:val="none"/>
        </w:rPr>
      </w:pPr>
      <w:r>
        <w:rPr>
          <w:rFonts w:hint="eastAsia" w:ascii="宋体" w:hAnsi="宋体" w:cs="楷体"/>
          <w:sz w:val="24"/>
          <w:szCs w:val="24"/>
          <w:highlight w:val="none"/>
        </w:rPr>
        <w:t>3</w:t>
      </w:r>
      <w:bookmarkStart w:id="542" w:name="_Toc303539103"/>
      <w:bookmarkEnd w:id="542"/>
      <w:bookmarkStart w:id="543" w:name="_Toc297120460"/>
      <w:bookmarkEnd w:id="543"/>
      <w:bookmarkStart w:id="544" w:name="_Toc296891200"/>
      <w:bookmarkEnd w:id="544"/>
      <w:bookmarkStart w:id="545" w:name="_Toc296890988"/>
      <w:bookmarkEnd w:id="545"/>
      <w:bookmarkStart w:id="546" w:name="_Toc300934946"/>
      <w:bookmarkEnd w:id="546"/>
      <w:bookmarkStart w:id="547" w:name="_Toc318581158"/>
      <w:bookmarkEnd w:id="547"/>
      <w:bookmarkStart w:id="548" w:name="_Toc304295524"/>
      <w:bookmarkEnd w:id="548"/>
      <w:bookmarkStart w:id="549" w:name="_Toc297216152"/>
      <w:bookmarkEnd w:id="549"/>
      <w:bookmarkStart w:id="550" w:name="_Toc312677989"/>
      <w:bookmarkEnd w:id="550"/>
      <w:bookmarkStart w:id="551" w:name="_Toc296347159"/>
      <w:bookmarkEnd w:id="551"/>
      <w:bookmarkStart w:id="552" w:name="_Toc297123493"/>
      <w:bookmarkEnd w:id="552"/>
      <w:bookmarkStart w:id="553" w:name="_Toc296944499"/>
      <w:bookmarkEnd w:id="553"/>
      <w:bookmarkStart w:id="554" w:name="_Toc296346661"/>
      <w:bookmarkEnd w:id="554"/>
      <w:bookmarkStart w:id="555" w:name="_Toc296503160"/>
      <w:bookmarkEnd w:id="555"/>
      <w:bookmarkStart w:id="556" w:name="_Toc292559870"/>
      <w:bookmarkEnd w:id="556"/>
      <w:bookmarkStart w:id="557" w:name="_Toc292559365"/>
      <w:bookmarkEnd w:id="557"/>
      <w:bookmarkStart w:id="558" w:name="_Toc297048346"/>
      <w:r>
        <w:rPr>
          <w:rFonts w:hint="eastAsia" w:ascii="宋体" w:hAnsi="宋体" w:cs="楷体"/>
          <w:sz w:val="24"/>
          <w:szCs w:val="24"/>
          <w:highlight w:val="none"/>
        </w:rPr>
        <w:t>.5.1 分包的一般约定</w:t>
      </w:r>
      <w:bookmarkEnd w:id="558"/>
    </w:p>
    <w:p w14:paraId="3FDD4DE6">
      <w:pPr>
        <w:spacing w:line="540" w:lineRule="exact"/>
        <w:rPr>
          <w:rFonts w:ascii="宋体" w:hAnsi="宋体" w:cs="楷体"/>
          <w:sz w:val="24"/>
          <w:szCs w:val="24"/>
          <w:highlight w:val="none"/>
        </w:rPr>
      </w:pPr>
      <w:r>
        <w:rPr>
          <w:rFonts w:hint="eastAsia" w:ascii="宋体" w:hAnsi="宋体" w:cs="楷体"/>
          <w:sz w:val="24"/>
          <w:szCs w:val="24"/>
          <w:highlight w:val="none"/>
        </w:rPr>
        <w:t>禁止分包的工程包括：</w:t>
      </w:r>
      <w:r>
        <w:rPr>
          <w:rFonts w:hint="eastAsia" w:ascii="宋体" w:hAnsi="宋体" w:cs="楷体"/>
          <w:sz w:val="24"/>
          <w:szCs w:val="24"/>
          <w:highlight w:val="none"/>
          <w:u w:val="single"/>
        </w:rPr>
        <w:t xml:space="preserve">   本工程不得分包     </w:t>
      </w:r>
      <w:r>
        <w:rPr>
          <w:rFonts w:hint="eastAsia" w:ascii="宋体" w:hAnsi="宋体" w:cs="楷体"/>
          <w:sz w:val="24"/>
          <w:szCs w:val="24"/>
          <w:highlight w:val="none"/>
        </w:rPr>
        <w:t>。</w:t>
      </w:r>
    </w:p>
    <w:p w14:paraId="319B9708">
      <w:pPr>
        <w:spacing w:line="540" w:lineRule="exact"/>
        <w:rPr>
          <w:rFonts w:ascii="宋体" w:hAnsi="宋体" w:cs="楷体"/>
          <w:sz w:val="24"/>
          <w:szCs w:val="24"/>
          <w:highlight w:val="none"/>
          <w:u w:val="single"/>
        </w:rPr>
      </w:pPr>
      <w:r>
        <w:rPr>
          <w:rFonts w:hint="eastAsia" w:ascii="宋体" w:hAnsi="宋体" w:cs="楷体"/>
          <w:sz w:val="24"/>
          <w:szCs w:val="24"/>
          <w:highlight w:val="none"/>
        </w:rPr>
        <w:t>主体结构、关键性工作的范围：。</w:t>
      </w:r>
      <w:bookmarkStart w:id="559" w:name="_Toc297048347"/>
      <w:bookmarkEnd w:id="559"/>
      <w:bookmarkStart w:id="560" w:name="_Toc296944500"/>
      <w:bookmarkEnd w:id="560"/>
      <w:bookmarkStart w:id="561" w:name="_Toc296890989"/>
      <w:bookmarkEnd w:id="561"/>
      <w:bookmarkStart w:id="562" w:name="_Toc297123494"/>
      <w:bookmarkEnd w:id="562"/>
      <w:bookmarkStart w:id="563" w:name="_Toc296891201"/>
      <w:bookmarkEnd w:id="563"/>
      <w:bookmarkStart w:id="564" w:name="_Toc303539104"/>
      <w:bookmarkEnd w:id="564"/>
      <w:bookmarkStart w:id="565" w:name="_Toc304295525"/>
      <w:bookmarkEnd w:id="565"/>
      <w:bookmarkStart w:id="566" w:name="_Toc296347160"/>
      <w:bookmarkEnd w:id="566"/>
      <w:bookmarkStart w:id="567" w:name="_Toc296503161"/>
      <w:bookmarkEnd w:id="567"/>
      <w:bookmarkStart w:id="568" w:name="_Toc296346662"/>
      <w:bookmarkEnd w:id="568"/>
      <w:bookmarkStart w:id="569" w:name="_Toc297216153"/>
      <w:bookmarkEnd w:id="569"/>
      <w:bookmarkStart w:id="570" w:name="_Toc297120461"/>
      <w:bookmarkEnd w:id="570"/>
      <w:bookmarkStart w:id="571" w:name="_Toc300934947"/>
      <w:bookmarkEnd w:id="571"/>
    </w:p>
    <w:p w14:paraId="0ED44668">
      <w:pPr>
        <w:spacing w:line="540" w:lineRule="exact"/>
        <w:rPr>
          <w:rFonts w:ascii="宋体" w:hAnsi="宋体" w:cs="楷体"/>
          <w:sz w:val="24"/>
          <w:szCs w:val="24"/>
          <w:highlight w:val="none"/>
        </w:rPr>
      </w:pPr>
      <w:r>
        <w:rPr>
          <w:rFonts w:hint="eastAsia" w:ascii="宋体" w:hAnsi="宋体" w:cs="楷体"/>
          <w:sz w:val="24"/>
          <w:szCs w:val="24"/>
          <w:highlight w:val="none"/>
        </w:rPr>
        <w:t>3</w:t>
      </w:r>
      <w:bookmarkStart w:id="572" w:name="_Toc318581159"/>
      <w:bookmarkEnd w:id="572"/>
      <w:bookmarkStart w:id="573" w:name="_Toc312677990"/>
      <w:r>
        <w:rPr>
          <w:rFonts w:hint="eastAsia" w:ascii="宋体" w:hAnsi="宋体" w:cs="楷体"/>
          <w:sz w:val="24"/>
          <w:szCs w:val="24"/>
          <w:highlight w:val="none"/>
        </w:rPr>
        <w:t>.5.2分包的确定</w:t>
      </w:r>
      <w:bookmarkEnd w:id="573"/>
    </w:p>
    <w:p w14:paraId="14AAFCD5">
      <w:pPr>
        <w:spacing w:line="540" w:lineRule="exact"/>
        <w:rPr>
          <w:rFonts w:ascii="宋体" w:hAnsi="宋体" w:cs="楷体"/>
          <w:sz w:val="24"/>
          <w:szCs w:val="24"/>
          <w:highlight w:val="none"/>
          <w:u w:val="single"/>
        </w:rPr>
      </w:pPr>
      <w:r>
        <w:rPr>
          <w:rFonts w:hint="eastAsia" w:ascii="宋体" w:hAnsi="宋体" w:cs="楷体"/>
          <w:sz w:val="24"/>
          <w:szCs w:val="24"/>
          <w:highlight w:val="none"/>
        </w:rPr>
        <w:t>允许分包的专业工程包括：</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3E38C224">
      <w:pPr>
        <w:spacing w:line="540" w:lineRule="exact"/>
        <w:rPr>
          <w:rFonts w:ascii="宋体" w:hAnsi="宋体" w:cs="楷体"/>
          <w:sz w:val="24"/>
          <w:szCs w:val="24"/>
          <w:highlight w:val="none"/>
        </w:rPr>
      </w:pPr>
      <w:r>
        <w:rPr>
          <w:rFonts w:hint="eastAsia" w:ascii="宋体" w:hAnsi="宋体" w:cs="楷体"/>
          <w:sz w:val="24"/>
          <w:szCs w:val="24"/>
          <w:highlight w:val="none"/>
        </w:rPr>
        <w:t>其他关于分包的约定：</w:t>
      </w:r>
      <w:r>
        <w:rPr>
          <w:rFonts w:hint="eastAsia" w:ascii="宋体" w:hAnsi="宋体" w:cs="楷体"/>
          <w:sz w:val="24"/>
          <w:szCs w:val="24"/>
          <w:highlight w:val="none"/>
          <w:u w:val="single"/>
        </w:rPr>
        <w:t xml:space="preserve"> 本工程发包人同意承包人分包的工程不得转包或分包。必须分包的需甲方书面同意</w:t>
      </w:r>
      <w:r>
        <w:rPr>
          <w:rFonts w:hint="eastAsia" w:ascii="宋体" w:hAnsi="宋体" w:cs="楷体"/>
          <w:sz w:val="24"/>
          <w:szCs w:val="24"/>
          <w:highlight w:val="none"/>
        </w:rPr>
        <w:t>。</w:t>
      </w:r>
    </w:p>
    <w:p w14:paraId="6A946B1E">
      <w:pPr>
        <w:spacing w:line="540" w:lineRule="exact"/>
        <w:rPr>
          <w:rFonts w:ascii="宋体" w:hAnsi="宋体" w:cs="楷体"/>
          <w:sz w:val="24"/>
          <w:szCs w:val="24"/>
          <w:highlight w:val="none"/>
        </w:rPr>
      </w:pPr>
      <w:r>
        <w:rPr>
          <w:rFonts w:hint="eastAsia" w:ascii="宋体" w:hAnsi="宋体" w:cs="楷体"/>
          <w:sz w:val="24"/>
          <w:szCs w:val="24"/>
          <w:highlight w:val="none"/>
        </w:rPr>
        <w:t>3.5.4 分包合同价款</w:t>
      </w:r>
    </w:p>
    <w:p w14:paraId="6BA59817">
      <w:pPr>
        <w:spacing w:line="540" w:lineRule="exact"/>
        <w:rPr>
          <w:rFonts w:ascii="宋体" w:hAnsi="宋体" w:cs="楷体"/>
          <w:sz w:val="24"/>
          <w:szCs w:val="24"/>
          <w:highlight w:val="none"/>
        </w:rPr>
      </w:pPr>
      <w:r>
        <w:rPr>
          <w:rFonts w:hint="eastAsia" w:ascii="宋体" w:hAnsi="宋体" w:cs="楷体"/>
          <w:sz w:val="24"/>
          <w:szCs w:val="24"/>
          <w:highlight w:val="none"/>
        </w:rPr>
        <w:t>关于分包合同价款支付的约定：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82D9F25">
      <w:pPr>
        <w:spacing w:line="540" w:lineRule="exact"/>
        <w:rPr>
          <w:rFonts w:ascii="宋体" w:hAnsi="宋体" w:cs="楷体"/>
          <w:sz w:val="24"/>
          <w:szCs w:val="24"/>
          <w:highlight w:val="none"/>
        </w:rPr>
      </w:pPr>
      <w:r>
        <w:rPr>
          <w:rFonts w:hint="eastAsia" w:ascii="宋体" w:hAnsi="宋体" w:cs="楷体"/>
          <w:bCs/>
          <w:sz w:val="24"/>
          <w:szCs w:val="24"/>
          <w:highlight w:val="none"/>
        </w:rPr>
        <w:t>3.6</w:t>
      </w:r>
      <w:r>
        <w:rPr>
          <w:rFonts w:hint="eastAsia" w:ascii="宋体" w:hAnsi="宋体" w:cs="楷体"/>
          <w:sz w:val="24"/>
          <w:szCs w:val="24"/>
          <w:highlight w:val="none"/>
        </w:rPr>
        <w:t xml:space="preserve"> 工程照管与成品、半成品保护</w:t>
      </w:r>
    </w:p>
    <w:p w14:paraId="3CCE65DE">
      <w:pPr>
        <w:spacing w:line="540" w:lineRule="exact"/>
        <w:rPr>
          <w:rFonts w:ascii="宋体" w:hAnsi="宋体" w:cs="楷体"/>
          <w:sz w:val="24"/>
          <w:szCs w:val="24"/>
          <w:highlight w:val="none"/>
          <w:u w:val="single"/>
        </w:rPr>
      </w:pPr>
      <w:r>
        <w:rPr>
          <w:rFonts w:hint="eastAsia" w:ascii="宋体" w:hAnsi="宋体" w:cs="楷体"/>
          <w:sz w:val="24"/>
          <w:szCs w:val="24"/>
          <w:highlight w:val="none"/>
        </w:rPr>
        <w:t>承包人负责照管工程及工程相关的材料、工程设备的起始时间：</w:t>
      </w:r>
      <w:r>
        <w:rPr>
          <w:rFonts w:hint="eastAsia" w:ascii="宋体" w:hAnsi="宋体" w:cs="楷体"/>
          <w:sz w:val="24"/>
          <w:szCs w:val="24"/>
          <w:highlight w:val="none"/>
          <w:u w:val="single"/>
        </w:rPr>
        <w:t xml:space="preserve">  设备人员进场至验收交付使用前由承包人负责保修，无其他特殊要求得，费用由承包人承担  </w:t>
      </w:r>
      <w:r>
        <w:rPr>
          <w:rFonts w:hint="eastAsia" w:ascii="宋体" w:hAnsi="宋体" w:cs="楷体"/>
          <w:sz w:val="24"/>
          <w:szCs w:val="24"/>
          <w:highlight w:val="none"/>
        </w:rPr>
        <w:t>。</w:t>
      </w:r>
    </w:p>
    <w:p w14:paraId="5979489D">
      <w:pPr>
        <w:spacing w:line="540" w:lineRule="exact"/>
        <w:rPr>
          <w:rFonts w:ascii="宋体" w:hAnsi="宋体" w:cs="楷体"/>
          <w:sz w:val="24"/>
          <w:szCs w:val="24"/>
          <w:highlight w:val="none"/>
        </w:rPr>
      </w:pPr>
      <w:r>
        <w:rPr>
          <w:rFonts w:hint="eastAsia" w:ascii="宋体" w:hAnsi="宋体" w:cs="楷体"/>
          <w:bCs/>
          <w:sz w:val="24"/>
          <w:szCs w:val="24"/>
          <w:highlight w:val="none"/>
        </w:rPr>
        <w:t>3.7</w:t>
      </w:r>
      <w:r>
        <w:rPr>
          <w:rFonts w:hint="eastAsia" w:ascii="宋体" w:hAnsi="宋体" w:cs="楷体"/>
          <w:sz w:val="24"/>
          <w:szCs w:val="24"/>
          <w:highlight w:val="none"/>
        </w:rPr>
        <w:t xml:space="preserve"> 履约担保</w:t>
      </w:r>
    </w:p>
    <w:p w14:paraId="490A2B2A">
      <w:pPr>
        <w:spacing w:line="540" w:lineRule="exact"/>
        <w:rPr>
          <w:rFonts w:ascii="宋体" w:hAnsi="宋体" w:cs="楷体"/>
          <w:sz w:val="24"/>
          <w:szCs w:val="24"/>
          <w:highlight w:val="none"/>
        </w:rPr>
      </w:pPr>
      <w:r>
        <w:rPr>
          <w:rFonts w:hint="eastAsia" w:ascii="宋体" w:hAnsi="宋体" w:cs="楷体"/>
          <w:sz w:val="24"/>
          <w:szCs w:val="24"/>
          <w:highlight w:val="none"/>
        </w:rPr>
        <w:t>承包人是否提供履约担保：</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903C8FB">
      <w:pPr>
        <w:spacing w:line="540" w:lineRule="exact"/>
        <w:rPr>
          <w:rFonts w:ascii="宋体" w:hAnsi="宋体" w:cs="楷体"/>
          <w:sz w:val="24"/>
          <w:szCs w:val="24"/>
          <w:highlight w:val="none"/>
        </w:rPr>
      </w:pPr>
      <w:r>
        <w:rPr>
          <w:rFonts w:hint="eastAsia" w:ascii="宋体" w:hAnsi="宋体" w:cs="楷体"/>
          <w:sz w:val="24"/>
          <w:szCs w:val="24"/>
          <w:highlight w:val="none"/>
        </w:rPr>
        <w:t>承包人提供履约担保的形式、金额及期限的：。</w:t>
      </w:r>
    </w:p>
    <w:p w14:paraId="4C7A5DE5">
      <w:pPr>
        <w:keepNext/>
        <w:spacing w:line="540" w:lineRule="exact"/>
        <w:outlineLvl w:val="3"/>
        <w:rPr>
          <w:rFonts w:ascii="宋体" w:hAnsi="宋体" w:cs="楷体"/>
          <w:b/>
          <w:bCs/>
          <w:sz w:val="24"/>
          <w:szCs w:val="24"/>
          <w:highlight w:val="none"/>
        </w:rPr>
      </w:pPr>
      <w:bookmarkStart w:id="574" w:name="_Toc351203636"/>
      <w:bookmarkEnd w:id="574"/>
      <w:r>
        <w:rPr>
          <w:rFonts w:hint="eastAsia" w:ascii="宋体" w:hAnsi="宋体" w:cs="楷体"/>
          <w:b/>
          <w:bCs/>
          <w:sz w:val="24"/>
          <w:szCs w:val="24"/>
          <w:highlight w:val="none"/>
        </w:rPr>
        <w:t>4</w:t>
      </w:r>
      <w:bookmarkStart w:id="575" w:name="_Toc297048348"/>
      <w:bookmarkEnd w:id="575"/>
      <w:bookmarkStart w:id="576" w:name="_Toc296347161"/>
      <w:bookmarkEnd w:id="576"/>
      <w:bookmarkStart w:id="577" w:name="_Toc296503162"/>
      <w:bookmarkEnd w:id="577"/>
      <w:bookmarkStart w:id="578" w:name="_Toc296891202"/>
      <w:bookmarkEnd w:id="578"/>
      <w:bookmarkStart w:id="579" w:name="_Toc296346663"/>
      <w:bookmarkEnd w:id="579"/>
      <w:bookmarkStart w:id="580" w:name="_Toc296944501"/>
      <w:bookmarkEnd w:id="580"/>
      <w:bookmarkStart w:id="581" w:name="_Toc267251413"/>
      <w:bookmarkEnd w:id="581"/>
      <w:bookmarkStart w:id="582" w:name="_Toc296890990"/>
      <w:bookmarkEnd w:id="582"/>
      <w:bookmarkStart w:id="583" w:name="_Toc292559366"/>
      <w:bookmarkEnd w:id="583"/>
      <w:bookmarkStart w:id="584" w:name="_Toc297120462"/>
      <w:bookmarkEnd w:id="584"/>
      <w:bookmarkStart w:id="585" w:name="_Toc292559871"/>
      <w:r>
        <w:rPr>
          <w:rFonts w:hint="eastAsia" w:ascii="宋体" w:hAnsi="宋体" w:cs="楷体"/>
          <w:b/>
          <w:bCs/>
          <w:sz w:val="24"/>
          <w:szCs w:val="24"/>
          <w:highlight w:val="none"/>
        </w:rPr>
        <w:t>. 监</w:t>
      </w:r>
      <w:bookmarkEnd w:id="585"/>
      <w:r>
        <w:rPr>
          <w:rFonts w:hint="eastAsia" w:ascii="宋体" w:hAnsi="宋体" w:cs="楷体"/>
          <w:b/>
          <w:bCs/>
          <w:sz w:val="24"/>
          <w:szCs w:val="24"/>
          <w:highlight w:val="none"/>
        </w:rPr>
        <w:t>理人</w:t>
      </w:r>
    </w:p>
    <w:p w14:paraId="255373C8">
      <w:pPr>
        <w:spacing w:line="540" w:lineRule="exact"/>
        <w:rPr>
          <w:rFonts w:ascii="宋体" w:hAnsi="宋体" w:cs="楷体"/>
          <w:sz w:val="24"/>
          <w:szCs w:val="24"/>
          <w:highlight w:val="none"/>
        </w:rPr>
      </w:pPr>
      <w:r>
        <w:rPr>
          <w:rFonts w:hint="eastAsia" w:ascii="宋体" w:hAnsi="宋体" w:cs="楷体"/>
          <w:bCs/>
          <w:sz w:val="24"/>
          <w:szCs w:val="24"/>
          <w:highlight w:val="none"/>
        </w:rPr>
        <w:t>4.1</w:t>
      </w:r>
      <w:r>
        <w:rPr>
          <w:rFonts w:hint="eastAsia" w:ascii="宋体" w:hAnsi="宋体" w:cs="楷体"/>
          <w:sz w:val="24"/>
          <w:szCs w:val="24"/>
          <w:highlight w:val="none"/>
        </w:rPr>
        <w:t>监理人的一般规定</w:t>
      </w:r>
    </w:p>
    <w:p w14:paraId="7F761333">
      <w:pPr>
        <w:spacing w:line="540" w:lineRule="exact"/>
        <w:rPr>
          <w:rFonts w:ascii="宋体" w:hAnsi="宋体" w:cs="楷体"/>
          <w:sz w:val="24"/>
          <w:szCs w:val="24"/>
          <w:highlight w:val="none"/>
        </w:rPr>
      </w:pPr>
      <w:r>
        <w:rPr>
          <w:rFonts w:hint="eastAsia" w:ascii="宋体" w:hAnsi="宋体" w:cs="楷体"/>
          <w:sz w:val="24"/>
          <w:szCs w:val="24"/>
          <w:highlight w:val="none"/>
        </w:rPr>
        <w:t>关于监理人的监理内容：</w:t>
      </w:r>
      <w:r>
        <w:rPr>
          <w:rFonts w:hint="eastAsia" w:ascii="宋体" w:hAnsi="宋体" w:cs="楷体"/>
          <w:sz w:val="24"/>
          <w:szCs w:val="24"/>
          <w:highlight w:val="none"/>
          <w:u w:val="single"/>
        </w:rPr>
        <w:t xml:space="preserve">     见监理合同                </w:t>
      </w:r>
      <w:r>
        <w:rPr>
          <w:rFonts w:hint="eastAsia" w:ascii="宋体" w:hAnsi="宋体" w:cs="楷体"/>
          <w:sz w:val="24"/>
          <w:szCs w:val="24"/>
          <w:highlight w:val="none"/>
        </w:rPr>
        <w:t>。</w:t>
      </w:r>
    </w:p>
    <w:p w14:paraId="4FE7FD2F">
      <w:pPr>
        <w:spacing w:line="540" w:lineRule="exact"/>
        <w:rPr>
          <w:rFonts w:ascii="宋体" w:hAnsi="宋体" w:cs="楷体"/>
          <w:sz w:val="24"/>
          <w:szCs w:val="24"/>
          <w:highlight w:val="none"/>
        </w:rPr>
      </w:pPr>
      <w:r>
        <w:rPr>
          <w:rFonts w:hint="eastAsia" w:ascii="宋体" w:hAnsi="宋体" w:cs="楷体"/>
          <w:sz w:val="24"/>
          <w:szCs w:val="24"/>
          <w:highlight w:val="none"/>
        </w:rPr>
        <w:t>关于监理人的监理权限：</w:t>
      </w:r>
      <w:r>
        <w:rPr>
          <w:rFonts w:hint="eastAsia" w:ascii="宋体" w:hAnsi="宋体" w:cs="楷体"/>
          <w:sz w:val="24"/>
          <w:szCs w:val="24"/>
          <w:highlight w:val="none"/>
          <w:u w:val="single"/>
        </w:rPr>
        <w:t xml:space="preserve">      见监理合同                </w:t>
      </w:r>
      <w:r>
        <w:rPr>
          <w:rFonts w:hint="eastAsia" w:ascii="宋体" w:hAnsi="宋体" w:cs="楷体"/>
          <w:sz w:val="24"/>
          <w:szCs w:val="24"/>
          <w:highlight w:val="none"/>
        </w:rPr>
        <w:t xml:space="preserve">。 </w:t>
      </w:r>
    </w:p>
    <w:p w14:paraId="5296C4E7">
      <w:pPr>
        <w:spacing w:line="540" w:lineRule="exact"/>
        <w:rPr>
          <w:rFonts w:ascii="宋体" w:hAnsi="宋体" w:cs="楷体"/>
          <w:sz w:val="24"/>
          <w:szCs w:val="24"/>
          <w:highlight w:val="none"/>
          <w:u w:val="single"/>
        </w:rPr>
      </w:pPr>
      <w:r>
        <w:rPr>
          <w:rFonts w:hint="eastAsia" w:ascii="宋体" w:hAnsi="宋体" w:cs="楷体"/>
          <w:sz w:val="24"/>
          <w:szCs w:val="24"/>
          <w:highlight w:val="none"/>
        </w:rPr>
        <w:t>关于监理人在施工现场的办公场所、生活场所的提供和费用承担的约定：</w:t>
      </w:r>
      <w:r>
        <w:rPr>
          <w:rFonts w:hint="eastAsia" w:ascii="宋体" w:hAnsi="宋体" w:cs="楷体"/>
          <w:sz w:val="24"/>
          <w:szCs w:val="24"/>
          <w:highlight w:val="none"/>
          <w:u w:val="single"/>
        </w:rPr>
        <w:t xml:space="preserve"> 见监理合同                        </w:t>
      </w:r>
    </w:p>
    <w:p w14:paraId="634F874A">
      <w:pPr>
        <w:spacing w:line="540" w:lineRule="exact"/>
        <w:rPr>
          <w:rFonts w:ascii="宋体" w:hAnsi="宋体" w:cs="楷体"/>
          <w:sz w:val="24"/>
          <w:szCs w:val="24"/>
          <w:highlight w:val="none"/>
        </w:rPr>
      </w:pPr>
      <w:r>
        <w:rPr>
          <w:rFonts w:hint="eastAsia" w:ascii="宋体" w:hAnsi="宋体" w:cs="楷体"/>
          <w:bCs/>
          <w:sz w:val="24"/>
          <w:szCs w:val="24"/>
          <w:highlight w:val="none"/>
        </w:rPr>
        <w:t>4.2</w:t>
      </w:r>
      <w:r>
        <w:rPr>
          <w:rFonts w:hint="eastAsia" w:ascii="宋体" w:hAnsi="宋体" w:cs="楷体"/>
          <w:sz w:val="24"/>
          <w:szCs w:val="24"/>
          <w:highlight w:val="none"/>
        </w:rPr>
        <w:t xml:space="preserve"> 监理人员</w:t>
      </w:r>
    </w:p>
    <w:p w14:paraId="3C27C237">
      <w:pPr>
        <w:spacing w:line="540" w:lineRule="exact"/>
        <w:rPr>
          <w:rFonts w:ascii="宋体" w:hAnsi="宋体" w:cs="楷体"/>
          <w:sz w:val="24"/>
          <w:szCs w:val="24"/>
          <w:highlight w:val="none"/>
        </w:rPr>
      </w:pPr>
      <w:r>
        <w:rPr>
          <w:rFonts w:hint="eastAsia" w:ascii="宋体" w:hAnsi="宋体" w:cs="楷体"/>
          <w:sz w:val="24"/>
          <w:szCs w:val="24"/>
          <w:highlight w:val="none"/>
        </w:rPr>
        <w:t>总监理工程师：</w:t>
      </w:r>
    </w:p>
    <w:p w14:paraId="47F0EA47">
      <w:pPr>
        <w:spacing w:line="540" w:lineRule="exact"/>
        <w:rPr>
          <w:rFonts w:ascii="宋体" w:hAnsi="宋体" w:cs="楷体"/>
          <w:sz w:val="24"/>
          <w:szCs w:val="24"/>
          <w:highlight w:val="none"/>
        </w:rPr>
      </w:pPr>
      <w:r>
        <w:rPr>
          <w:rFonts w:hint="eastAsia" w:ascii="宋体" w:hAnsi="宋体" w:cs="楷体"/>
          <w:sz w:val="24"/>
          <w:szCs w:val="24"/>
          <w:highlight w:val="none"/>
        </w:rPr>
        <w:t>姓    名：；</w:t>
      </w:r>
    </w:p>
    <w:p w14:paraId="4B2EB424">
      <w:pPr>
        <w:spacing w:line="540" w:lineRule="exact"/>
        <w:rPr>
          <w:rFonts w:ascii="宋体" w:hAnsi="宋体" w:cs="楷体"/>
          <w:sz w:val="24"/>
          <w:szCs w:val="24"/>
          <w:highlight w:val="none"/>
        </w:rPr>
      </w:pPr>
      <w:r>
        <w:rPr>
          <w:rFonts w:hint="eastAsia" w:ascii="宋体" w:hAnsi="宋体" w:cs="楷体"/>
          <w:sz w:val="24"/>
          <w:szCs w:val="24"/>
          <w:highlight w:val="none"/>
        </w:rPr>
        <w:t>职    务：；</w:t>
      </w:r>
    </w:p>
    <w:p w14:paraId="154CCB7B">
      <w:pPr>
        <w:spacing w:line="540" w:lineRule="exact"/>
        <w:rPr>
          <w:rFonts w:ascii="宋体" w:hAnsi="宋体" w:cs="楷体"/>
          <w:sz w:val="24"/>
          <w:szCs w:val="24"/>
          <w:highlight w:val="none"/>
        </w:rPr>
      </w:pPr>
      <w:r>
        <w:rPr>
          <w:rFonts w:hint="eastAsia" w:ascii="宋体" w:hAnsi="宋体" w:cs="楷体"/>
          <w:sz w:val="24"/>
          <w:szCs w:val="24"/>
          <w:highlight w:val="none"/>
        </w:rPr>
        <w:t>监理工程师执业资格证书号：；</w:t>
      </w:r>
    </w:p>
    <w:p w14:paraId="0B9F1453">
      <w:pPr>
        <w:spacing w:line="540" w:lineRule="exact"/>
        <w:rPr>
          <w:rFonts w:ascii="宋体" w:hAnsi="宋体" w:cs="楷体"/>
          <w:sz w:val="24"/>
          <w:szCs w:val="24"/>
          <w:highlight w:val="none"/>
        </w:rPr>
      </w:pPr>
      <w:r>
        <w:rPr>
          <w:rFonts w:hint="eastAsia" w:ascii="宋体" w:hAnsi="宋体" w:cs="楷体"/>
          <w:sz w:val="24"/>
          <w:szCs w:val="24"/>
          <w:highlight w:val="none"/>
        </w:rPr>
        <w:t>联系电话：；</w:t>
      </w:r>
    </w:p>
    <w:p w14:paraId="0A1EFC23">
      <w:pPr>
        <w:spacing w:line="540" w:lineRule="exact"/>
        <w:rPr>
          <w:rFonts w:ascii="宋体" w:hAnsi="宋体" w:cs="楷体"/>
          <w:sz w:val="24"/>
          <w:szCs w:val="24"/>
          <w:highlight w:val="none"/>
        </w:rPr>
      </w:pPr>
      <w:r>
        <w:rPr>
          <w:rFonts w:hint="eastAsia" w:ascii="宋体" w:hAnsi="宋体" w:cs="楷体"/>
          <w:sz w:val="24"/>
          <w:szCs w:val="24"/>
          <w:highlight w:val="none"/>
        </w:rPr>
        <w:t>电子信箱：；</w:t>
      </w:r>
    </w:p>
    <w:p w14:paraId="1473F716">
      <w:pPr>
        <w:spacing w:line="540" w:lineRule="exact"/>
        <w:rPr>
          <w:rFonts w:ascii="宋体" w:hAnsi="宋体" w:cs="楷体"/>
          <w:sz w:val="24"/>
          <w:szCs w:val="24"/>
          <w:highlight w:val="none"/>
        </w:rPr>
      </w:pPr>
      <w:r>
        <w:rPr>
          <w:rFonts w:hint="eastAsia" w:ascii="宋体" w:hAnsi="宋体" w:cs="楷体"/>
          <w:sz w:val="24"/>
          <w:szCs w:val="24"/>
          <w:highlight w:val="none"/>
        </w:rPr>
        <w:t>通信地址：；</w:t>
      </w:r>
    </w:p>
    <w:p w14:paraId="7FE5B70C">
      <w:pPr>
        <w:spacing w:line="540" w:lineRule="exact"/>
        <w:rPr>
          <w:rFonts w:ascii="宋体" w:hAnsi="宋体" w:cs="楷体"/>
          <w:sz w:val="24"/>
          <w:szCs w:val="24"/>
          <w:highlight w:val="none"/>
        </w:rPr>
      </w:pPr>
      <w:r>
        <w:rPr>
          <w:rFonts w:hint="eastAsia" w:ascii="宋体" w:hAnsi="宋体" w:cs="楷体"/>
          <w:sz w:val="24"/>
          <w:szCs w:val="24"/>
          <w:highlight w:val="none"/>
        </w:rPr>
        <w:t>关于监理人的其他约定：。</w:t>
      </w:r>
    </w:p>
    <w:p w14:paraId="06CAF0AD">
      <w:pPr>
        <w:spacing w:line="540" w:lineRule="exact"/>
        <w:rPr>
          <w:rFonts w:ascii="宋体" w:hAnsi="宋体" w:cs="楷体"/>
          <w:sz w:val="24"/>
          <w:szCs w:val="24"/>
          <w:highlight w:val="none"/>
        </w:rPr>
      </w:pPr>
      <w:r>
        <w:rPr>
          <w:rFonts w:hint="eastAsia" w:ascii="宋体" w:hAnsi="宋体" w:cs="楷体"/>
          <w:bCs/>
          <w:sz w:val="24"/>
          <w:szCs w:val="24"/>
          <w:highlight w:val="none"/>
        </w:rPr>
        <w:t>4.3</w:t>
      </w:r>
      <w:r>
        <w:rPr>
          <w:rFonts w:hint="eastAsia" w:ascii="宋体" w:hAnsi="宋体" w:cs="楷体"/>
          <w:sz w:val="24"/>
          <w:szCs w:val="24"/>
          <w:highlight w:val="none"/>
        </w:rPr>
        <w:t xml:space="preserve"> 商定或确定</w:t>
      </w:r>
    </w:p>
    <w:p w14:paraId="4B70F448">
      <w:pPr>
        <w:spacing w:line="540" w:lineRule="exact"/>
        <w:rPr>
          <w:rFonts w:ascii="宋体" w:hAnsi="宋体" w:cs="楷体"/>
          <w:sz w:val="24"/>
          <w:szCs w:val="24"/>
          <w:highlight w:val="none"/>
        </w:rPr>
      </w:pPr>
      <w:bookmarkStart w:id="586" w:name="_Toc267251418"/>
      <w:bookmarkEnd w:id="586"/>
      <w:r>
        <w:rPr>
          <w:rFonts w:hint="eastAsia" w:ascii="宋体" w:hAnsi="宋体" w:cs="楷体"/>
          <w:sz w:val="24"/>
          <w:szCs w:val="24"/>
          <w:highlight w:val="none"/>
        </w:rPr>
        <w:t>在发包人和承包人不能通过协商达成一致意见时，发包人授权监理人对以下事项进行确定：</w:t>
      </w:r>
    </w:p>
    <w:p w14:paraId="060337A9">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0869FE66">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（2）</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F2B4522">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（3）</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B4EF606">
      <w:pPr>
        <w:keepNext/>
        <w:spacing w:line="540" w:lineRule="exact"/>
        <w:outlineLvl w:val="3"/>
        <w:rPr>
          <w:rFonts w:ascii="宋体" w:hAnsi="宋体" w:cs="楷体"/>
          <w:b/>
          <w:bCs/>
          <w:sz w:val="24"/>
          <w:szCs w:val="24"/>
          <w:highlight w:val="none"/>
        </w:rPr>
      </w:pPr>
      <w:bookmarkStart w:id="587" w:name="_Toc351203637"/>
      <w:bookmarkEnd w:id="587"/>
      <w:r>
        <w:rPr>
          <w:rFonts w:hint="eastAsia" w:ascii="宋体" w:hAnsi="宋体" w:cs="楷体"/>
          <w:b/>
          <w:bCs/>
          <w:sz w:val="24"/>
          <w:szCs w:val="24"/>
          <w:highlight w:val="none"/>
        </w:rPr>
        <w:t>5</w:t>
      </w:r>
      <w:bookmarkStart w:id="588" w:name="_Toc296891203"/>
      <w:bookmarkEnd w:id="588"/>
      <w:bookmarkStart w:id="589" w:name="_Toc296346664"/>
      <w:bookmarkEnd w:id="589"/>
      <w:bookmarkStart w:id="590" w:name="_Toc292559367"/>
      <w:bookmarkEnd w:id="590"/>
      <w:bookmarkStart w:id="591" w:name="_Toc297120463"/>
      <w:bookmarkEnd w:id="591"/>
      <w:bookmarkStart w:id="592" w:name="_Toc292559872"/>
      <w:bookmarkEnd w:id="592"/>
      <w:bookmarkStart w:id="593" w:name="_Toc296944502"/>
      <w:bookmarkEnd w:id="593"/>
      <w:bookmarkStart w:id="594" w:name="_Toc297048349"/>
      <w:bookmarkEnd w:id="594"/>
      <w:bookmarkStart w:id="595" w:name="_Toc296890991"/>
      <w:bookmarkEnd w:id="595"/>
      <w:bookmarkStart w:id="596" w:name="_Toc296347162"/>
      <w:bookmarkEnd w:id="596"/>
      <w:bookmarkStart w:id="597" w:name="_Toc296503163"/>
      <w:r>
        <w:rPr>
          <w:rFonts w:hint="eastAsia" w:ascii="宋体" w:hAnsi="宋体" w:cs="楷体"/>
          <w:b/>
          <w:bCs/>
          <w:sz w:val="24"/>
          <w:szCs w:val="24"/>
          <w:highlight w:val="none"/>
        </w:rPr>
        <w:t>. 工程质量</w:t>
      </w:r>
      <w:bookmarkEnd w:id="597"/>
    </w:p>
    <w:p w14:paraId="4E99F89F">
      <w:pPr>
        <w:spacing w:line="540" w:lineRule="exact"/>
        <w:rPr>
          <w:rFonts w:ascii="宋体" w:hAnsi="宋体" w:cs="楷体"/>
          <w:sz w:val="24"/>
          <w:szCs w:val="24"/>
          <w:highlight w:val="none"/>
        </w:rPr>
      </w:pPr>
      <w:r>
        <w:rPr>
          <w:rFonts w:hint="eastAsia" w:ascii="宋体" w:hAnsi="宋体" w:cs="楷体"/>
          <w:bCs/>
          <w:sz w:val="24"/>
          <w:szCs w:val="24"/>
          <w:highlight w:val="none"/>
        </w:rPr>
        <w:t>5.1</w:t>
      </w:r>
      <w:r>
        <w:rPr>
          <w:rFonts w:hint="eastAsia" w:ascii="宋体" w:hAnsi="宋体" w:cs="楷体"/>
          <w:sz w:val="24"/>
          <w:szCs w:val="24"/>
          <w:highlight w:val="none"/>
        </w:rPr>
        <w:t xml:space="preserve"> 质量要求</w:t>
      </w:r>
    </w:p>
    <w:p w14:paraId="145C6D24">
      <w:pPr>
        <w:spacing w:line="540" w:lineRule="exact"/>
        <w:rPr>
          <w:rFonts w:ascii="宋体" w:hAnsi="宋体" w:cs="楷体"/>
          <w:sz w:val="24"/>
          <w:szCs w:val="24"/>
          <w:highlight w:val="none"/>
        </w:rPr>
      </w:pPr>
      <w:r>
        <w:rPr>
          <w:rFonts w:hint="eastAsia" w:ascii="宋体" w:hAnsi="宋体" w:cs="楷体"/>
          <w:sz w:val="24"/>
          <w:szCs w:val="24"/>
          <w:highlight w:val="none"/>
        </w:rPr>
        <w:t>5</w:t>
      </w:r>
      <w:bookmarkStart w:id="598" w:name="_Toc297123496"/>
      <w:bookmarkEnd w:id="598"/>
      <w:bookmarkStart w:id="599" w:name="_Toc318581164"/>
      <w:bookmarkEnd w:id="599"/>
      <w:bookmarkStart w:id="600" w:name="_Toc303539106"/>
      <w:bookmarkEnd w:id="600"/>
      <w:bookmarkStart w:id="601" w:name="_Toc304295527"/>
      <w:bookmarkEnd w:id="601"/>
      <w:bookmarkStart w:id="602" w:name="_Toc312677997"/>
      <w:bookmarkEnd w:id="602"/>
      <w:bookmarkStart w:id="603" w:name="_Toc297216155"/>
      <w:bookmarkEnd w:id="603"/>
      <w:bookmarkStart w:id="604" w:name="_Toc300934949"/>
      <w:r>
        <w:rPr>
          <w:rFonts w:hint="eastAsia" w:ascii="宋体" w:hAnsi="宋体" w:cs="楷体"/>
          <w:sz w:val="24"/>
          <w:szCs w:val="24"/>
          <w:highlight w:val="none"/>
        </w:rPr>
        <w:t>.1.1 特殊质量标准和要求：</w:t>
      </w:r>
      <w:bookmarkEnd w:id="604"/>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077C0D3E">
      <w:pPr>
        <w:spacing w:line="540" w:lineRule="exact"/>
        <w:rPr>
          <w:rFonts w:ascii="宋体" w:hAnsi="宋体" w:cs="楷体"/>
          <w:sz w:val="24"/>
          <w:szCs w:val="24"/>
          <w:highlight w:val="none"/>
        </w:rPr>
      </w:pPr>
      <w:r>
        <w:rPr>
          <w:rFonts w:hint="eastAsia" w:ascii="宋体" w:hAnsi="宋体" w:cs="楷体"/>
          <w:sz w:val="24"/>
          <w:szCs w:val="24"/>
          <w:highlight w:val="none"/>
        </w:rPr>
        <w:t>关于工程奖项的约定：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4FBABC59">
      <w:pPr>
        <w:spacing w:line="540" w:lineRule="exact"/>
        <w:rPr>
          <w:rFonts w:ascii="宋体" w:hAnsi="宋体" w:cs="楷体"/>
          <w:sz w:val="24"/>
          <w:szCs w:val="24"/>
          <w:highlight w:val="none"/>
        </w:rPr>
      </w:pPr>
      <w:r>
        <w:rPr>
          <w:rFonts w:hint="eastAsia" w:ascii="宋体" w:hAnsi="宋体" w:cs="楷体"/>
          <w:bCs/>
          <w:sz w:val="24"/>
          <w:szCs w:val="24"/>
          <w:highlight w:val="none"/>
        </w:rPr>
        <w:t>5.2</w:t>
      </w:r>
      <w:r>
        <w:rPr>
          <w:rFonts w:hint="eastAsia" w:ascii="宋体" w:hAnsi="宋体" w:cs="楷体"/>
          <w:sz w:val="24"/>
          <w:szCs w:val="24"/>
          <w:highlight w:val="none"/>
        </w:rPr>
        <w:t xml:space="preserve"> 隐蔽工程检查</w:t>
      </w:r>
    </w:p>
    <w:p w14:paraId="0631ADCD">
      <w:pPr>
        <w:spacing w:line="540" w:lineRule="exact"/>
        <w:rPr>
          <w:rFonts w:ascii="宋体" w:hAnsi="宋体" w:cs="楷体"/>
          <w:sz w:val="24"/>
          <w:szCs w:val="24"/>
          <w:highlight w:val="none"/>
          <w:u w:val="single"/>
        </w:rPr>
      </w:pPr>
      <w:r>
        <w:rPr>
          <w:rFonts w:hint="eastAsia" w:ascii="宋体" w:hAnsi="宋体" w:cs="楷体"/>
          <w:sz w:val="24"/>
          <w:szCs w:val="24"/>
          <w:highlight w:val="none"/>
        </w:rPr>
        <w:t>5.2.2承包人提前通知监理人隐蔽工程检查的期限的约定：</w:t>
      </w:r>
      <w:r>
        <w:rPr>
          <w:rFonts w:hint="eastAsia" w:ascii="宋体" w:hAnsi="宋体" w:cs="楷体"/>
          <w:sz w:val="24"/>
          <w:szCs w:val="24"/>
          <w:highlight w:val="none"/>
          <w:u w:val="single"/>
        </w:rPr>
        <w:t xml:space="preserve"> 共同检查前48小时通知监理人   </w:t>
      </w:r>
      <w:r>
        <w:rPr>
          <w:rFonts w:hint="eastAsia" w:ascii="宋体" w:hAnsi="宋体" w:cs="楷体"/>
          <w:sz w:val="24"/>
          <w:szCs w:val="24"/>
          <w:highlight w:val="none"/>
        </w:rPr>
        <w:t>。</w:t>
      </w:r>
    </w:p>
    <w:p w14:paraId="7D4124E3">
      <w:pPr>
        <w:spacing w:line="540" w:lineRule="exact"/>
        <w:rPr>
          <w:rFonts w:ascii="宋体" w:hAnsi="宋体" w:cs="楷体"/>
          <w:sz w:val="24"/>
          <w:szCs w:val="24"/>
          <w:highlight w:val="none"/>
        </w:rPr>
      </w:pPr>
      <w:r>
        <w:rPr>
          <w:rFonts w:hint="eastAsia" w:ascii="宋体" w:hAnsi="宋体" w:cs="楷体"/>
          <w:sz w:val="24"/>
          <w:szCs w:val="24"/>
          <w:highlight w:val="none"/>
        </w:rPr>
        <w:t>监理人不能按时进行检查时，应提前</w:t>
      </w:r>
      <w:r>
        <w:rPr>
          <w:rFonts w:hint="eastAsia" w:ascii="宋体" w:hAnsi="宋体" w:cs="楷体"/>
          <w:sz w:val="24"/>
          <w:szCs w:val="24"/>
          <w:highlight w:val="none"/>
          <w:u w:val="single"/>
        </w:rPr>
        <w:t xml:space="preserve">   24    </w:t>
      </w:r>
      <w:r>
        <w:rPr>
          <w:rFonts w:hint="eastAsia" w:ascii="宋体" w:hAnsi="宋体" w:cs="楷体"/>
          <w:sz w:val="24"/>
          <w:szCs w:val="24"/>
          <w:highlight w:val="none"/>
        </w:rPr>
        <w:t>小时提交书面延期要求。</w:t>
      </w:r>
    </w:p>
    <w:p w14:paraId="516948D3">
      <w:pPr>
        <w:spacing w:line="540" w:lineRule="exact"/>
        <w:rPr>
          <w:rFonts w:ascii="宋体" w:hAnsi="宋体" w:cs="楷体"/>
          <w:sz w:val="24"/>
          <w:szCs w:val="24"/>
          <w:highlight w:val="none"/>
        </w:rPr>
      </w:pPr>
      <w:r>
        <w:rPr>
          <w:rFonts w:hint="eastAsia" w:ascii="宋体" w:hAnsi="宋体" w:cs="楷体"/>
          <w:sz w:val="24"/>
          <w:szCs w:val="24"/>
          <w:highlight w:val="none"/>
        </w:rPr>
        <w:t>关于延期最长不得超过：</w:t>
      </w:r>
      <w:r>
        <w:rPr>
          <w:rFonts w:hint="eastAsia" w:ascii="宋体" w:hAnsi="宋体" w:cs="楷体"/>
          <w:sz w:val="24"/>
          <w:szCs w:val="24"/>
          <w:highlight w:val="none"/>
          <w:u w:val="single"/>
        </w:rPr>
        <w:t xml:space="preserve">    48     </w:t>
      </w:r>
      <w:r>
        <w:rPr>
          <w:rFonts w:hint="eastAsia" w:ascii="宋体" w:hAnsi="宋体" w:cs="楷体"/>
          <w:sz w:val="24"/>
          <w:szCs w:val="24"/>
          <w:highlight w:val="none"/>
        </w:rPr>
        <w:t>小时。</w:t>
      </w:r>
    </w:p>
    <w:p w14:paraId="7F1E882D">
      <w:pPr>
        <w:keepNext/>
        <w:spacing w:line="540" w:lineRule="exact"/>
        <w:outlineLvl w:val="3"/>
        <w:rPr>
          <w:rFonts w:ascii="宋体" w:hAnsi="宋体" w:cs="楷体"/>
          <w:b/>
          <w:bCs/>
          <w:sz w:val="24"/>
          <w:szCs w:val="24"/>
          <w:highlight w:val="none"/>
        </w:rPr>
      </w:pPr>
      <w:bookmarkStart w:id="605" w:name="_Toc351203638"/>
      <w:bookmarkEnd w:id="605"/>
      <w:r>
        <w:rPr>
          <w:rFonts w:hint="eastAsia" w:ascii="宋体" w:hAnsi="宋体" w:cs="楷体"/>
          <w:b/>
          <w:bCs/>
          <w:sz w:val="24"/>
          <w:szCs w:val="24"/>
          <w:highlight w:val="none"/>
        </w:rPr>
        <w:t>6. 安全文明施工与环境保护</w:t>
      </w:r>
    </w:p>
    <w:p w14:paraId="301D8FA9">
      <w:pPr>
        <w:spacing w:line="540" w:lineRule="exact"/>
        <w:rPr>
          <w:rFonts w:ascii="宋体" w:hAnsi="宋体" w:cs="楷体"/>
          <w:sz w:val="24"/>
          <w:szCs w:val="24"/>
          <w:highlight w:val="none"/>
        </w:rPr>
      </w:pPr>
      <w:r>
        <w:rPr>
          <w:rFonts w:hint="eastAsia" w:ascii="宋体" w:hAnsi="宋体" w:cs="楷体"/>
          <w:bCs/>
          <w:sz w:val="24"/>
          <w:szCs w:val="24"/>
          <w:highlight w:val="none"/>
        </w:rPr>
        <w:t>6.1</w:t>
      </w:r>
      <w:r>
        <w:rPr>
          <w:rFonts w:hint="eastAsia" w:ascii="宋体" w:hAnsi="宋体" w:cs="楷体"/>
          <w:sz w:val="24"/>
          <w:szCs w:val="24"/>
          <w:highlight w:val="none"/>
        </w:rPr>
        <w:t>安全文明施工</w:t>
      </w:r>
    </w:p>
    <w:p w14:paraId="39BCA4F8">
      <w:pPr>
        <w:spacing w:line="540" w:lineRule="exact"/>
        <w:rPr>
          <w:rFonts w:ascii="宋体" w:hAnsi="宋体" w:cs="楷体"/>
          <w:sz w:val="24"/>
          <w:szCs w:val="24"/>
          <w:highlight w:val="none"/>
        </w:rPr>
      </w:pPr>
      <w:r>
        <w:rPr>
          <w:rFonts w:hint="eastAsia" w:ascii="宋体" w:hAnsi="宋体" w:cs="楷体"/>
          <w:sz w:val="24"/>
          <w:szCs w:val="24"/>
          <w:highlight w:val="none"/>
        </w:rPr>
        <w:t>6.1.1 项目安全生产的达标目标及相应事项的约定：。</w:t>
      </w:r>
    </w:p>
    <w:p w14:paraId="74F80F27">
      <w:pPr>
        <w:spacing w:line="540" w:lineRule="exact"/>
        <w:rPr>
          <w:rFonts w:ascii="宋体" w:hAnsi="宋体" w:cs="楷体"/>
          <w:sz w:val="24"/>
          <w:szCs w:val="24"/>
          <w:highlight w:val="none"/>
        </w:rPr>
      </w:pPr>
      <w:r>
        <w:rPr>
          <w:rFonts w:hint="eastAsia" w:ascii="宋体" w:hAnsi="宋体" w:cs="楷体"/>
          <w:sz w:val="24"/>
          <w:szCs w:val="24"/>
          <w:highlight w:val="none"/>
        </w:rPr>
        <w:t>6.1.4 关于治安保卫的特别约定：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781814D">
      <w:pPr>
        <w:spacing w:line="540" w:lineRule="exact"/>
        <w:rPr>
          <w:rFonts w:ascii="宋体" w:hAnsi="宋体" w:cs="楷体"/>
          <w:sz w:val="24"/>
          <w:szCs w:val="24"/>
          <w:highlight w:val="none"/>
        </w:rPr>
      </w:pPr>
      <w:r>
        <w:rPr>
          <w:rFonts w:hint="eastAsia" w:ascii="宋体" w:hAnsi="宋体" w:cs="楷体"/>
          <w:sz w:val="24"/>
          <w:szCs w:val="24"/>
          <w:highlight w:val="none"/>
        </w:rPr>
        <w:t>关于编制施工场地治安管理计划的约定：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531B131">
      <w:pPr>
        <w:spacing w:line="540" w:lineRule="exact"/>
        <w:rPr>
          <w:rFonts w:ascii="宋体" w:hAnsi="宋体" w:cs="楷体"/>
          <w:sz w:val="24"/>
          <w:szCs w:val="24"/>
          <w:highlight w:val="none"/>
        </w:rPr>
      </w:pPr>
      <w:r>
        <w:rPr>
          <w:rFonts w:hint="eastAsia" w:ascii="宋体" w:hAnsi="宋体" w:cs="楷体"/>
          <w:sz w:val="24"/>
          <w:szCs w:val="24"/>
          <w:highlight w:val="none"/>
        </w:rPr>
        <w:t>6.1.5 文明施工</w:t>
      </w:r>
    </w:p>
    <w:p w14:paraId="19024326">
      <w:pPr>
        <w:spacing w:line="540" w:lineRule="exact"/>
        <w:rPr>
          <w:rFonts w:ascii="宋体" w:hAnsi="宋体" w:cs="楷体"/>
          <w:sz w:val="24"/>
          <w:szCs w:val="24"/>
          <w:highlight w:val="none"/>
        </w:rPr>
      </w:pPr>
      <w:r>
        <w:rPr>
          <w:rFonts w:hint="eastAsia" w:ascii="宋体" w:hAnsi="宋体" w:cs="楷体"/>
          <w:sz w:val="24"/>
          <w:szCs w:val="24"/>
          <w:highlight w:val="none"/>
        </w:rPr>
        <w:t>合同当事人对文明施工的要求：。</w:t>
      </w:r>
    </w:p>
    <w:p w14:paraId="7BEF84A3">
      <w:pPr>
        <w:spacing w:line="540" w:lineRule="exact"/>
        <w:rPr>
          <w:rFonts w:ascii="宋体" w:hAnsi="宋体" w:cs="楷体"/>
          <w:sz w:val="24"/>
          <w:szCs w:val="24"/>
          <w:highlight w:val="none"/>
        </w:rPr>
      </w:pPr>
      <w:r>
        <w:rPr>
          <w:rFonts w:hint="eastAsia" w:ascii="宋体" w:hAnsi="宋体" w:cs="楷体"/>
          <w:sz w:val="24"/>
          <w:szCs w:val="24"/>
          <w:highlight w:val="none"/>
        </w:rPr>
        <w:t>6.1.6 关于安全文明施工费支付比例和支付期限的约定：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8564E0C">
      <w:pPr>
        <w:keepNext/>
        <w:spacing w:line="540" w:lineRule="exact"/>
        <w:outlineLvl w:val="3"/>
        <w:rPr>
          <w:rFonts w:ascii="宋体" w:hAnsi="宋体" w:cs="楷体"/>
          <w:b/>
          <w:bCs/>
          <w:sz w:val="24"/>
          <w:szCs w:val="24"/>
          <w:highlight w:val="none"/>
        </w:rPr>
      </w:pPr>
      <w:bookmarkStart w:id="606" w:name="_Toc351203639"/>
      <w:bookmarkEnd w:id="606"/>
      <w:r>
        <w:rPr>
          <w:rFonts w:hint="eastAsia" w:ascii="宋体" w:hAnsi="宋体" w:cs="楷体"/>
          <w:b/>
          <w:bCs/>
          <w:sz w:val="24"/>
          <w:szCs w:val="24"/>
          <w:highlight w:val="none"/>
        </w:rPr>
        <w:t>7. 工期和进度</w:t>
      </w:r>
    </w:p>
    <w:p w14:paraId="6E958ADF">
      <w:pPr>
        <w:spacing w:line="540" w:lineRule="exact"/>
        <w:rPr>
          <w:rFonts w:ascii="宋体" w:hAnsi="宋体" w:cs="楷体"/>
          <w:sz w:val="24"/>
          <w:szCs w:val="24"/>
          <w:highlight w:val="none"/>
        </w:rPr>
      </w:pPr>
      <w:r>
        <w:rPr>
          <w:rFonts w:hint="eastAsia" w:ascii="宋体" w:hAnsi="宋体" w:cs="楷体"/>
          <w:bCs/>
          <w:sz w:val="24"/>
          <w:szCs w:val="24"/>
          <w:highlight w:val="none"/>
        </w:rPr>
        <w:t>7.1</w:t>
      </w:r>
      <w:r>
        <w:rPr>
          <w:rFonts w:hint="eastAsia" w:ascii="宋体" w:hAnsi="宋体" w:cs="楷体"/>
          <w:sz w:val="24"/>
          <w:szCs w:val="24"/>
          <w:highlight w:val="none"/>
        </w:rPr>
        <w:t xml:space="preserve"> 施工组织设计</w:t>
      </w:r>
    </w:p>
    <w:p w14:paraId="320A1473">
      <w:pPr>
        <w:autoSpaceDE w:val="0"/>
        <w:autoSpaceDN w:val="0"/>
        <w:spacing w:line="540" w:lineRule="exact"/>
        <w:rPr>
          <w:rFonts w:ascii="宋体" w:hAnsi="宋体" w:cs="楷体"/>
          <w:sz w:val="24"/>
          <w:szCs w:val="24"/>
          <w:highlight w:val="none"/>
          <w:u w:val="single"/>
        </w:rPr>
      </w:pPr>
      <w:r>
        <w:rPr>
          <w:rFonts w:hint="eastAsia" w:ascii="宋体" w:hAnsi="宋体" w:cs="楷体"/>
          <w:sz w:val="24"/>
          <w:szCs w:val="24"/>
          <w:highlight w:val="none"/>
        </w:rPr>
        <w:t>7.1.1 合同当事人约定的施工组织设计应包括的其他内容：</w:t>
      </w:r>
      <w:r>
        <w:rPr>
          <w:rFonts w:hint="eastAsia" w:ascii="宋体" w:hAnsi="宋体" w:cs="楷体"/>
          <w:sz w:val="24"/>
          <w:szCs w:val="24"/>
          <w:highlight w:val="none"/>
          <w:u w:val="single"/>
        </w:rPr>
        <w:t xml:space="preserve">   按通用条款执行</w:t>
      </w:r>
      <w:r>
        <w:rPr>
          <w:rFonts w:hint="eastAsia" w:ascii="宋体" w:hAnsi="宋体" w:cs="楷体"/>
          <w:sz w:val="24"/>
          <w:szCs w:val="24"/>
          <w:highlight w:val="none"/>
        </w:rPr>
        <w:t>。</w:t>
      </w:r>
    </w:p>
    <w:p w14:paraId="5B9B3F4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7.1.2 施工组织设计的提交和修改</w:t>
      </w:r>
    </w:p>
    <w:p w14:paraId="0649917F">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承包人提交详细施工组织设计的期限的约定：</w:t>
      </w:r>
      <w:r>
        <w:rPr>
          <w:rFonts w:hint="eastAsia" w:ascii="宋体" w:hAnsi="宋体" w:cs="楷体"/>
          <w:sz w:val="24"/>
          <w:szCs w:val="24"/>
          <w:highlight w:val="none"/>
          <w:u w:val="single"/>
        </w:rPr>
        <w:t xml:space="preserve">   开工前3天            </w:t>
      </w:r>
      <w:r>
        <w:rPr>
          <w:rFonts w:hint="eastAsia" w:ascii="宋体" w:hAnsi="宋体" w:cs="楷体"/>
          <w:sz w:val="24"/>
          <w:szCs w:val="24"/>
          <w:highlight w:val="none"/>
        </w:rPr>
        <w:t>。</w:t>
      </w:r>
    </w:p>
    <w:p w14:paraId="3E1853F6">
      <w:pPr>
        <w:spacing w:line="540" w:lineRule="exact"/>
        <w:rPr>
          <w:rFonts w:ascii="宋体" w:hAnsi="宋体" w:cs="楷体"/>
          <w:sz w:val="24"/>
          <w:szCs w:val="24"/>
          <w:highlight w:val="none"/>
          <w:u w:val="single"/>
        </w:rPr>
      </w:pPr>
      <w:r>
        <w:rPr>
          <w:rFonts w:hint="eastAsia" w:ascii="宋体" w:hAnsi="宋体" w:cs="楷体"/>
          <w:sz w:val="24"/>
          <w:szCs w:val="24"/>
          <w:highlight w:val="none"/>
        </w:rPr>
        <w:t>发包人和监理人在收到详细的施工组织设计后确认或提出修改意见的期限：</w:t>
      </w:r>
    </w:p>
    <w:p w14:paraId="142736B1">
      <w:pPr>
        <w:spacing w:line="540" w:lineRule="exact"/>
        <w:rPr>
          <w:rFonts w:ascii="宋体" w:hAnsi="宋体" w:cs="楷体"/>
          <w:sz w:val="24"/>
          <w:szCs w:val="24"/>
          <w:highlight w:val="none"/>
        </w:rPr>
      </w:pPr>
      <w:r>
        <w:rPr>
          <w:rFonts w:hint="eastAsia" w:ascii="宋体" w:hAnsi="宋体" w:cs="楷体"/>
          <w:sz w:val="24"/>
          <w:szCs w:val="24"/>
          <w:highlight w:val="none"/>
          <w:u w:val="single"/>
        </w:rPr>
        <w:t xml:space="preserve">   收到后7天内    </w:t>
      </w:r>
      <w:r>
        <w:rPr>
          <w:rFonts w:hint="eastAsia" w:ascii="宋体" w:hAnsi="宋体" w:cs="楷体"/>
          <w:sz w:val="24"/>
          <w:szCs w:val="24"/>
          <w:highlight w:val="none"/>
        </w:rPr>
        <w:t>。</w:t>
      </w:r>
    </w:p>
    <w:p w14:paraId="1881919D">
      <w:pPr>
        <w:spacing w:line="540" w:lineRule="exact"/>
        <w:rPr>
          <w:rFonts w:ascii="宋体" w:hAnsi="宋体" w:cs="楷体"/>
          <w:sz w:val="24"/>
          <w:szCs w:val="24"/>
          <w:highlight w:val="none"/>
        </w:rPr>
      </w:pPr>
      <w:r>
        <w:rPr>
          <w:rFonts w:hint="eastAsia" w:ascii="宋体" w:hAnsi="宋体" w:cs="楷体"/>
          <w:bCs/>
          <w:sz w:val="24"/>
          <w:szCs w:val="24"/>
          <w:highlight w:val="none"/>
        </w:rPr>
        <w:t>7</w:t>
      </w:r>
      <w:bookmarkStart w:id="607" w:name="_Toc297123514"/>
      <w:bookmarkEnd w:id="607"/>
      <w:bookmarkStart w:id="608" w:name="_Toc304295541"/>
      <w:bookmarkEnd w:id="608"/>
      <w:bookmarkStart w:id="609" w:name="_Toc297216173"/>
      <w:bookmarkEnd w:id="609"/>
      <w:bookmarkStart w:id="610" w:name="_Toc303539123"/>
      <w:bookmarkEnd w:id="610"/>
      <w:bookmarkStart w:id="611" w:name="_Toc312678005"/>
      <w:bookmarkEnd w:id="611"/>
      <w:bookmarkStart w:id="612" w:name="_Toc300934966"/>
      <w:bookmarkEnd w:id="612"/>
      <w:bookmarkStart w:id="613" w:name="_Toc312677479"/>
      <w:r>
        <w:rPr>
          <w:rFonts w:hint="eastAsia" w:ascii="宋体" w:hAnsi="宋体" w:cs="楷体"/>
          <w:bCs/>
          <w:sz w:val="24"/>
          <w:szCs w:val="24"/>
          <w:highlight w:val="none"/>
        </w:rPr>
        <w:t>.2</w:t>
      </w:r>
      <w:bookmarkEnd w:id="613"/>
      <w:r>
        <w:rPr>
          <w:rFonts w:hint="eastAsia" w:ascii="宋体" w:hAnsi="宋体" w:cs="楷体"/>
          <w:sz w:val="24"/>
          <w:szCs w:val="24"/>
          <w:highlight w:val="none"/>
        </w:rPr>
        <w:t xml:space="preserve"> 施工进度计划</w:t>
      </w:r>
    </w:p>
    <w:p w14:paraId="1929B8E0">
      <w:pPr>
        <w:spacing w:line="540" w:lineRule="exact"/>
        <w:rPr>
          <w:rFonts w:ascii="宋体" w:hAnsi="宋体" w:cs="楷体"/>
          <w:sz w:val="24"/>
          <w:szCs w:val="24"/>
          <w:highlight w:val="none"/>
        </w:rPr>
      </w:pPr>
      <w:r>
        <w:rPr>
          <w:rFonts w:hint="eastAsia" w:ascii="宋体" w:hAnsi="宋体" w:cs="楷体"/>
          <w:sz w:val="24"/>
          <w:szCs w:val="24"/>
          <w:highlight w:val="none"/>
        </w:rPr>
        <w:t>7.2.2 施工进度计划的修订</w:t>
      </w:r>
    </w:p>
    <w:p w14:paraId="703B93A8">
      <w:pPr>
        <w:spacing w:line="540" w:lineRule="exact"/>
        <w:rPr>
          <w:rFonts w:ascii="宋体" w:hAnsi="宋体" w:cs="楷体"/>
          <w:sz w:val="24"/>
          <w:szCs w:val="24"/>
          <w:highlight w:val="none"/>
        </w:rPr>
      </w:pPr>
      <w:r>
        <w:rPr>
          <w:rFonts w:hint="eastAsia" w:ascii="宋体" w:hAnsi="宋体" w:cs="楷体"/>
          <w:sz w:val="24"/>
          <w:szCs w:val="24"/>
          <w:highlight w:val="none"/>
        </w:rPr>
        <w:t>发包人和监理人在收到修订的施工进度计划后确认或提出修改意见的期限：</w:t>
      </w:r>
      <w:r>
        <w:rPr>
          <w:rFonts w:hint="eastAsia" w:ascii="宋体" w:hAnsi="宋体" w:cs="楷体"/>
          <w:sz w:val="24"/>
          <w:szCs w:val="24"/>
          <w:highlight w:val="none"/>
          <w:u w:val="single"/>
        </w:rPr>
        <w:t xml:space="preserve">   收到后5天内      </w:t>
      </w:r>
      <w:r>
        <w:rPr>
          <w:rFonts w:hint="eastAsia" w:ascii="宋体" w:hAnsi="宋体" w:cs="楷体"/>
          <w:sz w:val="24"/>
          <w:szCs w:val="24"/>
          <w:highlight w:val="none"/>
        </w:rPr>
        <w:t>。</w:t>
      </w:r>
    </w:p>
    <w:p w14:paraId="7F350D7B">
      <w:pPr>
        <w:spacing w:line="540" w:lineRule="exact"/>
        <w:rPr>
          <w:rFonts w:ascii="宋体" w:hAnsi="宋体" w:cs="楷体"/>
          <w:sz w:val="24"/>
          <w:szCs w:val="24"/>
          <w:highlight w:val="none"/>
        </w:rPr>
      </w:pPr>
      <w:r>
        <w:rPr>
          <w:rFonts w:hint="eastAsia" w:ascii="宋体" w:hAnsi="宋体" w:cs="楷体"/>
          <w:bCs/>
          <w:sz w:val="24"/>
          <w:szCs w:val="24"/>
          <w:highlight w:val="none"/>
        </w:rPr>
        <w:t>7.3</w:t>
      </w:r>
      <w:r>
        <w:rPr>
          <w:rFonts w:hint="eastAsia" w:ascii="宋体" w:hAnsi="宋体" w:cs="楷体"/>
          <w:sz w:val="24"/>
          <w:szCs w:val="24"/>
          <w:highlight w:val="none"/>
        </w:rPr>
        <w:t xml:space="preserve"> 开工</w:t>
      </w:r>
    </w:p>
    <w:p w14:paraId="533383D7">
      <w:pPr>
        <w:spacing w:line="540" w:lineRule="exact"/>
        <w:rPr>
          <w:rFonts w:ascii="宋体" w:hAnsi="宋体" w:cs="楷体"/>
          <w:sz w:val="24"/>
          <w:szCs w:val="24"/>
          <w:highlight w:val="none"/>
        </w:rPr>
      </w:pPr>
      <w:r>
        <w:rPr>
          <w:rFonts w:hint="eastAsia" w:ascii="宋体" w:hAnsi="宋体" w:cs="楷体"/>
          <w:sz w:val="24"/>
          <w:szCs w:val="24"/>
          <w:highlight w:val="none"/>
        </w:rPr>
        <w:t>7.3.1 开工准备</w:t>
      </w:r>
    </w:p>
    <w:p w14:paraId="1A6DC887">
      <w:pPr>
        <w:spacing w:line="540" w:lineRule="exact"/>
        <w:rPr>
          <w:rFonts w:ascii="宋体" w:hAnsi="宋体" w:cs="楷体"/>
          <w:sz w:val="24"/>
          <w:szCs w:val="24"/>
          <w:highlight w:val="none"/>
          <w:u w:val="single"/>
        </w:rPr>
      </w:pPr>
      <w:r>
        <w:rPr>
          <w:rFonts w:hint="eastAsia" w:ascii="宋体" w:hAnsi="宋体" w:cs="楷体"/>
          <w:sz w:val="24"/>
          <w:szCs w:val="24"/>
          <w:highlight w:val="none"/>
        </w:rPr>
        <w:t>关于承包人提交工程开工报审表的期限：</w:t>
      </w:r>
      <w:r>
        <w:rPr>
          <w:rFonts w:hint="eastAsia" w:ascii="宋体" w:hAnsi="宋体" w:cs="楷体"/>
          <w:sz w:val="24"/>
          <w:szCs w:val="24"/>
          <w:highlight w:val="none"/>
          <w:u w:val="single"/>
        </w:rPr>
        <w:t xml:space="preserve">    合同签订后14天内            </w:t>
      </w:r>
      <w:r>
        <w:rPr>
          <w:rFonts w:hint="eastAsia" w:ascii="宋体" w:hAnsi="宋体" w:cs="楷体"/>
          <w:sz w:val="24"/>
          <w:szCs w:val="24"/>
          <w:highlight w:val="none"/>
        </w:rPr>
        <w:t>。</w:t>
      </w:r>
    </w:p>
    <w:p w14:paraId="4DA6682C">
      <w:pPr>
        <w:spacing w:line="540" w:lineRule="exact"/>
        <w:rPr>
          <w:rFonts w:ascii="宋体" w:hAnsi="宋体" w:cs="楷体"/>
          <w:sz w:val="24"/>
          <w:szCs w:val="24"/>
          <w:highlight w:val="none"/>
          <w:u w:val="single"/>
        </w:rPr>
      </w:pPr>
      <w:r>
        <w:rPr>
          <w:rFonts w:hint="eastAsia" w:ascii="宋体" w:hAnsi="宋体" w:cs="楷体"/>
          <w:sz w:val="24"/>
          <w:szCs w:val="24"/>
          <w:highlight w:val="none"/>
        </w:rPr>
        <w:t>关于发包人应完成的其他开工准备工作及期限：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938218B">
      <w:pPr>
        <w:spacing w:line="540" w:lineRule="exact"/>
        <w:rPr>
          <w:rFonts w:ascii="宋体" w:hAnsi="宋体" w:cs="楷体"/>
          <w:sz w:val="24"/>
          <w:szCs w:val="24"/>
          <w:highlight w:val="none"/>
        </w:rPr>
      </w:pPr>
      <w:r>
        <w:rPr>
          <w:rFonts w:hint="eastAsia" w:ascii="宋体" w:hAnsi="宋体" w:cs="楷体"/>
          <w:sz w:val="24"/>
          <w:szCs w:val="24"/>
          <w:highlight w:val="none"/>
        </w:rPr>
        <w:t xml:space="preserve">关于承包人应完成的其他开工准备工作及期限： </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27DA9178">
      <w:pPr>
        <w:spacing w:line="540" w:lineRule="exact"/>
        <w:rPr>
          <w:rFonts w:ascii="宋体" w:hAnsi="宋体" w:cs="楷体"/>
          <w:sz w:val="24"/>
          <w:szCs w:val="24"/>
          <w:highlight w:val="none"/>
        </w:rPr>
      </w:pPr>
      <w:r>
        <w:rPr>
          <w:rFonts w:hint="eastAsia" w:ascii="宋体" w:hAnsi="宋体" w:cs="楷体"/>
          <w:sz w:val="24"/>
          <w:szCs w:val="24"/>
          <w:highlight w:val="none"/>
        </w:rPr>
        <w:t>7.3.2开工通知</w:t>
      </w:r>
    </w:p>
    <w:p w14:paraId="423FD78D">
      <w:pPr>
        <w:spacing w:line="540" w:lineRule="exact"/>
        <w:rPr>
          <w:rFonts w:ascii="宋体" w:hAnsi="宋体" w:cs="楷体"/>
          <w:sz w:val="24"/>
          <w:szCs w:val="24"/>
          <w:highlight w:val="none"/>
        </w:rPr>
      </w:pPr>
      <w:r>
        <w:rPr>
          <w:rFonts w:hint="eastAsia" w:ascii="宋体" w:hAnsi="宋体" w:cs="楷体"/>
          <w:sz w:val="24"/>
          <w:szCs w:val="24"/>
          <w:highlight w:val="none"/>
        </w:rPr>
        <w:t>因发包人原因造成监理人未能在计划开工日期之日起</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天内发出开工通知的，承包人有权提出价格调整要求，或者解除合同。</w:t>
      </w:r>
    </w:p>
    <w:p w14:paraId="58E850A5">
      <w:pPr>
        <w:spacing w:line="540" w:lineRule="exact"/>
        <w:rPr>
          <w:rFonts w:ascii="宋体" w:hAnsi="宋体" w:cs="楷体"/>
          <w:sz w:val="24"/>
          <w:szCs w:val="24"/>
          <w:highlight w:val="none"/>
        </w:rPr>
      </w:pPr>
      <w:r>
        <w:rPr>
          <w:rFonts w:hint="eastAsia" w:ascii="宋体" w:hAnsi="宋体" w:cs="楷体"/>
          <w:bCs/>
          <w:sz w:val="24"/>
          <w:szCs w:val="24"/>
          <w:highlight w:val="none"/>
        </w:rPr>
        <w:t>7.4</w:t>
      </w:r>
      <w:r>
        <w:rPr>
          <w:rFonts w:hint="eastAsia" w:ascii="宋体" w:hAnsi="宋体" w:cs="楷体"/>
          <w:sz w:val="24"/>
          <w:szCs w:val="24"/>
          <w:highlight w:val="none"/>
        </w:rPr>
        <w:t xml:space="preserve"> 测量放线</w:t>
      </w:r>
    </w:p>
    <w:p w14:paraId="239D8D0A">
      <w:pPr>
        <w:spacing w:line="540" w:lineRule="exact"/>
        <w:rPr>
          <w:rFonts w:ascii="宋体" w:hAnsi="宋体" w:cs="楷体"/>
          <w:sz w:val="24"/>
          <w:szCs w:val="24"/>
          <w:highlight w:val="none"/>
          <w:u w:val="single"/>
        </w:rPr>
      </w:pPr>
      <w:r>
        <w:rPr>
          <w:rFonts w:hint="eastAsia" w:ascii="宋体" w:hAnsi="宋体" w:cs="楷体"/>
          <w:sz w:val="24"/>
          <w:szCs w:val="24"/>
          <w:highlight w:val="none"/>
        </w:rPr>
        <w:t>7.4.1发包人通过监理人向承包人提供测量基准点、基准线和水准点及其书面资料的期限：</w:t>
      </w:r>
      <w:r>
        <w:rPr>
          <w:rFonts w:hint="eastAsia" w:ascii="宋体" w:hAnsi="宋体" w:cs="楷体"/>
          <w:sz w:val="24"/>
          <w:szCs w:val="24"/>
          <w:highlight w:val="none"/>
          <w:u w:val="single"/>
        </w:rPr>
        <w:t xml:space="preserve">   合同签订后10天内      </w:t>
      </w:r>
      <w:r>
        <w:rPr>
          <w:rFonts w:hint="eastAsia" w:ascii="宋体" w:hAnsi="宋体" w:cs="楷体"/>
          <w:sz w:val="24"/>
          <w:szCs w:val="24"/>
          <w:highlight w:val="none"/>
        </w:rPr>
        <w:t>。</w:t>
      </w:r>
    </w:p>
    <w:p w14:paraId="30AC8E11">
      <w:pPr>
        <w:spacing w:line="540" w:lineRule="exact"/>
        <w:rPr>
          <w:rFonts w:ascii="宋体" w:hAnsi="宋体" w:cs="楷体"/>
          <w:sz w:val="24"/>
          <w:szCs w:val="24"/>
          <w:highlight w:val="none"/>
        </w:rPr>
      </w:pPr>
      <w:r>
        <w:rPr>
          <w:rFonts w:hint="eastAsia" w:ascii="宋体" w:hAnsi="宋体" w:cs="楷体"/>
          <w:bCs/>
          <w:sz w:val="24"/>
          <w:szCs w:val="24"/>
          <w:highlight w:val="none"/>
        </w:rPr>
        <w:t>7</w:t>
      </w:r>
      <w:bookmarkStart w:id="614" w:name="_Toc312678010"/>
      <w:bookmarkEnd w:id="614"/>
      <w:bookmarkStart w:id="615" w:name="_Toc303539125"/>
      <w:bookmarkEnd w:id="615"/>
      <w:bookmarkStart w:id="616" w:name="_Toc297123516"/>
      <w:bookmarkEnd w:id="616"/>
      <w:bookmarkStart w:id="617" w:name="_Toc312677484"/>
      <w:bookmarkEnd w:id="617"/>
      <w:bookmarkStart w:id="618" w:name="_Toc304295546"/>
      <w:bookmarkEnd w:id="618"/>
      <w:bookmarkStart w:id="619" w:name="_Toc300934968"/>
      <w:bookmarkEnd w:id="619"/>
      <w:bookmarkStart w:id="620" w:name="_Toc297216175"/>
      <w:r>
        <w:rPr>
          <w:rFonts w:hint="eastAsia" w:ascii="宋体" w:hAnsi="宋体" w:cs="楷体"/>
          <w:bCs/>
          <w:sz w:val="24"/>
          <w:szCs w:val="24"/>
          <w:highlight w:val="none"/>
        </w:rPr>
        <w:t>.5</w:t>
      </w:r>
      <w:bookmarkEnd w:id="620"/>
      <w:r>
        <w:rPr>
          <w:rFonts w:hint="eastAsia" w:ascii="宋体" w:hAnsi="宋体" w:cs="楷体"/>
          <w:sz w:val="24"/>
          <w:szCs w:val="24"/>
          <w:highlight w:val="none"/>
        </w:rPr>
        <w:t xml:space="preserve"> 工期延误</w:t>
      </w:r>
    </w:p>
    <w:p w14:paraId="2D884D10">
      <w:pPr>
        <w:spacing w:line="540" w:lineRule="exact"/>
        <w:rPr>
          <w:rFonts w:ascii="宋体" w:hAnsi="宋体" w:cs="楷体"/>
          <w:sz w:val="24"/>
          <w:szCs w:val="24"/>
          <w:highlight w:val="none"/>
        </w:rPr>
      </w:pPr>
      <w:r>
        <w:rPr>
          <w:rFonts w:hint="eastAsia" w:ascii="宋体" w:hAnsi="宋体" w:cs="楷体"/>
          <w:sz w:val="24"/>
          <w:szCs w:val="24"/>
          <w:highlight w:val="none"/>
        </w:rPr>
        <w:t>7.5.1 因发包人原因导致工期延误</w:t>
      </w:r>
    </w:p>
    <w:p w14:paraId="27DF2872">
      <w:pPr>
        <w:spacing w:line="540" w:lineRule="exact"/>
        <w:rPr>
          <w:rFonts w:ascii="宋体" w:hAnsi="宋体" w:cs="楷体"/>
          <w:sz w:val="24"/>
          <w:szCs w:val="24"/>
          <w:highlight w:val="none"/>
        </w:rPr>
      </w:pPr>
      <w:r>
        <w:rPr>
          <w:rFonts w:hint="eastAsia" w:ascii="宋体" w:hAnsi="宋体" w:cs="楷体"/>
          <w:sz w:val="24"/>
          <w:szCs w:val="24"/>
          <w:highlight w:val="none"/>
        </w:rPr>
        <w:t>（7）因发包人原因导致工期延误的其他情形：</w:t>
      </w:r>
      <w:r>
        <w:rPr>
          <w:rFonts w:hint="eastAsia" w:ascii="宋体" w:hAnsi="宋体" w:cs="楷体"/>
          <w:sz w:val="24"/>
          <w:szCs w:val="24"/>
          <w:highlight w:val="none"/>
          <w:u w:val="single"/>
        </w:rPr>
        <w:t xml:space="preserve">   工期顺延      </w:t>
      </w:r>
      <w:r>
        <w:rPr>
          <w:rFonts w:hint="eastAsia" w:ascii="宋体" w:hAnsi="宋体" w:cs="楷体"/>
          <w:sz w:val="24"/>
          <w:szCs w:val="24"/>
          <w:highlight w:val="none"/>
        </w:rPr>
        <w:t>。</w:t>
      </w:r>
    </w:p>
    <w:p w14:paraId="47E6E9FA">
      <w:pPr>
        <w:spacing w:line="540" w:lineRule="exact"/>
        <w:rPr>
          <w:rFonts w:ascii="宋体" w:hAnsi="宋体" w:cs="楷体"/>
          <w:sz w:val="24"/>
          <w:szCs w:val="24"/>
          <w:highlight w:val="none"/>
        </w:rPr>
      </w:pPr>
      <w:r>
        <w:rPr>
          <w:rFonts w:hint="eastAsia" w:ascii="宋体" w:hAnsi="宋体" w:cs="楷体"/>
          <w:sz w:val="24"/>
          <w:szCs w:val="24"/>
          <w:highlight w:val="none"/>
        </w:rPr>
        <w:t>7</w:t>
      </w:r>
      <w:bookmarkStart w:id="621" w:name="_Toc304295548"/>
      <w:bookmarkEnd w:id="621"/>
      <w:bookmarkStart w:id="622" w:name="_Toc312678012"/>
      <w:bookmarkEnd w:id="622"/>
      <w:bookmarkStart w:id="623" w:name="_Toc318581169"/>
      <w:bookmarkEnd w:id="623"/>
      <w:bookmarkStart w:id="624" w:name="_Toc297216177"/>
      <w:bookmarkEnd w:id="624"/>
      <w:bookmarkStart w:id="625" w:name="_Toc300934970"/>
      <w:bookmarkEnd w:id="625"/>
      <w:bookmarkStart w:id="626" w:name="_Toc303539127"/>
      <w:bookmarkEnd w:id="626"/>
      <w:bookmarkStart w:id="627" w:name="_Toc297123518"/>
      <w:bookmarkEnd w:id="627"/>
      <w:bookmarkStart w:id="628" w:name="_Toc312677486"/>
      <w:r>
        <w:rPr>
          <w:rFonts w:hint="eastAsia" w:ascii="宋体" w:hAnsi="宋体" w:cs="楷体"/>
          <w:sz w:val="24"/>
          <w:szCs w:val="24"/>
          <w:highlight w:val="none"/>
        </w:rPr>
        <w:t>.5.2 因承包人原因导致工期延误</w:t>
      </w:r>
      <w:bookmarkEnd w:id="628"/>
    </w:p>
    <w:p w14:paraId="22A56C90">
      <w:pPr>
        <w:spacing w:line="540" w:lineRule="exact"/>
        <w:rPr>
          <w:rFonts w:ascii="宋体" w:hAnsi="宋体" w:cs="楷体"/>
          <w:sz w:val="24"/>
          <w:szCs w:val="24"/>
          <w:highlight w:val="none"/>
        </w:rPr>
      </w:pPr>
      <w:r>
        <w:rPr>
          <w:rFonts w:hint="eastAsia" w:ascii="宋体" w:hAnsi="宋体" w:cs="楷体"/>
          <w:sz w:val="24"/>
          <w:szCs w:val="24"/>
          <w:highlight w:val="none"/>
        </w:rPr>
        <w:t>因</w:t>
      </w:r>
      <w:bookmarkStart w:id="629" w:name="_Toc312678013"/>
      <w:bookmarkEnd w:id="629"/>
      <w:bookmarkStart w:id="630" w:name="_Toc312677487"/>
      <w:bookmarkEnd w:id="630"/>
      <w:bookmarkStart w:id="631" w:name="_Toc318581170"/>
      <w:r>
        <w:rPr>
          <w:rFonts w:hint="eastAsia" w:ascii="宋体" w:hAnsi="宋体" w:cs="楷体"/>
          <w:sz w:val="24"/>
          <w:szCs w:val="24"/>
          <w:highlight w:val="none"/>
        </w:rPr>
        <w:t>承包人原因造成工期延误，逾期竣工违约金的计算方法为：</w:t>
      </w:r>
      <w:bookmarkEnd w:id="631"/>
      <w:r>
        <w:rPr>
          <w:rFonts w:hint="eastAsia" w:ascii="宋体" w:hAnsi="宋体" w:cs="楷体"/>
          <w:sz w:val="24"/>
          <w:szCs w:val="24"/>
          <w:highlight w:val="none"/>
          <w:u w:val="single"/>
        </w:rPr>
        <w:t xml:space="preserve">  按</w:t>
      </w:r>
      <w:r>
        <w:rPr>
          <w:rFonts w:hint="eastAsia" w:ascii="宋体" w:hAnsi="宋体" w:cs="楷体"/>
          <w:sz w:val="24"/>
          <w:szCs w:val="24"/>
          <w:highlight w:val="none"/>
          <w:u w:val="single"/>
          <w:lang w:val="en-US" w:eastAsia="zh-CN"/>
        </w:rPr>
        <w:t>1000</w:t>
      </w:r>
      <w:r>
        <w:rPr>
          <w:rFonts w:hint="eastAsia" w:ascii="宋体" w:hAnsi="宋体" w:cs="楷体"/>
          <w:sz w:val="24"/>
          <w:szCs w:val="24"/>
          <w:highlight w:val="none"/>
          <w:u w:val="single"/>
        </w:rPr>
        <w:t>元/天处罚承包人</w:t>
      </w:r>
      <w:r>
        <w:rPr>
          <w:rFonts w:hint="eastAsia" w:ascii="宋体" w:hAnsi="宋体" w:cs="楷体"/>
          <w:sz w:val="24"/>
          <w:szCs w:val="24"/>
          <w:highlight w:val="none"/>
        </w:rPr>
        <w:t>。</w:t>
      </w:r>
    </w:p>
    <w:p w14:paraId="6B391C74">
      <w:pPr>
        <w:spacing w:line="540" w:lineRule="exact"/>
        <w:rPr>
          <w:rFonts w:ascii="宋体" w:hAnsi="宋体" w:cs="楷体"/>
          <w:sz w:val="24"/>
          <w:szCs w:val="24"/>
          <w:highlight w:val="none"/>
        </w:rPr>
      </w:pPr>
      <w:r>
        <w:rPr>
          <w:rFonts w:hint="eastAsia" w:ascii="宋体" w:hAnsi="宋体" w:cs="楷体"/>
          <w:sz w:val="24"/>
          <w:szCs w:val="24"/>
          <w:highlight w:val="none"/>
        </w:rPr>
        <w:t>因承包人原因造成工期延误，逾</w:t>
      </w:r>
      <w:bookmarkStart w:id="632" w:name="_Toc312678014"/>
      <w:bookmarkEnd w:id="632"/>
      <w:bookmarkStart w:id="633" w:name="_Toc318581171"/>
      <w:r>
        <w:rPr>
          <w:rFonts w:hint="eastAsia" w:ascii="宋体" w:hAnsi="宋体" w:cs="楷体"/>
          <w:sz w:val="24"/>
          <w:szCs w:val="24"/>
          <w:highlight w:val="none"/>
        </w:rPr>
        <w:t>期竣工违约金的上限：</w:t>
      </w:r>
      <w:bookmarkEnd w:id="633"/>
      <w:r>
        <w:rPr>
          <w:rFonts w:hint="eastAsia" w:ascii="宋体" w:hAnsi="宋体" w:cs="楷体"/>
          <w:sz w:val="24"/>
          <w:szCs w:val="24"/>
          <w:highlight w:val="none"/>
          <w:u w:val="single"/>
        </w:rPr>
        <w:t xml:space="preserve"> 总额不超过总价款的1%</w:t>
      </w:r>
      <w:r>
        <w:rPr>
          <w:rFonts w:hint="eastAsia" w:ascii="宋体" w:hAnsi="宋体" w:cs="楷体"/>
          <w:sz w:val="24"/>
          <w:szCs w:val="24"/>
          <w:highlight w:val="none"/>
        </w:rPr>
        <w:t>。</w:t>
      </w:r>
    </w:p>
    <w:p w14:paraId="17CD0E4A">
      <w:pPr>
        <w:spacing w:line="540" w:lineRule="exact"/>
        <w:rPr>
          <w:rFonts w:ascii="宋体" w:hAnsi="宋体" w:cs="楷体"/>
          <w:sz w:val="24"/>
          <w:szCs w:val="24"/>
          <w:highlight w:val="none"/>
        </w:rPr>
      </w:pPr>
      <w:r>
        <w:rPr>
          <w:rFonts w:hint="eastAsia" w:ascii="宋体" w:hAnsi="宋体" w:cs="楷体"/>
          <w:bCs/>
          <w:sz w:val="24"/>
          <w:szCs w:val="24"/>
          <w:highlight w:val="none"/>
        </w:rPr>
        <w:t>7</w:t>
      </w:r>
      <w:bookmarkStart w:id="634" w:name="_Toc297123519"/>
      <w:bookmarkEnd w:id="634"/>
      <w:bookmarkStart w:id="635" w:name="_Toc304295549"/>
      <w:bookmarkEnd w:id="635"/>
      <w:bookmarkStart w:id="636" w:name="_Toc312678015"/>
      <w:bookmarkEnd w:id="636"/>
      <w:bookmarkStart w:id="637" w:name="_Toc297216178"/>
      <w:bookmarkEnd w:id="637"/>
      <w:bookmarkStart w:id="638" w:name="_Toc303539128"/>
      <w:bookmarkEnd w:id="638"/>
      <w:bookmarkStart w:id="639" w:name="_Toc300934971"/>
      <w:r>
        <w:rPr>
          <w:rFonts w:hint="eastAsia" w:ascii="宋体" w:hAnsi="宋体" w:cs="楷体"/>
          <w:bCs/>
          <w:sz w:val="24"/>
          <w:szCs w:val="24"/>
          <w:highlight w:val="none"/>
        </w:rPr>
        <w:t>.6</w:t>
      </w:r>
      <w:bookmarkEnd w:id="639"/>
      <w:r>
        <w:rPr>
          <w:rFonts w:hint="eastAsia" w:ascii="宋体" w:hAnsi="宋体" w:cs="楷体"/>
          <w:sz w:val="24"/>
          <w:szCs w:val="24"/>
          <w:highlight w:val="none"/>
        </w:rPr>
        <w:t xml:space="preserve"> 不利物质条件</w:t>
      </w:r>
    </w:p>
    <w:p w14:paraId="28BBF080">
      <w:pPr>
        <w:spacing w:line="540" w:lineRule="exact"/>
        <w:rPr>
          <w:rFonts w:ascii="宋体" w:hAnsi="宋体" w:cs="楷体"/>
          <w:sz w:val="24"/>
          <w:szCs w:val="24"/>
          <w:highlight w:val="none"/>
        </w:rPr>
      </w:pPr>
      <w:bookmarkStart w:id="640" w:name="_Toc300934972"/>
      <w:bookmarkEnd w:id="640"/>
      <w:bookmarkStart w:id="641" w:name="_Toc304295550"/>
      <w:bookmarkEnd w:id="641"/>
      <w:bookmarkStart w:id="642" w:name="_Toc303539129"/>
      <w:bookmarkEnd w:id="642"/>
      <w:bookmarkStart w:id="643" w:name="_Toc318581172"/>
      <w:bookmarkEnd w:id="643"/>
      <w:bookmarkStart w:id="644" w:name="_Toc312678016"/>
      <w:bookmarkEnd w:id="644"/>
      <w:bookmarkStart w:id="645" w:name="_Toc297123520"/>
      <w:bookmarkEnd w:id="645"/>
      <w:bookmarkStart w:id="646" w:name="_Toc297216179"/>
      <w:r>
        <w:rPr>
          <w:rFonts w:hint="eastAsia" w:ascii="宋体" w:hAnsi="宋体" w:cs="楷体"/>
          <w:sz w:val="24"/>
          <w:szCs w:val="24"/>
          <w:highlight w:val="none"/>
        </w:rPr>
        <w:t>不利物质条件的其他情形和有关约定：</w:t>
      </w:r>
      <w:bookmarkEnd w:id="646"/>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4A9A9D07">
      <w:pPr>
        <w:spacing w:line="540" w:lineRule="exact"/>
        <w:rPr>
          <w:rFonts w:ascii="宋体" w:hAnsi="宋体" w:cs="楷体"/>
          <w:sz w:val="24"/>
          <w:szCs w:val="24"/>
          <w:highlight w:val="none"/>
        </w:rPr>
      </w:pPr>
      <w:r>
        <w:rPr>
          <w:rFonts w:hint="eastAsia" w:ascii="宋体" w:hAnsi="宋体" w:cs="楷体"/>
          <w:bCs/>
          <w:sz w:val="24"/>
          <w:szCs w:val="24"/>
          <w:highlight w:val="none"/>
        </w:rPr>
        <w:t>7</w:t>
      </w:r>
      <w:bookmarkStart w:id="647" w:name="_Toc300934973"/>
      <w:bookmarkEnd w:id="647"/>
      <w:bookmarkStart w:id="648" w:name="_Toc312678017"/>
      <w:bookmarkEnd w:id="648"/>
      <w:bookmarkStart w:id="649" w:name="_Toc304295551"/>
      <w:bookmarkEnd w:id="649"/>
      <w:bookmarkStart w:id="650" w:name="_Toc297123521"/>
      <w:bookmarkEnd w:id="650"/>
      <w:bookmarkStart w:id="651" w:name="_Toc303539130"/>
      <w:bookmarkEnd w:id="651"/>
      <w:bookmarkStart w:id="652" w:name="_Toc297216180"/>
      <w:r>
        <w:rPr>
          <w:rFonts w:hint="eastAsia" w:ascii="宋体" w:hAnsi="宋体" w:cs="楷体"/>
          <w:bCs/>
          <w:sz w:val="24"/>
          <w:szCs w:val="24"/>
          <w:highlight w:val="none"/>
        </w:rPr>
        <w:t>.7</w:t>
      </w:r>
      <w:bookmarkEnd w:id="652"/>
      <w:r>
        <w:rPr>
          <w:rFonts w:hint="eastAsia" w:ascii="宋体" w:hAnsi="宋体" w:cs="楷体"/>
          <w:sz w:val="24"/>
          <w:szCs w:val="24"/>
          <w:highlight w:val="none"/>
        </w:rPr>
        <w:t>异常恶劣的气候条件</w:t>
      </w:r>
    </w:p>
    <w:p w14:paraId="65D4A771">
      <w:pPr>
        <w:spacing w:line="540" w:lineRule="exact"/>
        <w:rPr>
          <w:rFonts w:ascii="宋体" w:hAnsi="宋体" w:cs="楷体"/>
          <w:sz w:val="24"/>
          <w:szCs w:val="24"/>
          <w:highlight w:val="none"/>
        </w:rPr>
      </w:pPr>
      <w:r>
        <w:rPr>
          <w:rFonts w:hint="eastAsia" w:ascii="宋体" w:hAnsi="宋体" w:cs="楷体"/>
          <w:sz w:val="24"/>
          <w:szCs w:val="24"/>
          <w:highlight w:val="none"/>
        </w:rPr>
        <w:t>发包人和承包人同意以下情形视为异常恶劣的气候条件：</w:t>
      </w:r>
    </w:p>
    <w:p w14:paraId="76F21AD2">
      <w:pPr>
        <w:spacing w:line="540" w:lineRule="exact"/>
        <w:rPr>
          <w:rFonts w:ascii="宋体" w:hAnsi="宋体" w:cs="楷体"/>
          <w:sz w:val="24"/>
          <w:szCs w:val="24"/>
          <w:highlight w:val="none"/>
        </w:rPr>
      </w:pPr>
      <w:r>
        <w:rPr>
          <w:rFonts w:hint="eastAsia" w:ascii="宋体" w:hAnsi="宋体" w:cs="楷体"/>
          <w:sz w:val="24"/>
          <w:szCs w:val="24"/>
          <w:highlight w:val="none"/>
        </w:rPr>
        <w:t>（1）；</w:t>
      </w:r>
    </w:p>
    <w:p w14:paraId="59569523">
      <w:pPr>
        <w:spacing w:line="540" w:lineRule="exact"/>
        <w:rPr>
          <w:rFonts w:ascii="宋体" w:hAnsi="宋体" w:cs="楷体"/>
          <w:sz w:val="24"/>
          <w:szCs w:val="24"/>
          <w:highlight w:val="none"/>
        </w:rPr>
      </w:pPr>
      <w:r>
        <w:rPr>
          <w:rFonts w:hint="eastAsia" w:ascii="宋体" w:hAnsi="宋体" w:cs="楷体"/>
          <w:sz w:val="24"/>
          <w:szCs w:val="24"/>
          <w:highlight w:val="none"/>
        </w:rPr>
        <w:t>（2）；</w:t>
      </w:r>
    </w:p>
    <w:p w14:paraId="10EC0E80">
      <w:pPr>
        <w:spacing w:line="540" w:lineRule="exact"/>
        <w:rPr>
          <w:rFonts w:ascii="宋体" w:hAnsi="宋体" w:cs="楷体"/>
          <w:sz w:val="24"/>
          <w:szCs w:val="24"/>
          <w:highlight w:val="none"/>
        </w:rPr>
      </w:pPr>
      <w:r>
        <w:rPr>
          <w:rFonts w:hint="eastAsia" w:ascii="宋体" w:hAnsi="宋体" w:cs="楷体"/>
          <w:sz w:val="24"/>
          <w:szCs w:val="24"/>
          <w:highlight w:val="none"/>
        </w:rPr>
        <w:t>（3）。</w:t>
      </w:r>
    </w:p>
    <w:p w14:paraId="29F34C0A">
      <w:pPr>
        <w:spacing w:line="540" w:lineRule="exact"/>
        <w:rPr>
          <w:rFonts w:ascii="宋体" w:hAnsi="宋体" w:cs="楷体"/>
          <w:sz w:val="24"/>
          <w:szCs w:val="24"/>
          <w:highlight w:val="none"/>
        </w:rPr>
      </w:pPr>
      <w:r>
        <w:rPr>
          <w:rFonts w:hint="eastAsia" w:ascii="宋体" w:hAnsi="宋体" w:cs="楷体"/>
          <w:bCs/>
          <w:sz w:val="24"/>
          <w:szCs w:val="24"/>
          <w:highlight w:val="none"/>
        </w:rPr>
        <w:t>7.8</w:t>
      </w:r>
      <w:r>
        <w:rPr>
          <w:rFonts w:hint="eastAsia" w:ascii="宋体" w:hAnsi="宋体" w:cs="楷体"/>
          <w:sz w:val="24"/>
          <w:szCs w:val="24"/>
          <w:highlight w:val="none"/>
        </w:rPr>
        <w:t xml:space="preserve"> 提前竣工的奖励</w:t>
      </w:r>
    </w:p>
    <w:p w14:paraId="775211E1">
      <w:pPr>
        <w:spacing w:line="540" w:lineRule="exact"/>
        <w:rPr>
          <w:rFonts w:ascii="宋体" w:hAnsi="宋体" w:cs="楷体"/>
          <w:sz w:val="24"/>
          <w:szCs w:val="24"/>
          <w:highlight w:val="none"/>
          <w:u w:val="single"/>
        </w:rPr>
      </w:pPr>
      <w:r>
        <w:rPr>
          <w:rFonts w:hint="eastAsia" w:ascii="宋体" w:hAnsi="宋体" w:cs="楷体"/>
          <w:sz w:val="24"/>
          <w:szCs w:val="24"/>
          <w:highlight w:val="none"/>
        </w:rPr>
        <w:t>7.8.1提前竣工的奖励：</w:t>
      </w:r>
      <w:r>
        <w:rPr>
          <w:rFonts w:hint="eastAsia" w:ascii="宋体" w:hAnsi="宋体" w:cs="楷体"/>
          <w:sz w:val="24"/>
          <w:szCs w:val="24"/>
          <w:highlight w:val="none"/>
          <w:u w:val="single"/>
        </w:rPr>
        <w:t xml:space="preserve">              /         。</w:t>
      </w:r>
    </w:p>
    <w:p w14:paraId="4981E945">
      <w:pPr>
        <w:keepNext/>
        <w:spacing w:line="540" w:lineRule="exact"/>
        <w:outlineLvl w:val="3"/>
        <w:rPr>
          <w:rFonts w:ascii="宋体" w:hAnsi="宋体" w:cs="楷体"/>
          <w:b/>
          <w:bCs/>
          <w:sz w:val="24"/>
          <w:szCs w:val="24"/>
          <w:highlight w:val="none"/>
        </w:rPr>
      </w:pPr>
      <w:bookmarkStart w:id="653" w:name="_Toc351203640"/>
      <w:bookmarkEnd w:id="653"/>
      <w:r>
        <w:rPr>
          <w:rFonts w:hint="eastAsia" w:ascii="宋体" w:hAnsi="宋体" w:cs="楷体"/>
          <w:b/>
          <w:bCs/>
          <w:sz w:val="24"/>
          <w:szCs w:val="24"/>
          <w:highlight w:val="none"/>
        </w:rPr>
        <w:t>8. 材料与设备</w:t>
      </w:r>
    </w:p>
    <w:p w14:paraId="6C4E6415">
      <w:pPr>
        <w:spacing w:line="540" w:lineRule="exact"/>
        <w:rPr>
          <w:rFonts w:ascii="宋体" w:hAnsi="宋体" w:cs="楷体"/>
          <w:sz w:val="24"/>
          <w:szCs w:val="24"/>
          <w:highlight w:val="none"/>
        </w:rPr>
      </w:pPr>
      <w:r>
        <w:rPr>
          <w:rFonts w:hint="eastAsia" w:ascii="宋体" w:hAnsi="宋体" w:cs="楷体"/>
          <w:bCs/>
          <w:sz w:val="24"/>
          <w:szCs w:val="24"/>
          <w:highlight w:val="none"/>
        </w:rPr>
        <w:t>8</w:t>
      </w:r>
      <w:bookmarkStart w:id="654" w:name="_Toc312678019"/>
      <w:bookmarkEnd w:id="654"/>
      <w:bookmarkStart w:id="655" w:name="_Toc292559877"/>
      <w:bookmarkEnd w:id="655"/>
      <w:bookmarkStart w:id="656" w:name="_Toc292559372"/>
      <w:bookmarkEnd w:id="656"/>
      <w:bookmarkStart w:id="657" w:name="_Toc312677493"/>
      <w:bookmarkEnd w:id="657"/>
      <w:bookmarkStart w:id="658" w:name="_Toc296890995"/>
      <w:bookmarkEnd w:id="658"/>
      <w:bookmarkStart w:id="659" w:name="_Toc267251424"/>
      <w:bookmarkEnd w:id="659"/>
      <w:bookmarkStart w:id="660" w:name="_Toc303539136"/>
      <w:bookmarkEnd w:id="660"/>
      <w:bookmarkStart w:id="661" w:name="_Toc304295556"/>
      <w:bookmarkEnd w:id="661"/>
      <w:bookmarkStart w:id="662" w:name="_Toc296891207"/>
      <w:bookmarkEnd w:id="662"/>
      <w:bookmarkStart w:id="663" w:name="_Toc297123527"/>
      <w:bookmarkEnd w:id="663"/>
      <w:bookmarkStart w:id="664" w:name="_Toc280868656"/>
      <w:bookmarkEnd w:id="664"/>
      <w:bookmarkStart w:id="665" w:name="_Toc297048353"/>
      <w:bookmarkEnd w:id="665"/>
      <w:bookmarkStart w:id="666" w:name="_Toc280868654"/>
      <w:bookmarkEnd w:id="666"/>
      <w:bookmarkStart w:id="667" w:name="_Toc296347166"/>
      <w:bookmarkEnd w:id="667"/>
      <w:bookmarkStart w:id="668" w:name="_Toc280868655"/>
      <w:bookmarkEnd w:id="668"/>
      <w:bookmarkStart w:id="669" w:name="_Toc296944506"/>
      <w:bookmarkEnd w:id="669"/>
      <w:bookmarkStart w:id="670" w:name="_Toc296503167"/>
      <w:bookmarkEnd w:id="670"/>
      <w:bookmarkStart w:id="671" w:name="_Toc297120467"/>
      <w:bookmarkEnd w:id="671"/>
      <w:bookmarkStart w:id="672" w:name="_Toc297216186"/>
      <w:bookmarkEnd w:id="672"/>
      <w:bookmarkStart w:id="673" w:name="_Toc296346668"/>
      <w:bookmarkEnd w:id="673"/>
      <w:bookmarkStart w:id="674" w:name="_Toc300934979"/>
      <w:r>
        <w:rPr>
          <w:rFonts w:hint="eastAsia" w:ascii="宋体" w:hAnsi="宋体" w:cs="楷体"/>
          <w:bCs/>
          <w:sz w:val="24"/>
          <w:szCs w:val="24"/>
          <w:highlight w:val="none"/>
        </w:rPr>
        <w:t>.4</w:t>
      </w:r>
      <w:bookmarkEnd w:id="674"/>
      <w:r>
        <w:rPr>
          <w:rFonts w:hint="eastAsia" w:ascii="宋体" w:hAnsi="宋体" w:cs="楷体"/>
          <w:sz w:val="24"/>
          <w:szCs w:val="24"/>
          <w:highlight w:val="none"/>
        </w:rPr>
        <w:t>材料与工程设备的保管与使用</w:t>
      </w:r>
    </w:p>
    <w:p w14:paraId="6401624D">
      <w:pPr>
        <w:spacing w:line="540" w:lineRule="exact"/>
        <w:rPr>
          <w:rFonts w:ascii="宋体" w:hAnsi="宋体" w:cs="楷体"/>
          <w:sz w:val="24"/>
          <w:szCs w:val="24"/>
          <w:highlight w:val="none"/>
        </w:rPr>
      </w:pPr>
      <w:r>
        <w:rPr>
          <w:rFonts w:hint="eastAsia" w:ascii="宋体" w:hAnsi="宋体" w:cs="楷体"/>
          <w:sz w:val="24"/>
          <w:szCs w:val="24"/>
          <w:highlight w:val="none"/>
        </w:rPr>
        <w:t>8</w:t>
      </w:r>
      <w:bookmarkStart w:id="675" w:name="_Toc296503168"/>
      <w:bookmarkEnd w:id="675"/>
      <w:bookmarkStart w:id="676" w:name="_Toc296347167"/>
      <w:bookmarkEnd w:id="676"/>
      <w:bookmarkStart w:id="677" w:name="_Toc312677494"/>
      <w:bookmarkEnd w:id="677"/>
      <w:bookmarkStart w:id="678" w:name="_Toc297123528"/>
      <w:bookmarkEnd w:id="678"/>
      <w:bookmarkStart w:id="679" w:name="_Toc292559878"/>
      <w:bookmarkEnd w:id="679"/>
      <w:bookmarkStart w:id="680" w:name="_Toc300934980"/>
      <w:bookmarkEnd w:id="680"/>
      <w:bookmarkStart w:id="681" w:name="_Toc303539137"/>
      <w:bookmarkEnd w:id="681"/>
      <w:bookmarkStart w:id="682" w:name="_Toc297048354"/>
      <w:bookmarkEnd w:id="682"/>
      <w:bookmarkStart w:id="683" w:name="_Toc318581173"/>
      <w:bookmarkEnd w:id="683"/>
      <w:bookmarkStart w:id="684" w:name="_Toc296891208"/>
      <w:bookmarkEnd w:id="684"/>
      <w:bookmarkStart w:id="685" w:name="_Toc297216187"/>
      <w:bookmarkEnd w:id="685"/>
      <w:bookmarkStart w:id="686" w:name="_Toc297120468"/>
      <w:bookmarkEnd w:id="686"/>
      <w:bookmarkStart w:id="687" w:name="_Toc296944507"/>
      <w:bookmarkEnd w:id="687"/>
      <w:bookmarkStart w:id="688" w:name="_Toc304295557"/>
      <w:bookmarkEnd w:id="688"/>
      <w:bookmarkStart w:id="689" w:name="_Toc296890996"/>
      <w:bookmarkEnd w:id="689"/>
      <w:bookmarkStart w:id="690" w:name="_Toc312678020"/>
      <w:bookmarkEnd w:id="690"/>
      <w:bookmarkStart w:id="691" w:name="_Toc292559373"/>
      <w:bookmarkEnd w:id="691"/>
      <w:bookmarkStart w:id="692" w:name="_Toc296346669"/>
      <w:r>
        <w:rPr>
          <w:rFonts w:hint="eastAsia" w:ascii="宋体" w:hAnsi="宋体" w:cs="楷体"/>
          <w:sz w:val="24"/>
          <w:szCs w:val="24"/>
          <w:highlight w:val="none"/>
        </w:rPr>
        <w:t>.4.1发包人供应的材料设备的保管费用的承担：</w:t>
      </w:r>
      <w:bookmarkEnd w:id="692"/>
      <w:r>
        <w:rPr>
          <w:rFonts w:hint="eastAsia" w:ascii="宋体" w:hAnsi="宋体" w:cs="楷体"/>
          <w:sz w:val="24"/>
          <w:szCs w:val="24"/>
          <w:highlight w:val="none"/>
          <w:u w:val="single"/>
        </w:rPr>
        <w:t xml:space="preserve">   由承包人承担    </w:t>
      </w:r>
      <w:r>
        <w:rPr>
          <w:rFonts w:hint="eastAsia" w:ascii="宋体" w:hAnsi="宋体" w:cs="楷体"/>
          <w:sz w:val="24"/>
          <w:szCs w:val="24"/>
          <w:highlight w:val="none"/>
        </w:rPr>
        <w:t>。</w:t>
      </w:r>
    </w:p>
    <w:p w14:paraId="3881AF6A">
      <w:pPr>
        <w:spacing w:line="540" w:lineRule="exact"/>
        <w:rPr>
          <w:rFonts w:ascii="宋体" w:hAnsi="宋体" w:cs="楷体"/>
          <w:sz w:val="24"/>
          <w:szCs w:val="24"/>
          <w:highlight w:val="none"/>
        </w:rPr>
      </w:pPr>
      <w:r>
        <w:rPr>
          <w:rFonts w:hint="eastAsia" w:ascii="宋体" w:hAnsi="宋体" w:cs="楷体"/>
          <w:sz w:val="24"/>
          <w:szCs w:val="24"/>
          <w:highlight w:val="none"/>
        </w:rPr>
        <w:t>8.4.2 承包人采购材料设备的约定：土建主材由甲方指定品牌及产地，乙方自行采购，且必须是住建局登记备案的合格产品，须经发包人派驻工地代表及监理方认可签字后方可采购。安装主材若甲方指定品牌及产地，材料价格依实调整。甲方若不指定品牌及产地，按清单报价中执行。</w:t>
      </w:r>
    </w:p>
    <w:p w14:paraId="71C9545C">
      <w:pPr>
        <w:spacing w:line="540" w:lineRule="exact"/>
        <w:rPr>
          <w:rFonts w:ascii="宋体" w:hAnsi="宋体" w:cs="楷体"/>
          <w:sz w:val="24"/>
          <w:szCs w:val="24"/>
          <w:highlight w:val="none"/>
        </w:rPr>
      </w:pPr>
      <w:r>
        <w:rPr>
          <w:rFonts w:hint="eastAsia" w:ascii="宋体" w:hAnsi="宋体" w:cs="楷体"/>
          <w:bCs/>
          <w:sz w:val="24"/>
          <w:szCs w:val="24"/>
          <w:highlight w:val="none"/>
        </w:rPr>
        <w:t>8.6</w:t>
      </w:r>
      <w:r>
        <w:rPr>
          <w:rFonts w:hint="eastAsia" w:ascii="宋体" w:hAnsi="宋体" w:cs="楷体"/>
          <w:sz w:val="24"/>
          <w:szCs w:val="24"/>
          <w:highlight w:val="none"/>
        </w:rPr>
        <w:t xml:space="preserve"> 样品</w:t>
      </w:r>
    </w:p>
    <w:p w14:paraId="651BD6CF">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8.6.1</w:t>
      </w:r>
      <w:r>
        <w:rPr>
          <w:rFonts w:hint="eastAsia" w:ascii="宋体" w:hAnsi="宋体" w:cs="楷体"/>
          <w:sz w:val="24"/>
          <w:szCs w:val="24"/>
          <w:highlight w:val="none"/>
        </w:rPr>
        <w:tab/>
      </w:r>
      <w:r>
        <w:rPr>
          <w:rFonts w:hint="eastAsia" w:ascii="宋体" w:hAnsi="宋体" w:cs="楷体"/>
          <w:sz w:val="24"/>
          <w:szCs w:val="24"/>
          <w:highlight w:val="none"/>
        </w:rPr>
        <w:t>样品的报送与封存</w:t>
      </w:r>
    </w:p>
    <w:p w14:paraId="5233730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需要承包人报送样品的材料或工程设备，样品的种类、名称、规格、数量要求：</w:t>
      </w:r>
      <w:r>
        <w:rPr>
          <w:rFonts w:hint="eastAsia" w:ascii="宋体" w:hAnsi="宋体" w:cs="楷体"/>
          <w:sz w:val="24"/>
          <w:szCs w:val="24"/>
          <w:highlight w:val="none"/>
          <w:u w:val="single"/>
        </w:rPr>
        <w:t xml:space="preserve"> 按管理部门要求和业主需求确定   </w:t>
      </w:r>
      <w:r>
        <w:rPr>
          <w:rFonts w:hint="eastAsia" w:ascii="宋体" w:hAnsi="宋体" w:cs="楷体"/>
          <w:sz w:val="24"/>
          <w:szCs w:val="24"/>
          <w:highlight w:val="none"/>
        </w:rPr>
        <w:t>。</w:t>
      </w:r>
    </w:p>
    <w:p w14:paraId="1CA3DEB2">
      <w:pPr>
        <w:spacing w:line="540" w:lineRule="exact"/>
        <w:rPr>
          <w:rFonts w:ascii="宋体" w:hAnsi="宋体" w:cs="楷体"/>
          <w:sz w:val="24"/>
          <w:szCs w:val="24"/>
          <w:highlight w:val="none"/>
        </w:rPr>
      </w:pPr>
      <w:r>
        <w:rPr>
          <w:rFonts w:hint="eastAsia" w:ascii="宋体" w:hAnsi="宋体" w:cs="楷体"/>
          <w:bCs/>
          <w:sz w:val="24"/>
          <w:szCs w:val="24"/>
          <w:highlight w:val="none"/>
        </w:rPr>
        <w:t>8.8</w:t>
      </w:r>
      <w:r>
        <w:rPr>
          <w:rFonts w:hint="eastAsia" w:ascii="宋体" w:hAnsi="宋体" w:cs="楷体"/>
          <w:sz w:val="24"/>
          <w:szCs w:val="24"/>
          <w:highlight w:val="none"/>
        </w:rPr>
        <w:t xml:space="preserve"> 施工设备和临时设施</w:t>
      </w:r>
    </w:p>
    <w:p w14:paraId="51F0A0D6">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8.8.1 承包人提供的施工设备和临时设施</w:t>
      </w:r>
    </w:p>
    <w:p w14:paraId="100A71F8">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关于修建临时设施费用承担的约定：</w:t>
      </w:r>
      <w:r>
        <w:rPr>
          <w:rFonts w:hint="eastAsia" w:ascii="宋体" w:hAnsi="宋体" w:cs="楷体"/>
          <w:sz w:val="24"/>
          <w:szCs w:val="24"/>
          <w:highlight w:val="none"/>
          <w:u w:val="single"/>
        </w:rPr>
        <w:t xml:space="preserve">   由承包人确定    </w:t>
      </w:r>
      <w:r>
        <w:rPr>
          <w:rFonts w:hint="eastAsia" w:ascii="宋体" w:hAnsi="宋体" w:cs="楷体"/>
          <w:sz w:val="24"/>
          <w:szCs w:val="24"/>
          <w:highlight w:val="none"/>
        </w:rPr>
        <w:t>。</w:t>
      </w:r>
    </w:p>
    <w:p w14:paraId="5F548587">
      <w:pPr>
        <w:keepNext/>
        <w:spacing w:line="540" w:lineRule="exact"/>
        <w:outlineLvl w:val="3"/>
        <w:rPr>
          <w:rFonts w:ascii="宋体" w:hAnsi="宋体" w:cs="楷体"/>
          <w:b/>
          <w:bCs/>
          <w:sz w:val="24"/>
          <w:szCs w:val="24"/>
          <w:highlight w:val="none"/>
        </w:rPr>
      </w:pPr>
      <w:bookmarkStart w:id="693" w:name="_Toc351203641"/>
      <w:bookmarkEnd w:id="693"/>
      <w:r>
        <w:rPr>
          <w:rFonts w:hint="eastAsia" w:ascii="宋体" w:hAnsi="宋体" w:cs="楷体"/>
          <w:b/>
          <w:bCs/>
          <w:sz w:val="24"/>
          <w:szCs w:val="24"/>
          <w:highlight w:val="none"/>
        </w:rPr>
        <w:t>9</w:t>
      </w:r>
      <w:bookmarkStart w:id="694" w:name="_Toc292559378"/>
      <w:bookmarkEnd w:id="694"/>
      <w:bookmarkStart w:id="695" w:name="_Toc303539139"/>
      <w:bookmarkEnd w:id="695"/>
      <w:bookmarkStart w:id="696" w:name="_Toc297216192"/>
      <w:bookmarkEnd w:id="696"/>
      <w:bookmarkStart w:id="697" w:name="_Toc312678021"/>
      <w:bookmarkEnd w:id="697"/>
      <w:bookmarkStart w:id="698" w:name="_Toc300934982"/>
      <w:bookmarkEnd w:id="698"/>
      <w:bookmarkStart w:id="699" w:name="_Toc292559883"/>
      <w:bookmarkEnd w:id="699"/>
      <w:bookmarkStart w:id="700" w:name="_Toc304295559"/>
      <w:bookmarkEnd w:id="700"/>
      <w:bookmarkStart w:id="701" w:name="_Toc296944512"/>
      <w:bookmarkEnd w:id="701"/>
      <w:bookmarkStart w:id="702" w:name="_Toc296503173"/>
      <w:bookmarkEnd w:id="702"/>
      <w:bookmarkStart w:id="703" w:name="_Toc297120473"/>
      <w:bookmarkEnd w:id="703"/>
      <w:bookmarkStart w:id="704" w:name="_Toc296891001"/>
      <w:bookmarkEnd w:id="704"/>
      <w:bookmarkStart w:id="705" w:name="_Toc296891213"/>
      <w:bookmarkEnd w:id="705"/>
      <w:bookmarkStart w:id="706" w:name="_Toc312677495"/>
      <w:bookmarkEnd w:id="706"/>
      <w:bookmarkStart w:id="707" w:name="_Toc267251427"/>
      <w:bookmarkEnd w:id="707"/>
      <w:bookmarkStart w:id="708" w:name="_Toc296346674"/>
      <w:bookmarkEnd w:id="708"/>
      <w:bookmarkStart w:id="709" w:name="_Toc297048359"/>
      <w:bookmarkEnd w:id="709"/>
      <w:bookmarkStart w:id="710" w:name="_Toc296347172"/>
      <w:bookmarkEnd w:id="710"/>
      <w:bookmarkStart w:id="711" w:name="_Toc297123533"/>
      <w:bookmarkEnd w:id="711"/>
      <w:bookmarkStart w:id="712" w:name="_Toc267251428"/>
      <w:r>
        <w:rPr>
          <w:rFonts w:hint="eastAsia" w:ascii="宋体" w:hAnsi="宋体" w:cs="楷体"/>
          <w:b/>
          <w:bCs/>
          <w:sz w:val="24"/>
          <w:szCs w:val="24"/>
          <w:highlight w:val="none"/>
        </w:rPr>
        <w:t>. 试验与检验</w:t>
      </w:r>
      <w:bookmarkEnd w:id="712"/>
    </w:p>
    <w:p w14:paraId="0333C86E">
      <w:pPr>
        <w:spacing w:line="540" w:lineRule="exact"/>
        <w:rPr>
          <w:rFonts w:ascii="宋体" w:hAnsi="宋体" w:cs="楷体"/>
          <w:sz w:val="24"/>
          <w:szCs w:val="24"/>
          <w:highlight w:val="none"/>
        </w:rPr>
      </w:pPr>
      <w:r>
        <w:rPr>
          <w:rFonts w:hint="eastAsia" w:ascii="宋体" w:hAnsi="宋体" w:cs="楷体"/>
          <w:b/>
          <w:bCs/>
          <w:sz w:val="24"/>
          <w:szCs w:val="24"/>
          <w:highlight w:val="none"/>
        </w:rPr>
        <w:t>9</w:t>
      </w:r>
      <w:bookmarkStart w:id="713" w:name="_Toc297123534"/>
      <w:bookmarkEnd w:id="713"/>
      <w:bookmarkStart w:id="714" w:name="_Toc297216193"/>
      <w:bookmarkEnd w:id="714"/>
      <w:bookmarkStart w:id="715" w:name="_Toc303539140"/>
      <w:bookmarkEnd w:id="715"/>
      <w:bookmarkStart w:id="716" w:name="_Toc312677496"/>
      <w:bookmarkEnd w:id="716"/>
      <w:bookmarkStart w:id="717" w:name="_Toc312678022"/>
      <w:bookmarkEnd w:id="717"/>
      <w:bookmarkStart w:id="718" w:name="_Toc304295560"/>
      <w:bookmarkEnd w:id="718"/>
      <w:bookmarkStart w:id="719" w:name="_Toc300934983"/>
      <w:r>
        <w:rPr>
          <w:rFonts w:hint="eastAsia" w:ascii="宋体" w:hAnsi="宋体" w:cs="楷体"/>
          <w:b/>
          <w:bCs/>
          <w:sz w:val="24"/>
          <w:szCs w:val="24"/>
          <w:highlight w:val="none"/>
        </w:rPr>
        <w:t>.1</w:t>
      </w:r>
      <w:bookmarkEnd w:id="719"/>
      <w:r>
        <w:rPr>
          <w:rFonts w:hint="eastAsia" w:ascii="宋体" w:hAnsi="宋体" w:cs="楷体"/>
          <w:sz w:val="24"/>
          <w:szCs w:val="24"/>
          <w:highlight w:val="none"/>
        </w:rPr>
        <w:t>试验设备与试验人员</w:t>
      </w:r>
    </w:p>
    <w:p w14:paraId="62CA25B3">
      <w:pPr>
        <w:spacing w:line="540" w:lineRule="exact"/>
        <w:rPr>
          <w:rFonts w:ascii="宋体" w:hAnsi="宋体" w:cs="楷体"/>
          <w:sz w:val="24"/>
          <w:szCs w:val="24"/>
          <w:highlight w:val="none"/>
        </w:rPr>
      </w:pPr>
      <w:r>
        <w:rPr>
          <w:rFonts w:hint="eastAsia" w:ascii="宋体" w:hAnsi="宋体" w:cs="楷体"/>
          <w:sz w:val="24"/>
          <w:szCs w:val="24"/>
          <w:highlight w:val="none"/>
        </w:rPr>
        <w:t>9</w:t>
      </w:r>
      <w:bookmarkStart w:id="720" w:name="_Toc312677497"/>
      <w:bookmarkEnd w:id="720"/>
      <w:bookmarkStart w:id="721" w:name="_Toc297123535"/>
      <w:bookmarkEnd w:id="721"/>
      <w:bookmarkStart w:id="722" w:name="_Toc304295561"/>
      <w:bookmarkEnd w:id="722"/>
      <w:bookmarkStart w:id="723" w:name="_Toc300934984"/>
      <w:bookmarkEnd w:id="723"/>
      <w:bookmarkStart w:id="724" w:name="_Toc297216194"/>
      <w:bookmarkEnd w:id="724"/>
      <w:bookmarkStart w:id="725" w:name="_Toc303539141"/>
      <w:bookmarkEnd w:id="725"/>
      <w:bookmarkStart w:id="726" w:name="_Toc312678023"/>
      <w:bookmarkEnd w:id="726"/>
      <w:bookmarkStart w:id="727" w:name="_Toc318581174"/>
      <w:r>
        <w:rPr>
          <w:rFonts w:hint="eastAsia" w:ascii="宋体" w:hAnsi="宋体" w:cs="楷体"/>
          <w:sz w:val="24"/>
          <w:szCs w:val="24"/>
          <w:highlight w:val="none"/>
        </w:rPr>
        <w:t>.1.2 试验设备</w:t>
      </w:r>
      <w:bookmarkEnd w:id="727"/>
    </w:p>
    <w:p w14:paraId="59F7B4A8">
      <w:pPr>
        <w:spacing w:line="540" w:lineRule="exact"/>
        <w:rPr>
          <w:rFonts w:ascii="宋体" w:hAnsi="宋体" w:cs="楷体"/>
          <w:sz w:val="24"/>
          <w:szCs w:val="24"/>
          <w:highlight w:val="none"/>
        </w:rPr>
      </w:pPr>
      <w:r>
        <w:rPr>
          <w:rFonts w:hint="eastAsia" w:ascii="宋体" w:hAnsi="宋体" w:cs="楷体"/>
          <w:sz w:val="24"/>
          <w:szCs w:val="24"/>
          <w:highlight w:val="none"/>
        </w:rPr>
        <w:t>施工现场需要配置的试验场所：</w:t>
      </w:r>
      <w:bookmarkStart w:id="728" w:name="_Toc297216195"/>
      <w:bookmarkEnd w:id="728"/>
      <w:bookmarkStart w:id="729" w:name="_Toc297123536"/>
      <w:bookmarkEnd w:id="729"/>
      <w:bookmarkStart w:id="730" w:name="_Toc304295562"/>
      <w:bookmarkEnd w:id="730"/>
      <w:bookmarkStart w:id="731" w:name="_Toc312677498"/>
      <w:bookmarkEnd w:id="731"/>
      <w:bookmarkStart w:id="732" w:name="_Toc303539142"/>
      <w:bookmarkEnd w:id="732"/>
      <w:bookmarkStart w:id="733" w:name="_Toc312678024"/>
      <w:bookmarkEnd w:id="733"/>
      <w:bookmarkStart w:id="734" w:name="_Toc300934985"/>
      <w:bookmarkEnd w:id="734"/>
      <w:r>
        <w:rPr>
          <w:rFonts w:hint="eastAsia" w:ascii="宋体" w:hAnsi="宋体" w:cs="楷体"/>
          <w:sz w:val="24"/>
          <w:szCs w:val="24"/>
          <w:highlight w:val="none"/>
          <w:u w:val="single"/>
        </w:rPr>
        <w:t xml:space="preserve">  根据需要配备     </w:t>
      </w:r>
      <w:r>
        <w:rPr>
          <w:rFonts w:hint="eastAsia" w:ascii="宋体" w:hAnsi="宋体" w:cs="楷体"/>
          <w:sz w:val="24"/>
          <w:szCs w:val="24"/>
          <w:highlight w:val="none"/>
        </w:rPr>
        <w:t>。</w:t>
      </w:r>
    </w:p>
    <w:p w14:paraId="0281375C">
      <w:pPr>
        <w:spacing w:line="540" w:lineRule="exact"/>
        <w:rPr>
          <w:rFonts w:ascii="宋体" w:hAnsi="宋体" w:cs="楷体"/>
          <w:sz w:val="24"/>
          <w:szCs w:val="24"/>
          <w:highlight w:val="none"/>
        </w:rPr>
      </w:pPr>
      <w:r>
        <w:rPr>
          <w:rFonts w:hint="eastAsia" w:ascii="宋体" w:hAnsi="宋体" w:cs="楷体"/>
          <w:sz w:val="24"/>
          <w:szCs w:val="24"/>
          <w:highlight w:val="none"/>
        </w:rPr>
        <w:t>施工现场需要配备的试验设备：</w:t>
      </w:r>
      <w:r>
        <w:rPr>
          <w:rFonts w:hint="eastAsia" w:ascii="宋体" w:hAnsi="宋体" w:cs="楷体"/>
          <w:sz w:val="24"/>
          <w:szCs w:val="24"/>
          <w:highlight w:val="none"/>
          <w:u w:val="single"/>
        </w:rPr>
        <w:t xml:space="preserve">  根据需要配备     </w:t>
      </w:r>
      <w:r>
        <w:rPr>
          <w:rFonts w:hint="eastAsia" w:ascii="宋体" w:hAnsi="宋体" w:cs="楷体"/>
          <w:sz w:val="24"/>
          <w:szCs w:val="24"/>
          <w:highlight w:val="none"/>
        </w:rPr>
        <w:t>。</w:t>
      </w:r>
    </w:p>
    <w:p w14:paraId="247D9217">
      <w:pPr>
        <w:spacing w:line="540" w:lineRule="exact"/>
        <w:rPr>
          <w:rFonts w:ascii="宋体" w:hAnsi="宋体" w:cs="楷体"/>
          <w:sz w:val="24"/>
          <w:szCs w:val="24"/>
          <w:highlight w:val="none"/>
        </w:rPr>
      </w:pPr>
      <w:r>
        <w:rPr>
          <w:rFonts w:hint="eastAsia" w:ascii="宋体" w:hAnsi="宋体" w:cs="楷体"/>
          <w:sz w:val="24"/>
          <w:szCs w:val="24"/>
          <w:highlight w:val="none"/>
        </w:rPr>
        <w:t>施工现场需要具备的其他试验条件：</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3AB09E24">
      <w:pPr>
        <w:spacing w:line="540" w:lineRule="exact"/>
        <w:rPr>
          <w:rFonts w:ascii="宋体" w:hAnsi="宋体" w:cs="楷体"/>
          <w:sz w:val="24"/>
          <w:szCs w:val="24"/>
          <w:highlight w:val="none"/>
        </w:rPr>
      </w:pPr>
      <w:r>
        <w:rPr>
          <w:rFonts w:hint="eastAsia" w:ascii="宋体" w:hAnsi="宋体" w:cs="楷体"/>
          <w:b/>
          <w:bCs/>
          <w:sz w:val="24"/>
          <w:szCs w:val="24"/>
          <w:highlight w:val="none"/>
        </w:rPr>
        <w:t xml:space="preserve">9.4 </w:t>
      </w:r>
      <w:r>
        <w:rPr>
          <w:rFonts w:hint="eastAsia" w:ascii="宋体" w:hAnsi="宋体" w:cs="楷体"/>
          <w:sz w:val="24"/>
          <w:szCs w:val="24"/>
          <w:highlight w:val="none"/>
        </w:rPr>
        <w:t xml:space="preserve">现场工艺试验 </w:t>
      </w:r>
    </w:p>
    <w:p w14:paraId="421D4675">
      <w:pPr>
        <w:spacing w:line="540" w:lineRule="exact"/>
        <w:rPr>
          <w:rFonts w:ascii="宋体" w:hAnsi="宋体" w:cs="楷体"/>
          <w:sz w:val="24"/>
          <w:szCs w:val="24"/>
          <w:highlight w:val="none"/>
        </w:rPr>
      </w:pPr>
      <w:r>
        <w:rPr>
          <w:rFonts w:hint="eastAsia" w:ascii="宋体" w:hAnsi="宋体" w:cs="楷体"/>
          <w:sz w:val="24"/>
          <w:szCs w:val="24"/>
          <w:highlight w:val="none"/>
        </w:rPr>
        <w:t>现场工艺试验的有关约定：</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19859A57">
      <w:pPr>
        <w:keepNext/>
        <w:spacing w:line="540" w:lineRule="exact"/>
        <w:outlineLvl w:val="3"/>
        <w:rPr>
          <w:rFonts w:ascii="宋体" w:hAnsi="宋体" w:cs="楷体"/>
          <w:b/>
          <w:bCs/>
          <w:sz w:val="24"/>
          <w:szCs w:val="24"/>
          <w:highlight w:val="none"/>
        </w:rPr>
      </w:pPr>
      <w:bookmarkStart w:id="735" w:name="_Toc351203642"/>
      <w:bookmarkEnd w:id="735"/>
      <w:r>
        <w:rPr>
          <w:rFonts w:hint="eastAsia" w:ascii="宋体" w:hAnsi="宋体" w:cs="楷体"/>
          <w:b/>
          <w:bCs/>
          <w:sz w:val="24"/>
          <w:szCs w:val="24"/>
          <w:highlight w:val="none"/>
        </w:rPr>
        <w:t>1</w:t>
      </w:r>
      <w:bookmarkStart w:id="736" w:name="_Toc304295566"/>
      <w:bookmarkEnd w:id="736"/>
      <w:bookmarkStart w:id="737" w:name="_Toc297123540"/>
      <w:bookmarkEnd w:id="737"/>
      <w:bookmarkStart w:id="738" w:name="_Toc296891233"/>
      <w:bookmarkEnd w:id="738"/>
      <w:bookmarkStart w:id="739" w:name="_Toc296891021"/>
      <w:bookmarkEnd w:id="739"/>
      <w:bookmarkStart w:id="740" w:name="_Toc267251441"/>
      <w:bookmarkEnd w:id="740"/>
      <w:bookmarkStart w:id="741" w:name="_Toc312677499"/>
      <w:bookmarkEnd w:id="741"/>
      <w:bookmarkStart w:id="742" w:name="_Toc297120493"/>
      <w:bookmarkEnd w:id="742"/>
      <w:bookmarkStart w:id="743" w:name="_Toc297216199"/>
      <w:bookmarkEnd w:id="743"/>
      <w:bookmarkStart w:id="744" w:name="_Toc300934989"/>
      <w:bookmarkEnd w:id="744"/>
      <w:bookmarkStart w:id="745" w:name="_Toc292559903"/>
      <w:bookmarkEnd w:id="745"/>
      <w:bookmarkStart w:id="746" w:name="_Toc296944532"/>
      <w:bookmarkEnd w:id="746"/>
      <w:bookmarkStart w:id="747" w:name="_Toc267251437"/>
      <w:bookmarkEnd w:id="747"/>
      <w:bookmarkStart w:id="748" w:name="_Toc267251440"/>
      <w:bookmarkEnd w:id="748"/>
      <w:bookmarkStart w:id="749" w:name="_Toc296346694"/>
      <w:bookmarkEnd w:id="749"/>
      <w:bookmarkStart w:id="750" w:name="_Toc292559398"/>
      <w:bookmarkEnd w:id="750"/>
      <w:bookmarkStart w:id="751" w:name="_Toc303539146"/>
      <w:bookmarkEnd w:id="751"/>
      <w:bookmarkStart w:id="752" w:name="_Toc297048379"/>
      <w:bookmarkEnd w:id="752"/>
      <w:bookmarkStart w:id="753" w:name="_Toc296347192"/>
      <w:bookmarkEnd w:id="753"/>
      <w:bookmarkStart w:id="754" w:name="_Toc267251439"/>
      <w:bookmarkEnd w:id="754"/>
      <w:bookmarkStart w:id="755" w:name="_Toc296503193"/>
      <w:bookmarkEnd w:id="755"/>
      <w:bookmarkStart w:id="756" w:name="_Toc312678025"/>
      <w:bookmarkEnd w:id="756"/>
      <w:bookmarkStart w:id="757" w:name="_Toc267251435"/>
      <w:bookmarkEnd w:id="757"/>
      <w:bookmarkStart w:id="758" w:name="_Toc267251433"/>
      <w:r>
        <w:rPr>
          <w:rFonts w:hint="eastAsia" w:ascii="宋体" w:hAnsi="宋体" w:cs="楷体"/>
          <w:b/>
          <w:bCs/>
          <w:sz w:val="24"/>
          <w:szCs w:val="24"/>
          <w:highlight w:val="none"/>
        </w:rPr>
        <w:t>0. 变更</w:t>
      </w:r>
      <w:bookmarkEnd w:id="758"/>
    </w:p>
    <w:p w14:paraId="751C38F9">
      <w:pPr>
        <w:spacing w:line="540" w:lineRule="exact"/>
        <w:rPr>
          <w:rFonts w:ascii="宋体" w:hAnsi="宋体" w:cs="楷体"/>
          <w:sz w:val="24"/>
          <w:szCs w:val="24"/>
          <w:highlight w:val="none"/>
        </w:rPr>
      </w:pPr>
      <w:r>
        <w:rPr>
          <w:rFonts w:hint="eastAsia" w:ascii="宋体" w:hAnsi="宋体" w:cs="楷体"/>
          <w:b/>
          <w:bCs/>
          <w:sz w:val="24"/>
          <w:szCs w:val="24"/>
          <w:highlight w:val="none"/>
        </w:rPr>
        <w:t>1</w:t>
      </w:r>
      <w:bookmarkStart w:id="759" w:name="_Toc297123541"/>
      <w:bookmarkEnd w:id="759"/>
      <w:bookmarkStart w:id="760" w:name="_Toc300934990"/>
      <w:bookmarkEnd w:id="760"/>
      <w:bookmarkStart w:id="761" w:name="_Toc296891022"/>
      <w:bookmarkEnd w:id="761"/>
      <w:bookmarkStart w:id="762" w:name="_Toc296503194"/>
      <w:bookmarkEnd w:id="762"/>
      <w:bookmarkStart w:id="763" w:name="_Toc297216200"/>
      <w:bookmarkEnd w:id="763"/>
      <w:bookmarkStart w:id="764" w:name="_Toc292559399"/>
      <w:bookmarkEnd w:id="764"/>
      <w:bookmarkStart w:id="765" w:name="_Toc304295567"/>
      <w:bookmarkEnd w:id="765"/>
      <w:bookmarkStart w:id="766" w:name="_Toc296891234"/>
      <w:bookmarkEnd w:id="766"/>
      <w:bookmarkStart w:id="767" w:name="_Toc292559904"/>
      <w:bookmarkEnd w:id="767"/>
      <w:bookmarkStart w:id="768" w:name="_Toc303539147"/>
      <w:bookmarkEnd w:id="768"/>
      <w:bookmarkStart w:id="769" w:name="_Toc297120494"/>
      <w:bookmarkEnd w:id="769"/>
      <w:bookmarkStart w:id="770" w:name="_Toc296346695"/>
      <w:bookmarkEnd w:id="770"/>
      <w:bookmarkStart w:id="771" w:name="_Toc296347193"/>
      <w:bookmarkEnd w:id="771"/>
      <w:bookmarkStart w:id="772" w:name="_Toc297048380"/>
      <w:bookmarkEnd w:id="772"/>
      <w:bookmarkStart w:id="773" w:name="_Toc312678026"/>
      <w:bookmarkEnd w:id="773"/>
      <w:bookmarkStart w:id="774" w:name="_Toc296944533"/>
      <w:bookmarkEnd w:id="774"/>
      <w:bookmarkStart w:id="775" w:name="_Toc312677500"/>
      <w:r>
        <w:rPr>
          <w:rFonts w:hint="eastAsia" w:ascii="宋体" w:hAnsi="宋体" w:cs="楷体"/>
          <w:b/>
          <w:bCs/>
          <w:sz w:val="24"/>
          <w:szCs w:val="24"/>
          <w:highlight w:val="none"/>
        </w:rPr>
        <w:t>0.1</w:t>
      </w:r>
      <w:bookmarkEnd w:id="775"/>
      <w:r>
        <w:rPr>
          <w:rFonts w:hint="eastAsia" w:ascii="宋体" w:hAnsi="宋体" w:cs="楷体"/>
          <w:sz w:val="24"/>
          <w:szCs w:val="24"/>
          <w:highlight w:val="none"/>
        </w:rPr>
        <w:t>变更的范围</w:t>
      </w:r>
    </w:p>
    <w:p w14:paraId="38F19384">
      <w:pPr>
        <w:spacing w:line="540" w:lineRule="exact"/>
        <w:rPr>
          <w:rFonts w:ascii="宋体" w:hAnsi="宋体" w:cs="楷体"/>
          <w:sz w:val="24"/>
          <w:szCs w:val="24"/>
          <w:highlight w:val="none"/>
        </w:rPr>
      </w:pPr>
      <w:r>
        <w:rPr>
          <w:rFonts w:hint="eastAsia" w:ascii="宋体" w:hAnsi="宋体" w:cs="楷体"/>
          <w:sz w:val="24"/>
          <w:szCs w:val="24"/>
          <w:highlight w:val="none"/>
        </w:rPr>
        <w:t>关于变更的范围的约定：</w:t>
      </w:r>
      <w:r>
        <w:rPr>
          <w:rFonts w:hint="eastAsia" w:ascii="宋体" w:hAnsi="宋体" w:cs="楷体"/>
          <w:sz w:val="24"/>
          <w:szCs w:val="24"/>
          <w:highlight w:val="none"/>
          <w:u w:val="single"/>
        </w:rPr>
        <w:t xml:space="preserve">   图纸变更      </w:t>
      </w:r>
      <w:r>
        <w:rPr>
          <w:rFonts w:hint="eastAsia" w:ascii="宋体" w:hAnsi="宋体" w:cs="楷体"/>
          <w:sz w:val="24"/>
          <w:szCs w:val="24"/>
          <w:highlight w:val="none"/>
        </w:rPr>
        <w:t>。</w:t>
      </w:r>
    </w:p>
    <w:p w14:paraId="3A8631F7">
      <w:pPr>
        <w:spacing w:line="540" w:lineRule="exact"/>
        <w:rPr>
          <w:rFonts w:ascii="宋体" w:hAnsi="宋体" w:cs="楷体"/>
          <w:sz w:val="24"/>
          <w:szCs w:val="24"/>
          <w:highlight w:val="none"/>
        </w:rPr>
      </w:pPr>
      <w:r>
        <w:rPr>
          <w:rFonts w:hint="eastAsia" w:ascii="宋体" w:hAnsi="宋体" w:cs="楷体"/>
          <w:b/>
          <w:bCs/>
          <w:sz w:val="24"/>
          <w:szCs w:val="24"/>
          <w:highlight w:val="none"/>
        </w:rPr>
        <w:t>10.4</w:t>
      </w:r>
      <w:r>
        <w:rPr>
          <w:rFonts w:hint="eastAsia" w:ascii="宋体" w:hAnsi="宋体" w:cs="楷体"/>
          <w:sz w:val="24"/>
          <w:szCs w:val="24"/>
          <w:highlight w:val="none"/>
        </w:rPr>
        <w:t xml:space="preserve"> 变更估价</w:t>
      </w:r>
    </w:p>
    <w:p w14:paraId="4843866D">
      <w:pPr>
        <w:spacing w:line="540" w:lineRule="exact"/>
        <w:rPr>
          <w:rFonts w:ascii="宋体" w:hAnsi="宋体" w:cs="楷体"/>
          <w:sz w:val="24"/>
          <w:szCs w:val="24"/>
          <w:highlight w:val="none"/>
        </w:rPr>
      </w:pPr>
      <w:r>
        <w:rPr>
          <w:rFonts w:hint="eastAsia" w:ascii="宋体" w:hAnsi="宋体" w:cs="楷体"/>
          <w:sz w:val="24"/>
          <w:szCs w:val="24"/>
          <w:highlight w:val="none"/>
        </w:rPr>
        <w:t>10.4.1 变更估价原则</w:t>
      </w:r>
    </w:p>
    <w:p w14:paraId="3D7152E7">
      <w:pPr>
        <w:spacing w:line="540" w:lineRule="exact"/>
        <w:rPr>
          <w:rFonts w:ascii="宋体" w:hAnsi="宋体" w:cs="楷体"/>
          <w:sz w:val="24"/>
          <w:szCs w:val="24"/>
          <w:highlight w:val="none"/>
          <w:u w:val="single"/>
        </w:rPr>
      </w:pPr>
      <w:r>
        <w:rPr>
          <w:rFonts w:hint="eastAsia" w:ascii="宋体" w:hAnsi="宋体" w:cs="楷体"/>
          <w:sz w:val="24"/>
          <w:szCs w:val="24"/>
          <w:highlight w:val="none"/>
        </w:rPr>
        <w:t>关于变更估价的约定: 。</w:t>
      </w:r>
    </w:p>
    <w:p w14:paraId="5964D407">
      <w:pPr>
        <w:spacing w:line="540" w:lineRule="exact"/>
        <w:rPr>
          <w:rFonts w:ascii="宋体" w:hAnsi="宋体" w:cs="楷体"/>
          <w:sz w:val="24"/>
          <w:szCs w:val="24"/>
          <w:highlight w:val="none"/>
        </w:rPr>
      </w:pPr>
      <w:r>
        <w:rPr>
          <w:rFonts w:hint="eastAsia" w:ascii="宋体" w:hAnsi="宋体" w:cs="楷体"/>
          <w:b/>
          <w:bCs/>
          <w:sz w:val="24"/>
          <w:szCs w:val="24"/>
          <w:highlight w:val="none"/>
        </w:rPr>
        <w:t>1</w:t>
      </w:r>
      <w:bookmarkStart w:id="776" w:name="_Toc296891237"/>
      <w:bookmarkEnd w:id="776"/>
      <w:bookmarkStart w:id="777" w:name="_Toc292559907"/>
      <w:bookmarkEnd w:id="777"/>
      <w:bookmarkStart w:id="778" w:name="_Toc297120497"/>
      <w:bookmarkEnd w:id="778"/>
      <w:bookmarkStart w:id="779" w:name="_Toc300934993"/>
      <w:bookmarkEnd w:id="779"/>
      <w:bookmarkStart w:id="780" w:name="_Toc303539150"/>
      <w:bookmarkEnd w:id="780"/>
      <w:bookmarkStart w:id="781" w:name="_Toc297216203"/>
      <w:bookmarkEnd w:id="781"/>
      <w:bookmarkStart w:id="782" w:name="_Toc296503197"/>
      <w:bookmarkEnd w:id="782"/>
      <w:bookmarkStart w:id="783" w:name="_Toc296347196"/>
      <w:bookmarkEnd w:id="783"/>
      <w:bookmarkStart w:id="784" w:name="_Toc292559402"/>
      <w:bookmarkEnd w:id="784"/>
      <w:bookmarkStart w:id="785" w:name="_Toc297048383"/>
      <w:bookmarkEnd w:id="785"/>
      <w:bookmarkStart w:id="786" w:name="_Toc312677503"/>
      <w:bookmarkEnd w:id="786"/>
      <w:bookmarkStart w:id="787" w:name="_Toc297123544"/>
      <w:bookmarkEnd w:id="787"/>
      <w:bookmarkStart w:id="788" w:name="_Toc304295570"/>
      <w:bookmarkEnd w:id="788"/>
      <w:bookmarkStart w:id="789" w:name="_Toc312678029"/>
      <w:bookmarkEnd w:id="789"/>
      <w:bookmarkStart w:id="790" w:name="_Toc296346698"/>
      <w:bookmarkEnd w:id="790"/>
      <w:bookmarkStart w:id="791" w:name="_Toc296944536"/>
      <w:bookmarkEnd w:id="791"/>
      <w:bookmarkStart w:id="792" w:name="_Toc296891025"/>
      <w:bookmarkEnd w:id="792"/>
      <w:r>
        <w:rPr>
          <w:rFonts w:hint="eastAsia" w:ascii="宋体" w:hAnsi="宋体" w:cs="楷体"/>
          <w:b/>
          <w:bCs/>
          <w:sz w:val="24"/>
          <w:szCs w:val="24"/>
          <w:highlight w:val="none"/>
        </w:rPr>
        <w:t>0.5</w:t>
      </w:r>
      <w:r>
        <w:rPr>
          <w:rFonts w:hint="eastAsia" w:ascii="宋体" w:hAnsi="宋体" w:cs="楷体"/>
          <w:sz w:val="24"/>
          <w:szCs w:val="24"/>
          <w:highlight w:val="none"/>
        </w:rPr>
        <w:t>承</w:t>
      </w:r>
      <w:bookmarkStart w:id="793" w:name="_Toc296944542"/>
      <w:bookmarkEnd w:id="793"/>
      <w:bookmarkStart w:id="794" w:name="_Toc296891031"/>
      <w:bookmarkEnd w:id="794"/>
      <w:bookmarkStart w:id="795" w:name="_Toc297048389"/>
      <w:bookmarkEnd w:id="795"/>
      <w:bookmarkStart w:id="796" w:name="_Toc297216204"/>
      <w:bookmarkEnd w:id="796"/>
      <w:bookmarkStart w:id="797" w:name="_Toc300934994"/>
      <w:bookmarkEnd w:id="797"/>
      <w:bookmarkStart w:id="798" w:name="_Toc292559408"/>
      <w:bookmarkEnd w:id="798"/>
      <w:bookmarkStart w:id="799" w:name="_Toc296503203"/>
      <w:bookmarkEnd w:id="799"/>
      <w:bookmarkStart w:id="800" w:name="_Toc297120503"/>
      <w:bookmarkEnd w:id="800"/>
      <w:bookmarkStart w:id="801" w:name="_Toc292559913"/>
      <w:bookmarkEnd w:id="801"/>
      <w:bookmarkStart w:id="802" w:name="_Toc296346704"/>
      <w:bookmarkEnd w:id="802"/>
      <w:bookmarkStart w:id="803" w:name="_Toc297123545"/>
      <w:bookmarkEnd w:id="803"/>
      <w:bookmarkStart w:id="804" w:name="_Toc296891243"/>
      <w:bookmarkEnd w:id="804"/>
      <w:bookmarkStart w:id="805" w:name="_Toc296347202"/>
      <w:bookmarkEnd w:id="805"/>
      <w:bookmarkStart w:id="806" w:name="_Toc303539151"/>
      <w:bookmarkEnd w:id="806"/>
      <w:r>
        <w:rPr>
          <w:rFonts w:hint="eastAsia" w:ascii="宋体" w:hAnsi="宋体" w:cs="楷体"/>
          <w:sz w:val="24"/>
          <w:szCs w:val="24"/>
          <w:highlight w:val="none"/>
        </w:rPr>
        <w:t>包人的合理化建议</w:t>
      </w:r>
    </w:p>
    <w:p w14:paraId="02D5F4A2">
      <w:pPr>
        <w:spacing w:line="540" w:lineRule="exact"/>
        <w:rPr>
          <w:rFonts w:ascii="宋体" w:hAnsi="宋体" w:cs="楷体"/>
          <w:sz w:val="24"/>
          <w:szCs w:val="24"/>
          <w:highlight w:val="none"/>
        </w:rPr>
      </w:pPr>
      <w:r>
        <w:rPr>
          <w:rFonts w:hint="eastAsia" w:ascii="宋体" w:hAnsi="宋体" w:cs="楷体"/>
          <w:sz w:val="24"/>
          <w:szCs w:val="24"/>
          <w:highlight w:val="none"/>
        </w:rPr>
        <w:t>监理人审查承包人合理化建议的期限：</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89B9E44">
      <w:pPr>
        <w:spacing w:line="540" w:lineRule="exact"/>
        <w:rPr>
          <w:rFonts w:ascii="宋体" w:hAnsi="宋体" w:cs="楷体"/>
          <w:sz w:val="24"/>
          <w:szCs w:val="24"/>
          <w:highlight w:val="none"/>
        </w:rPr>
      </w:pPr>
      <w:r>
        <w:rPr>
          <w:rFonts w:hint="eastAsia" w:ascii="宋体" w:hAnsi="宋体" w:cs="楷体"/>
          <w:sz w:val="24"/>
          <w:szCs w:val="24"/>
          <w:highlight w:val="none"/>
        </w:rPr>
        <w:t>发包人审批承包人合理化建议的期限：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458F144">
      <w:pPr>
        <w:spacing w:line="540" w:lineRule="exact"/>
        <w:rPr>
          <w:rFonts w:ascii="宋体" w:hAnsi="宋体" w:cs="楷体"/>
          <w:sz w:val="24"/>
          <w:szCs w:val="24"/>
          <w:highlight w:val="none"/>
          <w:u w:val="single"/>
        </w:rPr>
      </w:pPr>
      <w:r>
        <w:rPr>
          <w:rFonts w:hint="eastAsia" w:ascii="宋体" w:hAnsi="宋体" w:cs="楷体"/>
          <w:sz w:val="24"/>
          <w:szCs w:val="24"/>
          <w:highlight w:val="none"/>
        </w:rPr>
        <w:t>承</w:t>
      </w:r>
      <w:bookmarkStart w:id="807" w:name="_Toc312678030"/>
      <w:bookmarkEnd w:id="807"/>
      <w:bookmarkStart w:id="808" w:name="_Toc296503204"/>
      <w:bookmarkEnd w:id="808"/>
      <w:bookmarkStart w:id="809" w:name="_Toc297048390"/>
      <w:bookmarkEnd w:id="809"/>
      <w:bookmarkStart w:id="810" w:name="_Toc296347203"/>
      <w:bookmarkEnd w:id="810"/>
      <w:bookmarkStart w:id="811" w:name="_Toc297120504"/>
      <w:bookmarkEnd w:id="811"/>
      <w:bookmarkStart w:id="812" w:name="_Toc296346705"/>
      <w:bookmarkEnd w:id="812"/>
      <w:bookmarkStart w:id="813" w:name="_Toc303539152"/>
      <w:bookmarkEnd w:id="813"/>
      <w:bookmarkStart w:id="814" w:name="_Toc296891032"/>
      <w:bookmarkEnd w:id="814"/>
      <w:bookmarkStart w:id="815" w:name="_Toc292559914"/>
      <w:bookmarkEnd w:id="815"/>
      <w:bookmarkStart w:id="816" w:name="_Toc297216205"/>
      <w:bookmarkEnd w:id="816"/>
      <w:bookmarkStart w:id="817" w:name="_Toc296891244"/>
      <w:bookmarkEnd w:id="817"/>
      <w:bookmarkStart w:id="818" w:name="_Toc300934995"/>
      <w:bookmarkEnd w:id="818"/>
      <w:bookmarkStart w:id="819" w:name="_Toc312677504"/>
      <w:bookmarkEnd w:id="819"/>
      <w:bookmarkStart w:id="820" w:name="_Toc297123546"/>
      <w:bookmarkEnd w:id="820"/>
      <w:bookmarkStart w:id="821" w:name="_Toc304295571"/>
      <w:bookmarkEnd w:id="821"/>
      <w:bookmarkStart w:id="822" w:name="_Toc292559409"/>
      <w:bookmarkEnd w:id="822"/>
      <w:bookmarkStart w:id="823" w:name="_Toc296944543"/>
      <w:bookmarkEnd w:id="823"/>
      <w:bookmarkStart w:id="824" w:name="_Toc318581175"/>
      <w:r>
        <w:rPr>
          <w:rFonts w:hint="eastAsia" w:ascii="宋体" w:hAnsi="宋体" w:cs="楷体"/>
          <w:sz w:val="24"/>
          <w:szCs w:val="24"/>
          <w:highlight w:val="none"/>
        </w:rPr>
        <w:t>包人提出的合理化建议降低了合同价格或者提高了工程经济效益的奖励的方法和金额为：</w:t>
      </w:r>
      <w:bookmarkEnd w:id="824"/>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0BEA27A5">
      <w:pPr>
        <w:spacing w:line="540" w:lineRule="exact"/>
        <w:rPr>
          <w:rFonts w:ascii="宋体" w:hAnsi="宋体" w:cs="楷体"/>
          <w:sz w:val="24"/>
          <w:szCs w:val="24"/>
          <w:highlight w:val="none"/>
        </w:rPr>
      </w:pPr>
      <w:r>
        <w:rPr>
          <w:rFonts w:hint="eastAsia" w:ascii="宋体" w:hAnsi="宋体" w:cs="楷体"/>
          <w:b/>
          <w:bCs/>
          <w:sz w:val="24"/>
          <w:szCs w:val="24"/>
          <w:highlight w:val="none"/>
        </w:rPr>
        <w:t>1</w:t>
      </w:r>
      <w:bookmarkStart w:id="825" w:name="_Toc312678033"/>
      <w:bookmarkEnd w:id="825"/>
      <w:bookmarkStart w:id="826" w:name="_Toc292559909"/>
      <w:bookmarkEnd w:id="826"/>
      <w:bookmarkStart w:id="827" w:name="_Toc297123548"/>
      <w:bookmarkEnd w:id="827"/>
      <w:bookmarkStart w:id="828" w:name="_Toc296346700"/>
      <w:bookmarkEnd w:id="828"/>
      <w:bookmarkStart w:id="829" w:name="_Toc296347198"/>
      <w:bookmarkEnd w:id="829"/>
      <w:bookmarkStart w:id="830" w:name="_Toc304295574"/>
      <w:bookmarkEnd w:id="830"/>
      <w:bookmarkStart w:id="831" w:name="_Toc296944538"/>
      <w:bookmarkEnd w:id="831"/>
      <w:bookmarkStart w:id="832" w:name="_Toc312677507"/>
      <w:bookmarkEnd w:id="832"/>
      <w:bookmarkStart w:id="833" w:name="_Toc292559404"/>
      <w:bookmarkEnd w:id="833"/>
      <w:bookmarkStart w:id="834" w:name="_Toc303539154"/>
      <w:bookmarkEnd w:id="834"/>
      <w:bookmarkStart w:id="835" w:name="_Toc297120499"/>
      <w:bookmarkEnd w:id="835"/>
      <w:bookmarkStart w:id="836" w:name="_Toc296503199"/>
      <w:bookmarkEnd w:id="836"/>
      <w:bookmarkStart w:id="837" w:name="_Toc296891239"/>
      <w:bookmarkEnd w:id="837"/>
      <w:bookmarkStart w:id="838" w:name="_Toc297048385"/>
      <w:bookmarkEnd w:id="838"/>
      <w:bookmarkStart w:id="839" w:name="_Toc297216207"/>
      <w:bookmarkEnd w:id="839"/>
      <w:bookmarkStart w:id="840" w:name="_Toc300934997"/>
      <w:bookmarkEnd w:id="840"/>
      <w:bookmarkStart w:id="841" w:name="_Toc296891027"/>
      <w:r>
        <w:rPr>
          <w:rFonts w:hint="eastAsia" w:ascii="宋体" w:hAnsi="宋体" w:cs="楷体"/>
          <w:b/>
          <w:bCs/>
          <w:sz w:val="24"/>
          <w:szCs w:val="24"/>
          <w:highlight w:val="none"/>
        </w:rPr>
        <w:t>0.7</w:t>
      </w:r>
      <w:bookmarkEnd w:id="841"/>
      <w:r>
        <w:rPr>
          <w:rFonts w:hint="eastAsia" w:ascii="宋体" w:hAnsi="宋体" w:cs="楷体"/>
          <w:sz w:val="24"/>
          <w:szCs w:val="24"/>
          <w:highlight w:val="none"/>
        </w:rPr>
        <w:t xml:space="preserve"> 暂估价</w:t>
      </w:r>
    </w:p>
    <w:p w14:paraId="62C2B97A">
      <w:pPr>
        <w:spacing w:line="540" w:lineRule="exact"/>
        <w:rPr>
          <w:rFonts w:ascii="宋体" w:hAnsi="宋体" w:cs="楷体"/>
          <w:sz w:val="24"/>
          <w:szCs w:val="24"/>
          <w:highlight w:val="none"/>
        </w:rPr>
      </w:pPr>
      <w:r>
        <w:rPr>
          <w:rFonts w:hint="eastAsia" w:ascii="宋体" w:hAnsi="宋体" w:cs="楷体"/>
          <w:sz w:val="24"/>
          <w:szCs w:val="24"/>
          <w:highlight w:val="none"/>
        </w:rPr>
        <w:t>暂</w:t>
      </w:r>
      <w:bookmarkStart w:id="842" w:name="_Toc312677508"/>
      <w:bookmarkEnd w:id="842"/>
      <w:bookmarkStart w:id="843" w:name="_Toc312678034"/>
      <w:bookmarkEnd w:id="843"/>
      <w:bookmarkStart w:id="844" w:name="_Toc318581176"/>
      <w:r>
        <w:rPr>
          <w:rFonts w:hint="eastAsia" w:ascii="宋体" w:hAnsi="宋体" w:cs="楷体"/>
          <w:sz w:val="24"/>
          <w:szCs w:val="24"/>
          <w:highlight w:val="none"/>
        </w:rPr>
        <w:t>估价材料和工程设备的明细</w:t>
      </w:r>
      <w:bookmarkEnd w:id="844"/>
    </w:p>
    <w:p w14:paraId="61449FC4">
      <w:pPr>
        <w:spacing w:line="540" w:lineRule="exact"/>
        <w:rPr>
          <w:rFonts w:ascii="宋体" w:hAnsi="宋体" w:cs="楷体"/>
          <w:sz w:val="24"/>
          <w:szCs w:val="24"/>
          <w:highlight w:val="none"/>
        </w:rPr>
      </w:pPr>
      <w:r>
        <w:rPr>
          <w:rFonts w:hint="eastAsia" w:ascii="宋体" w:hAnsi="宋体" w:cs="楷体"/>
          <w:sz w:val="24"/>
          <w:szCs w:val="24"/>
          <w:highlight w:val="none"/>
        </w:rPr>
        <w:t>1</w:t>
      </w:r>
      <w:bookmarkStart w:id="845" w:name="_Toc318581177"/>
      <w:bookmarkEnd w:id="845"/>
      <w:bookmarkStart w:id="846" w:name="_Toc312678035"/>
      <w:bookmarkEnd w:id="846"/>
      <w:bookmarkStart w:id="847" w:name="_Toc312677509"/>
      <w:r>
        <w:rPr>
          <w:rFonts w:hint="eastAsia" w:ascii="宋体" w:hAnsi="宋体" w:cs="楷体"/>
          <w:sz w:val="24"/>
          <w:szCs w:val="24"/>
          <w:highlight w:val="none"/>
        </w:rPr>
        <w:t>0.7.1 依法必须招标的暂估价项目</w:t>
      </w:r>
      <w:bookmarkEnd w:id="847"/>
    </w:p>
    <w:p w14:paraId="15DAA18B">
      <w:pPr>
        <w:spacing w:line="540" w:lineRule="exact"/>
        <w:rPr>
          <w:rFonts w:ascii="宋体" w:hAnsi="宋体" w:cs="楷体"/>
          <w:sz w:val="24"/>
          <w:szCs w:val="24"/>
          <w:highlight w:val="none"/>
        </w:rPr>
      </w:pPr>
      <w:r>
        <w:rPr>
          <w:rFonts w:hint="eastAsia" w:ascii="宋体" w:hAnsi="宋体" w:cs="楷体"/>
          <w:sz w:val="24"/>
          <w:szCs w:val="24"/>
          <w:highlight w:val="none"/>
        </w:rPr>
        <w:t>对于依法必须招标的暂估价项目的确认和批准采取第</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种方式确定。</w:t>
      </w:r>
    </w:p>
    <w:p w14:paraId="6A601F8B">
      <w:pPr>
        <w:spacing w:line="540" w:lineRule="exact"/>
        <w:rPr>
          <w:rFonts w:ascii="宋体" w:hAnsi="宋体" w:cs="楷体"/>
          <w:sz w:val="24"/>
          <w:szCs w:val="24"/>
          <w:highlight w:val="none"/>
        </w:rPr>
      </w:pPr>
      <w:r>
        <w:rPr>
          <w:rFonts w:hint="eastAsia" w:ascii="宋体" w:hAnsi="宋体" w:cs="楷体"/>
          <w:sz w:val="24"/>
          <w:szCs w:val="24"/>
          <w:highlight w:val="none"/>
        </w:rPr>
        <w:t>10.7.2 不属于依法必须招标的暂估价项目</w:t>
      </w:r>
    </w:p>
    <w:p w14:paraId="4EC3FBD9">
      <w:pPr>
        <w:spacing w:line="540" w:lineRule="exact"/>
        <w:rPr>
          <w:rFonts w:ascii="宋体" w:hAnsi="宋体" w:cs="楷体"/>
          <w:sz w:val="24"/>
          <w:szCs w:val="24"/>
          <w:highlight w:val="none"/>
        </w:rPr>
      </w:pPr>
      <w:r>
        <w:rPr>
          <w:rFonts w:hint="eastAsia" w:ascii="宋体" w:hAnsi="宋体" w:cs="楷体"/>
          <w:sz w:val="24"/>
          <w:szCs w:val="24"/>
          <w:highlight w:val="none"/>
        </w:rPr>
        <w:t>对于不属于依法必须招标的暂估价项目的确认和批准采取第</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种方式确定。</w:t>
      </w:r>
    </w:p>
    <w:p w14:paraId="254B01C4">
      <w:pPr>
        <w:spacing w:line="540" w:lineRule="exact"/>
        <w:rPr>
          <w:rFonts w:ascii="宋体" w:hAnsi="宋体" w:cs="楷体"/>
          <w:sz w:val="24"/>
          <w:szCs w:val="24"/>
          <w:highlight w:val="none"/>
        </w:rPr>
      </w:pPr>
      <w:r>
        <w:rPr>
          <w:rFonts w:hint="eastAsia" w:ascii="宋体" w:hAnsi="宋体" w:cs="楷体"/>
          <w:sz w:val="24"/>
          <w:szCs w:val="24"/>
          <w:highlight w:val="none"/>
        </w:rPr>
        <w:t>第3种方式：承包人直接实施的暂估价项目</w:t>
      </w:r>
    </w:p>
    <w:p w14:paraId="0A04FA02">
      <w:pPr>
        <w:spacing w:line="540" w:lineRule="exact"/>
        <w:rPr>
          <w:rFonts w:ascii="宋体" w:hAnsi="宋体" w:cs="楷体"/>
          <w:sz w:val="24"/>
          <w:szCs w:val="24"/>
          <w:highlight w:val="none"/>
        </w:rPr>
      </w:pPr>
      <w:r>
        <w:rPr>
          <w:rFonts w:hint="eastAsia" w:ascii="宋体" w:hAnsi="宋体" w:cs="楷体"/>
          <w:sz w:val="24"/>
          <w:szCs w:val="24"/>
          <w:highlight w:val="none"/>
        </w:rPr>
        <w:t>承包人直接实施的暂估价项目的约定：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709BC31">
      <w:pPr>
        <w:spacing w:line="540" w:lineRule="exact"/>
        <w:rPr>
          <w:rFonts w:ascii="宋体" w:hAnsi="宋体" w:cs="楷体"/>
          <w:sz w:val="24"/>
          <w:szCs w:val="24"/>
          <w:highlight w:val="none"/>
        </w:rPr>
      </w:pPr>
      <w:r>
        <w:rPr>
          <w:rFonts w:hint="eastAsia" w:ascii="宋体" w:hAnsi="宋体" w:cs="楷体"/>
          <w:b/>
          <w:bCs/>
          <w:sz w:val="24"/>
          <w:szCs w:val="24"/>
          <w:highlight w:val="none"/>
        </w:rPr>
        <w:t>10.8</w:t>
      </w:r>
      <w:r>
        <w:rPr>
          <w:rFonts w:hint="eastAsia" w:ascii="宋体" w:hAnsi="宋体" w:cs="楷体"/>
          <w:sz w:val="24"/>
          <w:szCs w:val="24"/>
          <w:highlight w:val="none"/>
        </w:rPr>
        <w:t xml:space="preserve"> 暂列金额</w:t>
      </w:r>
    </w:p>
    <w:p w14:paraId="048E1FCB">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合同当事人关于暂列金额使用的约定：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6308DCA">
      <w:pPr>
        <w:autoSpaceDE w:val="0"/>
        <w:autoSpaceDN w:val="0"/>
        <w:spacing w:line="540" w:lineRule="exact"/>
        <w:rPr>
          <w:rFonts w:ascii="宋体" w:hAnsi="宋体" w:cs="楷体"/>
          <w:b/>
          <w:bCs/>
          <w:sz w:val="24"/>
          <w:szCs w:val="24"/>
          <w:highlight w:val="none"/>
        </w:rPr>
      </w:pPr>
      <w:r>
        <w:rPr>
          <w:rFonts w:hint="eastAsia" w:ascii="宋体" w:hAnsi="宋体" w:cs="楷体"/>
          <w:b/>
          <w:bCs/>
          <w:sz w:val="24"/>
          <w:szCs w:val="24"/>
          <w:highlight w:val="none"/>
        </w:rPr>
        <w:t xml:space="preserve">10.9 </w:t>
      </w:r>
      <w:r>
        <w:rPr>
          <w:rFonts w:hint="eastAsia" w:ascii="宋体" w:hAnsi="宋体" w:cs="楷体"/>
          <w:sz w:val="24"/>
          <w:szCs w:val="24"/>
          <w:highlight w:val="none"/>
        </w:rPr>
        <w:t>工程变更按合同价款结算方式结算</w:t>
      </w:r>
    </w:p>
    <w:p w14:paraId="513F6639">
      <w:pPr>
        <w:keepNext/>
        <w:spacing w:line="540" w:lineRule="exact"/>
        <w:outlineLvl w:val="3"/>
        <w:rPr>
          <w:rFonts w:ascii="宋体" w:hAnsi="宋体" w:cs="楷体"/>
          <w:b/>
          <w:bCs/>
          <w:sz w:val="24"/>
          <w:szCs w:val="24"/>
          <w:highlight w:val="none"/>
        </w:rPr>
      </w:pPr>
      <w:bookmarkStart w:id="848" w:name="_Toc351203643"/>
      <w:bookmarkEnd w:id="848"/>
      <w:r>
        <w:rPr>
          <w:rFonts w:hint="eastAsia" w:ascii="宋体" w:hAnsi="宋体" w:cs="楷体"/>
          <w:b/>
          <w:bCs/>
          <w:sz w:val="24"/>
          <w:szCs w:val="24"/>
          <w:highlight w:val="none"/>
        </w:rPr>
        <w:t>11. 价格调整</w:t>
      </w:r>
    </w:p>
    <w:p w14:paraId="7565DAA2">
      <w:pPr>
        <w:spacing w:line="540" w:lineRule="exact"/>
        <w:rPr>
          <w:rFonts w:ascii="宋体" w:hAnsi="宋体" w:cs="楷体"/>
          <w:sz w:val="24"/>
          <w:szCs w:val="24"/>
          <w:highlight w:val="none"/>
        </w:rPr>
      </w:pPr>
      <w:bookmarkStart w:id="849" w:name="_Toc297216209"/>
      <w:bookmarkEnd w:id="849"/>
      <w:bookmarkStart w:id="850" w:name="_Toc300935000"/>
      <w:bookmarkEnd w:id="850"/>
      <w:bookmarkStart w:id="851" w:name="_Toc304295577"/>
      <w:bookmarkEnd w:id="851"/>
      <w:bookmarkStart w:id="852" w:name="_Toc292559911"/>
      <w:bookmarkEnd w:id="852"/>
      <w:bookmarkStart w:id="853" w:name="_Toc296503201"/>
      <w:bookmarkEnd w:id="853"/>
      <w:bookmarkStart w:id="854" w:name="_Toc292559406"/>
      <w:bookmarkEnd w:id="854"/>
      <w:bookmarkStart w:id="855" w:name="_Toc303539157"/>
      <w:bookmarkEnd w:id="855"/>
      <w:bookmarkStart w:id="856" w:name="_Toc297120501"/>
      <w:bookmarkEnd w:id="856"/>
      <w:bookmarkStart w:id="857" w:name="_Toc297048387"/>
      <w:bookmarkEnd w:id="857"/>
      <w:bookmarkStart w:id="858" w:name="_Toc296346702"/>
      <w:bookmarkEnd w:id="858"/>
      <w:bookmarkStart w:id="859" w:name="_Toc296891241"/>
      <w:bookmarkEnd w:id="859"/>
      <w:bookmarkStart w:id="860" w:name="_Toc296944540"/>
      <w:bookmarkEnd w:id="860"/>
      <w:bookmarkStart w:id="861" w:name="_Toc312678039"/>
      <w:bookmarkEnd w:id="861"/>
      <w:bookmarkStart w:id="862" w:name="_Toc296347200"/>
      <w:bookmarkEnd w:id="862"/>
      <w:bookmarkStart w:id="863" w:name="_Toc296891029"/>
      <w:bookmarkEnd w:id="863"/>
      <w:bookmarkStart w:id="864" w:name="_Toc297123550"/>
      <w:r>
        <w:rPr>
          <w:rFonts w:hint="eastAsia" w:ascii="宋体" w:hAnsi="宋体" w:cs="楷体"/>
          <w:b/>
          <w:bCs/>
          <w:sz w:val="24"/>
          <w:szCs w:val="24"/>
          <w:highlight w:val="none"/>
        </w:rPr>
        <w:t>11.1</w:t>
      </w:r>
      <w:bookmarkEnd w:id="864"/>
      <w:r>
        <w:rPr>
          <w:rFonts w:hint="eastAsia" w:ascii="宋体" w:hAnsi="宋体" w:cs="楷体"/>
          <w:sz w:val="24"/>
          <w:szCs w:val="24"/>
          <w:highlight w:val="none"/>
        </w:rPr>
        <w:t xml:space="preserve"> 市场价格波动引起的调整</w:t>
      </w:r>
    </w:p>
    <w:p w14:paraId="192399C3">
      <w:pPr>
        <w:spacing w:line="540" w:lineRule="exact"/>
        <w:rPr>
          <w:rFonts w:ascii="宋体" w:hAnsi="宋体" w:cs="楷体"/>
          <w:sz w:val="24"/>
          <w:szCs w:val="24"/>
          <w:highlight w:val="none"/>
        </w:rPr>
      </w:pPr>
      <w:r>
        <w:rPr>
          <w:rFonts w:hint="eastAsia" w:ascii="宋体" w:hAnsi="宋体" w:cs="楷体"/>
          <w:sz w:val="24"/>
          <w:szCs w:val="24"/>
          <w:highlight w:val="none"/>
        </w:rPr>
        <w:t>市场价格波动是否调整合同价格的约定：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ED2D511">
      <w:pPr>
        <w:spacing w:line="540" w:lineRule="exact"/>
        <w:rPr>
          <w:rFonts w:ascii="宋体" w:hAnsi="宋体" w:cs="楷体"/>
          <w:sz w:val="24"/>
          <w:szCs w:val="24"/>
          <w:highlight w:val="none"/>
        </w:rPr>
      </w:pPr>
      <w:r>
        <w:rPr>
          <w:rFonts w:hint="eastAsia" w:ascii="宋体" w:hAnsi="宋体" w:cs="楷体"/>
          <w:sz w:val="24"/>
          <w:szCs w:val="24"/>
          <w:highlight w:val="none"/>
        </w:rPr>
        <w:t>因市场价格波动调整合同价格，采用以下第</w:t>
      </w:r>
      <w:r>
        <w:rPr>
          <w:rFonts w:hint="eastAsia" w:ascii="宋体" w:hAnsi="宋体" w:cs="楷体"/>
          <w:sz w:val="24"/>
          <w:szCs w:val="24"/>
          <w:highlight w:val="none"/>
          <w:u w:val="single"/>
        </w:rPr>
        <w:t xml:space="preserve">  /  </w:t>
      </w:r>
      <w:r>
        <w:rPr>
          <w:rFonts w:hint="eastAsia" w:ascii="宋体" w:hAnsi="宋体" w:cs="楷体"/>
          <w:sz w:val="24"/>
          <w:szCs w:val="24"/>
          <w:highlight w:val="none"/>
        </w:rPr>
        <w:t>种方式对合同价格进行调整：</w:t>
      </w:r>
    </w:p>
    <w:p w14:paraId="7A7A5614">
      <w:pPr>
        <w:spacing w:line="540" w:lineRule="exact"/>
        <w:rPr>
          <w:rFonts w:ascii="宋体" w:hAnsi="宋体" w:cs="楷体"/>
          <w:sz w:val="24"/>
          <w:szCs w:val="24"/>
          <w:highlight w:val="none"/>
        </w:rPr>
      </w:pPr>
      <w:r>
        <w:rPr>
          <w:rFonts w:hint="eastAsia" w:ascii="宋体" w:hAnsi="宋体" w:cs="楷体"/>
          <w:sz w:val="24"/>
          <w:szCs w:val="24"/>
          <w:highlight w:val="none"/>
        </w:rPr>
        <w:t>第1种方式：采用价格指数进行价格调整。</w:t>
      </w:r>
    </w:p>
    <w:p w14:paraId="3BE293A8">
      <w:pPr>
        <w:spacing w:line="540" w:lineRule="exact"/>
        <w:rPr>
          <w:rFonts w:ascii="宋体" w:hAnsi="宋体" w:cs="楷体"/>
          <w:sz w:val="24"/>
          <w:szCs w:val="24"/>
          <w:highlight w:val="none"/>
          <w:u w:val="single"/>
        </w:rPr>
      </w:pPr>
      <w:r>
        <w:rPr>
          <w:rFonts w:hint="eastAsia" w:ascii="宋体" w:hAnsi="宋体" w:cs="楷体"/>
          <w:sz w:val="24"/>
          <w:szCs w:val="24"/>
          <w:highlight w:val="none"/>
        </w:rPr>
        <w:t>关于各可调因子、定值和变值权重，以及基本价格指数及其来源的约定：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B7E9EBE">
      <w:pPr>
        <w:spacing w:line="540" w:lineRule="exact"/>
        <w:rPr>
          <w:rFonts w:ascii="宋体" w:hAnsi="宋体" w:cs="楷体"/>
          <w:sz w:val="24"/>
          <w:szCs w:val="24"/>
          <w:highlight w:val="none"/>
        </w:rPr>
      </w:pPr>
      <w:r>
        <w:rPr>
          <w:rFonts w:hint="eastAsia" w:ascii="宋体" w:hAnsi="宋体" w:cs="楷体"/>
          <w:sz w:val="24"/>
          <w:szCs w:val="24"/>
          <w:highlight w:val="none"/>
        </w:rPr>
        <w:t>第2种方式：采用造价信息进行价格调整。</w:t>
      </w:r>
    </w:p>
    <w:p w14:paraId="70785585">
      <w:pPr>
        <w:spacing w:line="540" w:lineRule="exact"/>
        <w:rPr>
          <w:rFonts w:ascii="宋体" w:hAnsi="宋体" w:cs="楷体"/>
          <w:sz w:val="24"/>
          <w:szCs w:val="24"/>
          <w:highlight w:val="none"/>
        </w:rPr>
      </w:pPr>
      <w:r>
        <w:rPr>
          <w:rFonts w:hint="eastAsia" w:ascii="宋体" w:hAnsi="宋体" w:cs="楷体"/>
          <w:sz w:val="24"/>
          <w:szCs w:val="24"/>
          <w:highlight w:val="none"/>
        </w:rPr>
        <w:t>（2）关于基准价格的约定：</w:t>
      </w:r>
      <w:r>
        <w:rPr>
          <w:rFonts w:hint="eastAsia" w:ascii="宋体" w:hAnsi="宋体" w:cs="楷体"/>
          <w:sz w:val="24"/>
          <w:szCs w:val="24"/>
          <w:highlight w:val="none"/>
          <w:u w:val="single"/>
        </w:rPr>
        <w:t xml:space="preserve">      /     。</w:t>
      </w:r>
    </w:p>
    <w:p w14:paraId="37941C50">
      <w:pPr>
        <w:spacing w:line="540" w:lineRule="exact"/>
        <w:rPr>
          <w:rFonts w:ascii="宋体" w:hAnsi="宋体" w:cs="楷体"/>
          <w:sz w:val="24"/>
          <w:szCs w:val="24"/>
          <w:highlight w:val="none"/>
        </w:rPr>
      </w:pPr>
      <w:r>
        <w:rPr>
          <w:rFonts w:hint="eastAsia" w:ascii="宋体" w:hAnsi="宋体" w:cs="楷体"/>
          <w:sz w:val="24"/>
          <w:szCs w:val="24"/>
          <w:highlight w:val="none"/>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14:paraId="21CA8834">
      <w:pPr>
        <w:spacing w:line="540" w:lineRule="exact"/>
        <w:rPr>
          <w:rFonts w:ascii="宋体" w:hAnsi="宋体" w:cs="楷体"/>
          <w:sz w:val="24"/>
          <w:szCs w:val="24"/>
          <w:highlight w:val="none"/>
        </w:rPr>
      </w:pPr>
      <w:r>
        <w:rPr>
          <w:rFonts w:hint="eastAsia" w:ascii="宋体" w:hAnsi="宋体" w:cs="楷体"/>
          <w:sz w:val="24"/>
          <w:szCs w:val="24"/>
          <w:highlight w:val="none"/>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14:paraId="453098C0">
      <w:pPr>
        <w:spacing w:line="540" w:lineRule="exact"/>
        <w:rPr>
          <w:rFonts w:ascii="宋体" w:hAnsi="宋体" w:cs="楷体"/>
          <w:sz w:val="24"/>
          <w:szCs w:val="24"/>
          <w:highlight w:val="none"/>
        </w:rPr>
      </w:pPr>
      <w:r>
        <w:rPr>
          <w:rFonts w:hint="eastAsia" w:ascii="宋体" w:hAnsi="宋体" w:cs="楷体"/>
          <w:sz w:val="24"/>
          <w:szCs w:val="24"/>
          <w:highlight w:val="none"/>
        </w:rPr>
        <w:t>③承包人在已标价工程量清单或预算书中载明的材料单价等于基准单价的：专用合同条款合同履行期间材料单价涨跌幅以基准单价为基础超过±%时，其超过部分据实调整。</w:t>
      </w:r>
    </w:p>
    <w:p w14:paraId="2BE9E5A9">
      <w:pPr>
        <w:spacing w:line="540" w:lineRule="exact"/>
        <w:rPr>
          <w:rFonts w:ascii="宋体" w:hAnsi="宋体" w:cs="楷体"/>
          <w:sz w:val="24"/>
          <w:szCs w:val="24"/>
          <w:highlight w:val="none"/>
        </w:rPr>
      </w:pPr>
      <w:r>
        <w:rPr>
          <w:rFonts w:hint="eastAsia" w:ascii="宋体" w:hAnsi="宋体" w:cs="楷体"/>
          <w:sz w:val="24"/>
          <w:szCs w:val="24"/>
          <w:highlight w:val="none"/>
        </w:rPr>
        <w:t>第3种方式：其他价格调整方式：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B6CA821">
      <w:pPr>
        <w:keepNext/>
        <w:spacing w:line="540" w:lineRule="exact"/>
        <w:outlineLvl w:val="3"/>
        <w:rPr>
          <w:rFonts w:ascii="宋体" w:hAnsi="宋体" w:cs="楷体"/>
          <w:b/>
          <w:bCs/>
          <w:sz w:val="24"/>
          <w:szCs w:val="24"/>
          <w:highlight w:val="none"/>
        </w:rPr>
      </w:pPr>
      <w:bookmarkStart w:id="865" w:name="_Toc312678040"/>
      <w:bookmarkEnd w:id="865"/>
      <w:bookmarkStart w:id="866" w:name="_Toc292559915"/>
      <w:bookmarkEnd w:id="866"/>
      <w:bookmarkStart w:id="867" w:name="_Toc297123552"/>
      <w:bookmarkEnd w:id="867"/>
      <w:bookmarkStart w:id="868" w:name="_Toc296347204"/>
      <w:bookmarkEnd w:id="868"/>
      <w:bookmarkStart w:id="869" w:name="_Toc292559410"/>
      <w:bookmarkEnd w:id="869"/>
      <w:bookmarkStart w:id="870" w:name="_Toc304295579"/>
      <w:bookmarkEnd w:id="870"/>
      <w:bookmarkStart w:id="871" w:name="_Toc296503205"/>
      <w:bookmarkEnd w:id="871"/>
      <w:bookmarkStart w:id="872" w:name="_Toc300935002"/>
      <w:bookmarkEnd w:id="872"/>
      <w:bookmarkStart w:id="873" w:name="_Toc296346706"/>
      <w:bookmarkEnd w:id="873"/>
      <w:bookmarkStart w:id="874" w:name="_Toc297216211"/>
      <w:bookmarkEnd w:id="874"/>
      <w:bookmarkStart w:id="875" w:name="_Toc297048391"/>
      <w:bookmarkEnd w:id="875"/>
      <w:bookmarkStart w:id="876" w:name="_Toc296891033"/>
      <w:bookmarkEnd w:id="876"/>
      <w:bookmarkStart w:id="877" w:name="_Toc303539159"/>
      <w:bookmarkEnd w:id="877"/>
      <w:bookmarkStart w:id="878" w:name="_Toc297120505"/>
      <w:bookmarkEnd w:id="878"/>
      <w:bookmarkStart w:id="879" w:name="_Toc296944544"/>
      <w:bookmarkEnd w:id="879"/>
      <w:bookmarkStart w:id="880" w:name="_Toc351203644"/>
      <w:bookmarkEnd w:id="880"/>
      <w:bookmarkStart w:id="881" w:name="_Toc296891245"/>
      <w:r>
        <w:rPr>
          <w:rFonts w:hint="eastAsia" w:ascii="宋体" w:hAnsi="宋体" w:cs="楷体"/>
          <w:b/>
          <w:bCs/>
          <w:sz w:val="24"/>
          <w:szCs w:val="24"/>
          <w:highlight w:val="none"/>
        </w:rPr>
        <w:t xml:space="preserve">12. </w:t>
      </w:r>
      <w:bookmarkEnd w:id="881"/>
      <w:r>
        <w:rPr>
          <w:rFonts w:hint="eastAsia" w:ascii="宋体" w:hAnsi="宋体" w:cs="楷体"/>
          <w:b/>
          <w:bCs/>
          <w:sz w:val="24"/>
          <w:szCs w:val="24"/>
          <w:highlight w:val="none"/>
        </w:rPr>
        <w:t>合同价格、计量与支付</w:t>
      </w:r>
    </w:p>
    <w:p w14:paraId="655971CA">
      <w:pPr>
        <w:spacing w:line="540" w:lineRule="exact"/>
        <w:rPr>
          <w:rFonts w:ascii="宋体" w:hAnsi="宋体" w:cs="楷体"/>
          <w:sz w:val="24"/>
          <w:szCs w:val="24"/>
          <w:highlight w:val="none"/>
        </w:rPr>
      </w:pPr>
      <w:bookmarkStart w:id="882" w:name="_Toc296891034"/>
      <w:bookmarkEnd w:id="882"/>
      <w:bookmarkStart w:id="883" w:name="_Toc296891246"/>
      <w:bookmarkEnd w:id="883"/>
      <w:bookmarkStart w:id="884" w:name="_Toc297120506"/>
      <w:bookmarkEnd w:id="884"/>
      <w:bookmarkStart w:id="885" w:name="_Toc297123553"/>
      <w:bookmarkEnd w:id="885"/>
      <w:bookmarkStart w:id="886" w:name="_Toc297048392"/>
      <w:bookmarkEnd w:id="886"/>
      <w:bookmarkStart w:id="887" w:name="_Toc267251461"/>
      <w:bookmarkEnd w:id="887"/>
      <w:bookmarkStart w:id="888" w:name="_Toc296503206"/>
      <w:bookmarkEnd w:id="888"/>
      <w:bookmarkStart w:id="889" w:name="_Toc296347205"/>
      <w:bookmarkEnd w:id="889"/>
      <w:bookmarkStart w:id="890" w:name="_Toc297216212"/>
      <w:bookmarkEnd w:id="890"/>
      <w:bookmarkStart w:id="891" w:name="_Toc303539160"/>
      <w:bookmarkEnd w:id="891"/>
      <w:bookmarkStart w:id="892" w:name="_Toc296346707"/>
      <w:bookmarkEnd w:id="892"/>
      <w:bookmarkStart w:id="893" w:name="_Toc312678041"/>
      <w:bookmarkEnd w:id="893"/>
      <w:bookmarkStart w:id="894" w:name="_Toc300935003"/>
      <w:bookmarkEnd w:id="894"/>
      <w:bookmarkStart w:id="895" w:name="_Toc304295580"/>
      <w:bookmarkEnd w:id="895"/>
      <w:bookmarkStart w:id="896" w:name="_Toc292559916"/>
      <w:bookmarkEnd w:id="896"/>
      <w:bookmarkStart w:id="897" w:name="_Toc296944545"/>
      <w:bookmarkEnd w:id="897"/>
      <w:bookmarkStart w:id="898" w:name="_Toc292559411"/>
      <w:r>
        <w:rPr>
          <w:rFonts w:hint="eastAsia" w:ascii="宋体" w:hAnsi="宋体" w:cs="楷体"/>
          <w:b/>
          <w:bCs/>
          <w:sz w:val="24"/>
          <w:szCs w:val="24"/>
          <w:highlight w:val="none"/>
        </w:rPr>
        <w:t>12.1</w:t>
      </w:r>
      <w:bookmarkEnd w:id="898"/>
      <w:r>
        <w:rPr>
          <w:rFonts w:hint="eastAsia" w:ascii="宋体" w:hAnsi="宋体" w:cs="楷体"/>
          <w:sz w:val="24"/>
          <w:szCs w:val="24"/>
          <w:highlight w:val="none"/>
        </w:rPr>
        <w:t xml:space="preserve"> 合同价格形式</w:t>
      </w:r>
    </w:p>
    <w:p w14:paraId="1B72383A">
      <w:pPr>
        <w:spacing w:line="540" w:lineRule="exact"/>
        <w:rPr>
          <w:rFonts w:ascii="宋体" w:hAnsi="宋体" w:cs="楷体"/>
          <w:sz w:val="24"/>
          <w:szCs w:val="24"/>
          <w:highlight w:val="none"/>
        </w:rPr>
      </w:pPr>
      <w:r>
        <w:rPr>
          <w:rFonts w:hint="eastAsia" w:ascii="宋体" w:hAnsi="宋体" w:cs="楷体"/>
          <w:sz w:val="24"/>
          <w:szCs w:val="24"/>
          <w:highlight w:val="none"/>
        </w:rPr>
        <w:t>1、单价合同。</w:t>
      </w:r>
    </w:p>
    <w:p w14:paraId="17398959">
      <w:pPr>
        <w:spacing w:line="540" w:lineRule="exact"/>
        <w:rPr>
          <w:rFonts w:ascii="宋体" w:hAnsi="宋体" w:cs="楷体"/>
          <w:sz w:val="24"/>
          <w:szCs w:val="24"/>
          <w:highlight w:val="none"/>
        </w:rPr>
      </w:pPr>
      <w:r>
        <w:rPr>
          <w:rFonts w:hint="eastAsia" w:ascii="宋体" w:hAnsi="宋体" w:cs="楷体"/>
          <w:sz w:val="24"/>
          <w:szCs w:val="24"/>
          <w:highlight w:val="none"/>
        </w:rPr>
        <w:t>综合单价包含的风险范围：</w:t>
      </w:r>
      <w:r>
        <w:rPr>
          <w:rFonts w:hint="eastAsia" w:ascii="宋体" w:hAnsi="宋体" w:cs="楷体"/>
          <w:sz w:val="24"/>
          <w:szCs w:val="24"/>
          <w:highlight w:val="none"/>
          <w:u w:val="single"/>
        </w:rPr>
        <w:t xml:space="preserve">      按规定执行                     </w:t>
      </w:r>
      <w:r>
        <w:rPr>
          <w:rFonts w:hint="eastAsia" w:ascii="宋体" w:hAnsi="宋体" w:cs="楷体"/>
          <w:sz w:val="24"/>
          <w:szCs w:val="24"/>
          <w:highlight w:val="none"/>
        </w:rPr>
        <w:t>。</w:t>
      </w:r>
    </w:p>
    <w:p w14:paraId="48D99F30">
      <w:pPr>
        <w:spacing w:line="540" w:lineRule="exact"/>
        <w:rPr>
          <w:rFonts w:ascii="宋体" w:hAnsi="宋体" w:cs="楷体"/>
          <w:sz w:val="24"/>
          <w:szCs w:val="24"/>
          <w:highlight w:val="none"/>
        </w:rPr>
      </w:pPr>
      <w:r>
        <w:rPr>
          <w:rFonts w:hint="eastAsia" w:ascii="宋体" w:hAnsi="宋体" w:cs="楷体"/>
          <w:sz w:val="24"/>
          <w:szCs w:val="24"/>
          <w:highlight w:val="none"/>
        </w:rPr>
        <w:t>风险费用的计算方法：</w:t>
      </w:r>
      <w:r>
        <w:rPr>
          <w:rFonts w:hint="eastAsia" w:ascii="宋体" w:hAnsi="宋体" w:cs="楷体"/>
          <w:sz w:val="24"/>
          <w:szCs w:val="24"/>
          <w:highlight w:val="none"/>
          <w:u w:val="single"/>
        </w:rPr>
        <w:t xml:space="preserve">           双方约定                              </w:t>
      </w:r>
      <w:r>
        <w:rPr>
          <w:rFonts w:hint="eastAsia" w:ascii="宋体" w:hAnsi="宋体" w:cs="楷体"/>
          <w:sz w:val="24"/>
          <w:szCs w:val="24"/>
          <w:highlight w:val="none"/>
        </w:rPr>
        <w:t>。</w:t>
      </w:r>
    </w:p>
    <w:p w14:paraId="29B068C4">
      <w:pPr>
        <w:spacing w:line="540" w:lineRule="exact"/>
        <w:rPr>
          <w:rFonts w:ascii="宋体" w:hAnsi="宋体" w:cs="楷体"/>
          <w:sz w:val="24"/>
          <w:szCs w:val="24"/>
          <w:highlight w:val="none"/>
        </w:rPr>
      </w:pPr>
      <w:r>
        <w:rPr>
          <w:rFonts w:hint="eastAsia" w:ascii="宋体" w:hAnsi="宋体" w:cs="楷体"/>
          <w:sz w:val="24"/>
          <w:szCs w:val="24"/>
          <w:highlight w:val="none"/>
        </w:rPr>
        <w:t>风险范围以外合同价格的调整方法：</w:t>
      </w:r>
      <w:r>
        <w:rPr>
          <w:rFonts w:hint="eastAsia" w:ascii="宋体" w:hAnsi="宋体" w:cs="楷体"/>
          <w:sz w:val="24"/>
          <w:szCs w:val="24"/>
          <w:highlight w:val="none"/>
          <w:u w:val="single"/>
        </w:rPr>
        <w:t xml:space="preserve">          双方约定                   </w:t>
      </w:r>
      <w:r>
        <w:rPr>
          <w:rFonts w:hint="eastAsia" w:ascii="宋体" w:hAnsi="宋体" w:cs="楷体"/>
          <w:sz w:val="24"/>
          <w:szCs w:val="24"/>
          <w:highlight w:val="none"/>
        </w:rPr>
        <w:t>。</w:t>
      </w:r>
    </w:p>
    <w:p w14:paraId="5016C80F">
      <w:pPr>
        <w:spacing w:line="540" w:lineRule="exact"/>
        <w:rPr>
          <w:rFonts w:ascii="宋体" w:hAnsi="宋体" w:cs="楷体"/>
          <w:sz w:val="24"/>
          <w:szCs w:val="24"/>
          <w:highlight w:val="none"/>
        </w:rPr>
      </w:pPr>
      <w:r>
        <w:rPr>
          <w:rFonts w:hint="eastAsia" w:ascii="宋体" w:hAnsi="宋体" w:cs="楷体"/>
          <w:sz w:val="24"/>
          <w:szCs w:val="24"/>
          <w:highlight w:val="none"/>
        </w:rPr>
        <w:t>2、总价合同。</w:t>
      </w:r>
    </w:p>
    <w:p w14:paraId="7DFFEC77">
      <w:pPr>
        <w:spacing w:line="540" w:lineRule="exact"/>
        <w:rPr>
          <w:rFonts w:ascii="宋体" w:hAnsi="宋体" w:cs="楷体"/>
          <w:sz w:val="24"/>
          <w:szCs w:val="24"/>
          <w:highlight w:val="none"/>
        </w:rPr>
      </w:pPr>
      <w:r>
        <w:rPr>
          <w:rFonts w:hint="eastAsia" w:ascii="宋体" w:hAnsi="宋体" w:cs="楷体"/>
          <w:sz w:val="24"/>
          <w:szCs w:val="24"/>
          <w:highlight w:val="none"/>
        </w:rPr>
        <w:t>总价包含的风险范围：</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3A7735B3">
      <w:pPr>
        <w:spacing w:line="540" w:lineRule="exact"/>
        <w:rPr>
          <w:rFonts w:ascii="宋体" w:hAnsi="宋体" w:cs="楷体"/>
          <w:sz w:val="24"/>
          <w:szCs w:val="24"/>
          <w:highlight w:val="none"/>
        </w:rPr>
      </w:pPr>
      <w:r>
        <w:rPr>
          <w:rFonts w:hint="eastAsia" w:ascii="宋体" w:hAnsi="宋体" w:cs="楷体"/>
          <w:sz w:val="24"/>
          <w:szCs w:val="24"/>
          <w:highlight w:val="none"/>
        </w:rPr>
        <w:t>风险费用的计算方法：</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0918E70">
      <w:pPr>
        <w:spacing w:line="540" w:lineRule="exact"/>
        <w:rPr>
          <w:rFonts w:ascii="宋体" w:hAnsi="宋体" w:cs="楷体"/>
          <w:sz w:val="24"/>
          <w:szCs w:val="24"/>
          <w:highlight w:val="none"/>
        </w:rPr>
      </w:pPr>
      <w:r>
        <w:rPr>
          <w:rFonts w:hint="eastAsia" w:ascii="宋体" w:hAnsi="宋体" w:cs="楷体"/>
          <w:sz w:val="24"/>
          <w:szCs w:val="24"/>
          <w:highlight w:val="none"/>
        </w:rPr>
        <w:t>风险范围以外合同价格的调整方法：</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C8E3658">
      <w:pPr>
        <w:spacing w:line="540" w:lineRule="exact"/>
        <w:rPr>
          <w:rFonts w:ascii="宋体" w:hAnsi="宋体" w:cs="楷体"/>
          <w:sz w:val="24"/>
          <w:szCs w:val="24"/>
          <w:highlight w:val="none"/>
        </w:rPr>
      </w:pPr>
      <w:r>
        <w:rPr>
          <w:rFonts w:hint="eastAsia" w:ascii="宋体" w:hAnsi="宋体" w:cs="楷体"/>
          <w:sz w:val="24"/>
          <w:szCs w:val="24"/>
          <w:highlight w:val="none"/>
        </w:rPr>
        <w:t>3、其他价格方式：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137C25F4">
      <w:pPr>
        <w:spacing w:line="540" w:lineRule="exact"/>
        <w:rPr>
          <w:rFonts w:ascii="宋体" w:hAnsi="宋体" w:cs="楷体"/>
          <w:sz w:val="24"/>
          <w:szCs w:val="24"/>
          <w:highlight w:val="none"/>
        </w:rPr>
      </w:pPr>
      <w:bookmarkStart w:id="899" w:name="_Toc303539161"/>
      <w:bookmarkEnd w:id="899"/>
      <w:bookmarkStart w:id="900" w:name="_Toc297123554"/>
      <w:bookmarkEnd w:id="900"/>
      <w:bookmarkStart w:id="901" w:name="_Toc297048393"/>
      <w:bookmarkEnd w:id="901"/>
      <w:bookmarkStart w:id="902" w:name="_Toc292559917"/>
      <w:bookmarkEnd w:id="902"/>
      <w:bookmarkStart w:id="903" w:name="_Toc296347206"/>
      <w:bookmarkEnd w:id="903"/>
      <w:bookmarkStart w:id="904" w:name="_Toc296891035"/>
      <w:bookmarkEnd w:id="904"/>
      <w:bookmarkStart w:id="905" w:name="_Toc296891247"/>
      <w:bookmarkEnd w:id="905"/>
      <w:bookmarkStart w:id="906" w:name="_Toc304295581"/>
      <w:bookmarkEnd w:id="906"/>
      <w:bookmarkStart w:id="907" w:name="_Toc297216213"/>
      <w:bookmarkEnd w:id="907"/>
      <w:bookmarkStart w:id="908" w:name="_Toc312678042"/>
      <w:bookmarkEnd w:id="908"/>
      <w:bookmarkStart w:id="909" w:name="_Toc296944546"/>
      <w:bookmarkEnd w:id="909"/>
      <w:bookmarkStart w:id="910" w:name="_Toc297120507"/>
      <w:bookmarkEnd w:id="910"/>
      <w:bookmarkStart w:id="911" w:name="_Toc292559412"/>
      <w:bookmarkEnd w:id="911"/>
      <w:bookmarkStart w:id="912" w:name="_Toc296503207"/>
      <w:bookmarkEnd w:id="912"/>
      <w:bookmarkStart w:id="913" w:name="_Toc296346708"/>
      <w:bookmarkEnd w:id="913"/>
      <w:bookmarkStart w:id="914" w:name="_Toc300935004"/>
      <w:r>
        <w:rPr>
          <w:rFonts w:hint="eastAsia" w:ascii="宋体" w:hAnsi="宋体" w:cs="楷体"/>
          <w:b/>
          <w:bCs/>
          <w:sz w:val="24"/>
          <w:szCs w:val="24"/>
          <w:highlight w:val="none"/>
        </w:rPr>
        <w:t xml:space="preserve">12.2 </w:t>
      </w:r>
      <w:bookmarkEnd w:id="914"/>
      <w:r>
        <w:rPr>
          <w:rFonts w:hint="eastAsia" w:ascii="宋体" w:hAnsi="宋体" w:cs="楷体"/>
          <w:sz w:val="24"/>
          <w:szCs w:val="24"/>
          <w:highlight w:val="none"/>
        </w:rPr>
        <w:t>预付款</w:t>
      </w:r>
    </w:p>
    <w:p w14:paraId="69C4A438">
      <w:pPr>
        <w:spacing w:line="540" w:lineRule="exact"/>
        <w:rPr>
          <w:rFonts w:ascii="宋体" w:hAnsi="宋体" w:cs="楷体"/>
          <w:sz w:val="24"/>
          <w:szCs w:val="24"/>
          <w:highlight w:val="none"/>
        </w:rPr>
      </w:pPr>
      <w:r>
        <w:rPr>
          <w:rFonts w:hint="eastAsia" w:ascii="宋体" w:hAnsi="宋体" w:cs="楷体"/>
          <w:sz w:val="24"/>
          <w:szCs w:val="24"/>
          <w:highlight w:val="none"/>
        </w:rPr>
        <w:t>12.2.1 预付款的支付</w:t>
      </w:r>
    </w:p>
    <w:p w14:paraId="6102C479">
      <w:pPr>
        <w:spacing w:line="540" w:lineRule="exact"/>
        <w:rPr>
          <w:rFonts w:ascii="宋体" w:hAnsi="宋体" w:cs="楷体"/>
          <w:sz w:val="24"/>
          <w:szCs w:val="24"/>
          <w:highlight w:val="none"/>
        </w:rPr>
      </w:pPr>
      <w:r>
        <w:rPr>
          <w:rFonts w:hint="eastAsia" w:ascii="宋体" w:hAnsi="宋体" w:cs="楷体"/>
          <w:sz w:val="24"/>
          <w:szCs w:val="24"/>
          <w:highlight w:val="none"/>
        </w:rPr>
        <w:t>预付款支付比例或金额：。</w:t>
      </w:r>
    </w:p>
    <w:p w14:paraId="4597D23F">
      <w:pPr>
        <w:spacing w:line="540" w:lineRule="exact"/>
        <w:rPr>
          <w:rFonts w:ascii="宋体" w:hAnsi="宋体" w:cs="楷体"/>
          <w:sz w:val="24"/>
          <w:szCs w:val="24"/>
          <w:highlight w:val="none"/>
        </w:rPr>
      </w:pPr>
      <w:r>
        <w:rPr>
          <w:rFonts w:hint="eastAsia" w:ascii="宋体" w:hAnsi="宋体" w:cs="楷体"/>
          <w:sz w:val="24"/>
          <w:szCs w:val="24"/>
          <w:highlight w:val="none"/>
        </w:rPr>
        <w:t>预付款支付期限：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3878ECE4">
      <w:pPr>
        <w:spacing w:line="540" w:lineRule="exact"/>
        <w:rPr>
          <w:rFonts w:ascii="宋体" w:hAnsi="宋体" w:cs="楷体"/>
          <w:sz w:val="24"/>
          <w:szCs w:val="24"/>
          <w:highlight w:val="none"/>
        </w:rPr>
      </w:pPr>
      <w:r>
        <w:rPr>
          <w:rFonts w:hint="eastAsia" w:ascii="宋体" w:hAnsi="宋体" w:cs="楷体"/>
          <w:sz w:val="24"/>
          <w:szCs w:val="24"/>
          <w:highlight w:val="none"/>
        </w:rPr>
        <w:t>预付款扣回的方式：</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613E1586">
      <w:pPr>
        <w:spacing w:line="540" w:lineRule="exact"/>
        <w:rPr>
          <w:rFonts w:ascii="宋体" w:hAnsi="宋体" w:cs="楷体"/>
          <w:sz w:val="24"/>
          <w:szCs w:val="24"/>
          <w:highlight w:val="none"/>
        </w:rPr>
      </w:pPr>
      <w:r>
        <w:rPr>
          <w:rFonts w:hint="eastAsia" w:ascii="宋体" w:hAnsi="宋体" w:cs="楷体"/>
          <w:sz w:val="24"/>
          <w:szCs w:val="24"/>
          <w:highlight w:val="none"/>
        </w:rPr>
        <w:t>12.2.2 预付款担保</w:t>
      </w:r>
    </w:p>
    <w:p w14:paraId="77717C9C">
      <w:pPr>
        <w:spacing w:line="540" w:lineRule="exact"/>
        <w:rPr>
          <w:rFonts w:ascii="宋体" w:hAnsi="宋体" w:cs="楷体"/>
          <w:sz w:val="24"/>
          <w:szCs w:val="24"/>
          <w:highlight w:val="none"/>
        </w:rPr>
      </w:pPr>
      <w:r>
        <w:rPr>
          <w:rFonts w:hint="eastAsia" w:ascii="宋体" w:hAnsi="宋体" w:cs="楷体"/>
          <w:sz w:val="24"/>
          <w:szCs w:val="24"/>
          <w:highlight w:val="none"/>
        </w:rPr>
        <w:t>承包人提交预付款担保的期限：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E9712CF">
      <w:pPr>
        <w:spacing w:line="540" w:lineRule="exact"/>
        <w:rPr>
          <w:rFonts w:ascii="宋体" w:hAnsi="宋体" w:cs="楷体"/>
          <w:sz w:val="24"/>
          <w:szCs w:val="24"/>
          <w:highlight w:val="none"/>
        </w:rPr>
      </w:pPr>
      <w:r>
        <w:rPr>
          <w:rFonts w:hint="eastAsia" w:ascii="宋体" w:hAnsi="宋体" w:cs="楷体"/>
          <w:sz w:val="24"/>
          <w:szCs w:val="24"/>
          <w:highlight w:val="none"/>
        </w:rPr>
        <w:t>预付款担保的形式为：</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90C1AC9">
      <w:pPr>
        <w:spacing w:line="540" w:lineRule="exact"/>
        <w:rPr>
          <w:rFonts w:ascii="宋体" w:hAnsi="宋体" w:cs="楷体"/>
          <w:sz w:val="24"/>
          <w:szCs w:val="24"/>
          <w:highlight w:val="none"/>
        </w:rPr>
      </w:pPr>
      <w:r>
        <w:rPr>
          <w:rFonts w:hint="eastAsia" w:ascii="宋体" w:hAnsi="宋体" w:cs="楷体"/>
          <w:b/>
          <w:bCs/>
          <w:sz w:val="24"/>
          <w:szCs w:val="24"/>
          <w:highlight w:val="none"/>
        </w:rPr>
        <w:t>12.3</w:t>
      </w:r>
      <w:r>
        <w:rPr>
          <w:rFonts w:hint="eastAsia" w:ascii="宋体" w:hAnsi="宋体" w:cs="楷体"/>
          <w:sz w:val="24"/>
          <w:szCs w:val="24"/>
          <w:highlight w:val="none"/>
        </w:rPr>
        <w:t xml:space="preserve"> 计量</w:t>
      </w:r>
    </w:p>
    <w:p w14:paraId="787A8C0D">
      <w:pPr>
        <w:spacing w:line="540" w:lineRule="exact"/>
        <w:rPr>
          <w:rFonts w:ascii="宋体" w:hAnsi="宋体" w:cs="楷体"/>
          <w:sz w:val="24"/>
          <w:szCs w:val="24"/>
          <w:highlight w:val="none"/>
        </w:rPr>
      </w:pPr>
      <w:r>
        <w:rPr>
          <w:rFonts w:hint="eastAsia" w:ascii="宋体" w:hAnsi="宋体" w:cs="楷体"/>
          <w:sz w:val="24"/>
          <w:szCs w:val="24"/>
          <w:highlight w:val="none"/>
        </w:rPr>
        <w:t>12.3.1 计量原则</w:t>
      </w:r>
    </w:p>
    <w:p w14:paraId="6470B2F7">
      <w:pPr>
        <w:spacing w:line="540" w:lineRule="exact"/>
        <w:rPr>
          <w:rFonts w:ascii="宋体" w:hAnsi="宋体" w:cs="楷体"/>
          <w:sz w:val="24"/>
          <w:szCs w:val="24"/>
          <w:highlight w:val="none"/>
        </w:rPr>
      </w:pPr>
      <w:r>
        <w:rPr>
          <w:rFonts w:hint="eastAsia" w:ascii="宋体" w:hAnsi="宋体" w:cs="楷体"/>
          <w:sz w:val="24"/>
          <w:szCs w:val="24"/>
          <w:highlight w:val="none"/>
        </w:rPr>
        <w:t>工程量计算规则：</w:t>
      </w:r>
      <w:r>
        <w:rPr>
          <w:rFonts w:hint="eastAsia" w:ascii="宋体" w:hAnsi="宋体" w:cs="楷体"/>
          <w:sz w:val="24"/>
          <w:szCs w:val="24"/>
          <w:highlight w:val="none"/>
          <w:u w:val="single"/>
        </w:rPr>
        <w:t xml:space="preserve">         按规定执行                             </w:t>
      </w:r>
      <w:r>
        <w:rPr>
          <w:rFonts w:hint="eastAsia" w:ascii="宋体" w:hAnsi="宋体" w:cs="楷体"/>
          <w:sz w:val="24"/>
          <w:szCs w:val="24"/>
          <w:highlight w:val="none"/>
        </w:rPr>
        <w:t>。</w:t>
      </w:r>
    </w:p>
    <w:p w14:paraId="074F69CA">
      <w:pPr>
        <w:spacing w:line="540" w:lineRule="exact"/>
        <w:rPr>
          <w:rFonts w:ascii="宋体" w:hAnsi="宋体" w:cs="楷体"/>
          <w:sz w:val="24"/>
          <w:szCs w:val="24"/>
          <w:highlight w:val="none"/>
        </w:rPr>
      </w:pPr>
      <w:r>
        <w:rPr>
          <w:rFonts w:hint="eastAsia" w:ascii="宋体" w:hAnsi="宋体" w:cs="楷体"/>
          <w:b/>
          <w:bCs/>
          <w:sz w:val="24"/>
          <w:szCs w:val="24"/>
          <w:highlight w:val="none"/>
        </w:rPr>
        <w:t>12.4</w:t>
      </w:r>
      <w:r>
        <w:rPr>
          <w:rFonts w:hint="eastAsia" w:ascii="宋体" w:hAnsi="宋体" w:cs="楷体"/>
          <w:sz w:val="24"/>
          <w:szCs w:val="24"/>
          <w:highlight w:val="none"/>
        </w:rPr>
        <w:t xml:space="preserve"> 工程进度款支付</w:t>
      </w:r>
    </w:p>
    <w:p w14:paraId="0EBDFC66">
      <w:pPr>
        <w:spacing w:line="540" w:lineRule="exact"/>
        <w:rPr>
          <w:rFonts w:ascii="宋体" w:hAnsi="宋体" w:cs="楷体"/>
          <w:sz w:val="24"/>
          <w:szCs w:val="24"/>
          <w:highlight w:val="none"/>
        </w:rPr>
      </w:pPr>
      <w:bookmarkStart w:id="915" w:name="_Toc296891039"/>
      <w:bookmarkEnd w:id="915"/>
      <w:bookmarkStart w:id="916" w:name="_Toc297216215"/>
      <w:bookmarkEnd w:id="916"/>
      <w:bookmarkStart w:id="917" w:name="_Toc297120511"/>
      <w:bookmarkEnd w:id="917"/>
      <w:bookmarkStart w:id="918" w:name="_Toc297048397"/>
      <w:bookmarkEnd w:id="918"/>
      <w:bookmarkStart w:id="919" w:name="_Toc296944550"/>
      <w:bookmarkEnd w:id="919"/>
      <w:bookmarkStart w:id="920" w:name="_Toc296503211"/>
      <w:bookmarkEnd w:id="920"/>
      <w:bookmarkStart w:id="921" w:name="_Toc296347210"/>
      <w:bookmarkEnd w:id="921"/>
      <w:bookmarkStart w:id="922" w:name="_Toc292559416"/>
      <w:bookmarkEnd w:id="922"/>
      <w:bookmarkStart w:id="923" w:name="_Toc303539163"/>
      <w:bookmarkEnd w:id="923"/>
      <w:bookmarkStart w:id="924" w:name="_Toc292559921"/>
      <w:bookmarkEnd w:id="924"/>
      <w:bookmarkStart w:id="925" w:name="_Toc300935006"/>
      <w:bookmarkEnd w:id="925"/>
      <w:bookmarkStart w:id="926" w:name="_Toc297123556"/>
      <w:bookmarkEnd w:id="926"/>
      <w:bookmarkStart w:id="927" w:name="_Toc296346712"/>
      <w:bookmarkEnd w:id="927"/>
      <w:bookmarkStart w:id="928" w:name="_Toc296891251"/>
      <w:r>
        <w:rPr>
          <w:rFonts w:hint="eastAsia" w:ascii="宋体" w:hAnsi="宋体" w:cs="楷体"/>
          <w:sz w:val="24"/>
          <w:szCs w:val="24"/>
          <w:highlight w:val="none"/>
        </w:rPr>
        <w:t>12.4.1 付款周期</w:t>
      </w:r>
      <w:bookmarkEnd w:id="928"/>
    </w:p>
    <w:p w14:paraId="179E8319">
      <w:pPr>
        <w:spacing w:line="540" w:lineRule="exact"/>
        <w:rPr>
          <w:rFonts w:ascii="宋体" w:hAnsi="宋体" w:cs="楷体"/>
          <w:sz w:val="24"/>
          <w:szCs w:val="24"/>
          <w:highlight w:val="none"/>
          <w:u w:val="single"/>
        </w:rPr>
      </w:pPr>
      <w:r>
        <w:rPr>
          <w:rFonts w:hint="eastAsia" w:ascii="宋体" w:hAnsi="宋体" w:cs="楷体"/>
          <w:sz w:val="24"/>
          <w:szCs w:val="24"/>
          <w:highlight w:val="none"/>
        </w:rPr>
        <w:t>关于付款周期的约定：</w:t>
      </w:r>
      <w:r>
        <w:rPr>
          <w:rFonts w:hint="eastAsia" w:ascii="宋体" w:hAnsi="宋体" w:cs="楷体"/>
          <w:sz w:val="24"/>
          <w:szCs w:val="24"/>
          <w:highlight w:val="none"/>
          <w:u w:val="single"/>
        </w:rPr>
        <w:t>（2）         \        。</w:t>
      </w:r>
    </w:p>
    <w:p w14:paraId="24BE0682">
      <w:pPr>
        <w:spacing w:line="540" w:lineRule="exact"/>
        <w:rPr>
          <w:rFonts w:ascii="宋体" w:hAnsi="宋体" w:cs="楷体"/>
          <w:sz w:val="24"/>
          <w:szCs w:val="24"/>
          <w:highlight w:val="none"/>
        </w:rPr>
      </w:pPr>
      <w:r>
        <w:rPr>
          <w:rFonts w:hint="eastAsia" w:ascii="宋体" w:hAnsi="宋体" w:cs="楷体"/>
          <w:sz w:val="24"/>
          <w:szCs w:val="24"/>
          <w:highlight w:val="none"/>
        </w:rPr>
        <w:t>12.4.2 进度付款申请单的编制</w:t>
      </w:r>
    </w:p>
    <w:p w14:paraId="14F2C332">
      <w:pPr>
        <w:spacing w:line="540" w:lineRule="exact"/>
        <w:rPr>
          <w:rFonts w:ascii="宋体" w:hAnsi="宋体" w:cs="楷体"/>
          <w:sz w:val="24"/>
          <w:szCs w:val="24"/>
          <w:highlight w:val="none"/>
        </w:rPr>
      </w:pPr>
      <w:r>
        <w:rPr>
          <w:rFonts w:hint="eastAsia" w:ascii="宋体" w:hAnsi="宋体" w:cs="楷体"/>
          <w:sz w:val="24"/>
          <w:szCs w:val="24"/>
          <w:highlight w:val="none"/>
        </w:rPr>
        <w:t>关于进度付款申请单编制的约定：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20E8E390">
      <w:pPr>
        <w:spacing w:line="540" w:lineRule="exact"/>
        <w:rPr>
          <w:rFonts w:ascii="宋体" w:hAnsi="宋体" w:cs="楷体"/>
          <w:sz w:val="24"/>
          <w:szCs w:val="24"/>
          <w:highlight w:val="none"/>
        </w:rPr>
      </w:pPr>
      <w:r>
        <w:rPr>
          <w:rFonts w:hint="eastAsia" w:ascii="宋体" w:hAnsi="宋体" w:cs="楷体"/>
          <w:sz w:val="24"/>
          <w:szCs w:val="24"/>
          <w:highlight w:val="none"/>
        </w:rPr>
        <w:t>12.4.3 进度付款申请单的提交</w:t>
      </w:r>
    </w:p>
    <w:p w14:paraId="436A86F4">
      <w:pPr>
        <w:spacing w:line="540" w:lineRule="exact"/>
        <w:rPr>
          <w:rFonts w:ascii="宋体" w:hAnsi="宋体" w:cs="楷体"/>
          <w:sz w:val="24"/>
          <w:szCs w:val="24"/>
          <w:highlight w:val="none"/>
        </w:rPr>
      </w:pPr>
      <w:r>
        <w:rPr>
          <w:rFonts w:hint="eastAsia" w:ascii="宋体" w:hAnsi="宋体" w:cs="楷体"/>
          <w:sz w:val="24"/>
          <w:szCs w:val="24"/>
          <w:highlight w:val="none"/>
        </w:rPr>
        <w:t>（1）单价合同进度付款申请单提交的约定：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0ABCC2E">
      <w:pPr>
        <w:spacing w:line="540" w:lineRule="exact"/>
        <w:rPr>
          <w:rFonts w:ascii="宋体" w:hAnsi="宋体" w:cs="楷体"/>
          <w:sz w:val="24"/>
          <w:szCs w:val="24"/>
          <w:highlight w:val="none"/>
        </w:rPr>
      </w:pPr>
      <w:r>
        <w:rPr>
          <w:rFonts w:hint="eastAsia" w:ascii="宋体" w:hAnsi="宋体" w:cs="楷体"/>
          <w:sz w:val="24"/>
          <w:szCs w:val="24"/>
          <w:highlight w:val="none"/>
        </w:rPr>
        <w:t>（2）总价合同进度付款申请单提交的约定：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1515BA85">
      <w:pPr>
        <w:spacing w:line="540" w:lineRule="exact"/>
        <w:rPr>
          <w:rFonts w:ascii="宋体" w:hAnsi="宋体" w:cs="楷体"/>
          <w:sz w:val="24"/>
          <w:szCs w:val="24"/>
          <w:highlight w:val="none"/>
        </w:rPr>
      </w:pPr>
      <w:r>
        <w:rPr>
          <w:rFonts w:hint="eastAsia" w:ascii="宋体" w:hAnsi="宋体" w:cs="楷体"/>
          <w:sz w:val="24"/>
          <w:szCs w:val="24"/>
          <w:highlight w:val="none"/>
        </w:rPr>
        <w:t>（3）其他价格形式合同进度付款申请单提交的约定：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40E79EE6">
      <w:pPr>
        <w:spacing w:line="540" w:lineRule="exact"/>
        <w:rPr>
          <w:rFonts w:ascii="宋体" w:hAnsi="宋体" w:cs="楷体"/>
          <w:sz w:val="24"/>
          <w:szCs w:val="24"/>
          <w:highlight w:val="none"/>
        </w:rPr>
      </w:pPr>
      <w:r>
        <w:rPr>
          <w:rFonts w:hint="eastAsia" w:ascii="宋体" w:hAnsi="宋体" w:cs="楷体"/>
          <w:sz w:val="24"/>
          <w:szCs w:val="24"/>
          <w:highlight w:val="none"/>
        </w:rPr>
        <w:t>12.4.4 进度款审核和支付</w:t>
      </w:r>
    </w:p>
    <w:p w14:paraId="6628756E">
      <w:pPr>
        <w:spacing w:line="540" w:lineRule="exact"/>
        <w:rPr>
          <w:rFonts w:ascii="宋体" w:hAnsi="宋体" w:cs="楷体"/>
          <w:sz w:val="24"/>
          <w:szCs w:val="24"/>
          <w:highlight w:val="none"/>
          <w:u w:val="single"/>
        </w:rPr>
      </w:pPr>
      <w:r>
        <w:rPr>
          <w:rFonts w:hint="eastAsia" w:ascii="宋体" w:hAnsi="宋体" w:cs="楷体"/>
          <w:sz w:val="24"/>
          <w:szCs w:val="24"/>
          <w:highlight w:val="none"/>
        </w:rPr>
        <w:t>（1）监理人审查并报送发包人的期限：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E66DEA1">
      <w:pPr>
        <w:spacing w:line="540" w:lineRule="exact"/>
        <w:rPr>
          <w:rFonts w:ascii="宋体" w:hAnsi="宋体" w:cs="楷体"/>
          <w:sz w:val="24"/>
          <w:szCs w:val="24"/>
          <w:highlight w:val="none"/>
        </w:rPr>
      </w:pPr>
      <w:r>
        <w:rPr>
          <w:rFonts w:hint="eastAsia" w:ascii="宋体" w:hAnsi="宋体" w:cs="楷体"/>
          <w:sz w:val="24"/>
          <w:szCs w:val="24"/>
          <w:highlight w:val="none"/>
        </w:rPr>
        <w:t>发包人完成审批并签发进度款支付证书的期限：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CCBED25">
      <w:pPr>
        <w:spacing w:line="540" w:lineRule="exact"/>
        <w:rPr>
          <w:rFonts w:ascii="宋体" w:hAnsi="宋体" w:cs="楷体"/>
          <w:sz w:val="24"/>
          <w:szCs w:val="24"/>
          <w:highlight w:val="none"/>
        </w:rPr>
      </w:pPr>
      <w:r>
        <w:rPr>
          <w:rFonts w:hint="eastAsia" w:ascii="宋体" w:hAnsi="宋体" w:cs="楷体"/>
          <w:sz w:val="24"/>
          <w:szCs w:val="24"/>
          <w:highlight w:val="none"/>
        </w:rPr>
        <w:t>（2）发包人支付进度款的期限：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C9A6E10">
      <w:pPr>
        <w:spacing w:line="540" w:lineRule="exact"/>
        <w:rPr>
          <w:rFonts w:ascii="宋体" w:hAnsi="宋体" w:cs="楷体"/>
          <w:sz w:val="24"/>
          <w:szCs w:val="24"/>
          <w:highlight w:val="none"/>
        </w:rPr>
      </w:pPr>
      <w:r>
        <w:rPr>
          <w:rFonts w:hint="eastAsia" w:ascii="宋体" w:hAnsi="宋体" w:cs="楷体"/>
          <w:sz w:val="24"/>
          <w:szCs w:val="24"/>
          <w:highlight w:val="none"/>
        </w:rPr>
        <w:t>发包人逾期支付进度款的违约金的计算方式：。</w:t>
      </w:r>
    </w:p>
    <w:p w14:paraId="3EB1441D">
      <w:pPr>
        <w:spacing w:line="540" w:lineRule="exact"/>
        <w:rPr>
          <w:rFonts w:ascii="宋体" w:hAnsi="宋体" w:cs="楷体"/>
          <w:sz w:val="24"/>
          <w:szCs w:val="24"/>
          <w:highlight w:val="none"/>
        </w:rPr>
      </w:pPr>
      <w:r>
        <w:rPr>
          <w:rFonts w:hint="eastAsia" w:ascii="宋体" w:hAnsi="宋体" w:cs="楷体"/>
          <w:sz w:val="24"/>
          <w:szCs w:val="24"/>
          <w:highlight w:val="none"/>
        </w:rPr>
        <w:t>12.4.6 支付分解表的编制</w:t>
      </w:r>
    </w:p>
    <w:p w14:paraId="3D63B4C8">
      <w:pPr>
        <w:spacing w:line="540" w:lineRule="exact"/>
        <w:rPr>
          <w:rFonts w:ascii="宋体" w:hAnsi="宋体" w:cs="楷体"/>
          <w:sz w:val="24"/>
          <w:szCs w:val="24"/>
          <w:highlight w:val="none"/>
        </w:rPr>
      </w:pPr>
      <w:r>
        <w:rPr>
          <w:rFonts w:hint="eastAsia" w:ascii="宋体" w:hAnsi="宋体" w:cs="楷体"/>
          <w:sz w:val="24"/>
          <w:szCs w:val="24"/>
          <w:highlight w:val="none"/>
        </w:rPr>
        <w:t>2、总价合同支付分解表的编制与审批：</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452B8B9">
      <w:pPr>
        <w:spacing w:line="540" w:lineRule="exact"/>
        <w:rPr>
          <w:rFonts w:ascii="宋体" w:hAnsi="宋体" w:cs="楷体"/>
          <w:sz w:val="24"/>
          <w:szCs w:val="24"/>
          <w:highlight w:val="none"/>
        </w:rPr>
      </w:pPr>
      <w:r>
        <w:rPr>
          <w:rFonts w:hint="eastAsia" w:ascii="宋体" w:hAnsi="宋体" w:cs="楷体"/>
          <w:sz w:val="24"/>
          <w:szCs w:val="24"/>
          <w:highlight w:val="none"/>
        </w:rPr>
        <w:t>3、单价合同的总价项目支付分解表的编制与审批：</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0ACC118B">
      <w:pPr>
        <w:keepNext/>
        <w:spacing w:line="540" w:lineRule="exact"/>
        <w:outlineLvl w:val="3"/>
        <w:rPr>
          <w:rFonts w:ascii="宋体" w:hAnsi="宋体" w:cs="楷体"/>
          <w:b/>
          <w:bCs/>
          <w:sz w:val="24"/>
          <w:szCs w:val="24"/>
          <w:highlight w:val="none"/>
        </w:rPr>
      </w:pPr>
      <w:bookmarkStart w:id="929" w:name="_Toc351203645"/>
      <w:bookmarkEnd w:id="929"/>
      <w:bookmarkStart w:id="930" w:name="_Toc296944558"/>
      <w:bookmarkEnd w:id="930"/>
      <w:bookmarkStart w:id="931" w:name="_Toc303539172"/>
      <w:bookmarkEnd w:id="931"/>
      <w:bookmarkStart w:id="932" w:name="_Toc297048405"/>
      <w:bookmarkEnd w:id="932"/>
      <w:bookmarkStart w:id="933" w:name="_Toc312678053"/>
      <w:bookmarkEnd w:id="933"/>
      <w:bookmarkStart w:id="934" w:name="_Toc292559929"/>
      <w:bookmarkEnd w:id="934"/>
      <w:bookmarkStart w:id="935" w:name="_Toc304295593"/>
      <w:bookmarkEnd w:id="935"/>
      <w:bookmarkStart w:id="936" w:name="_Toc292559424"/>
      <w:bookmarkEnd w:id="936"/>
      <w:bookmarkStart w:id="937" w:name="_Toc300935015"/>
      <w:bookmarkEnd w:id="937"/>
      <w:bookmarkStart w:id="938" w:name="_Toc297123564"/>
      <w:bookmarkEnd w:id="938"/>
      <w:bookmarkStart w:id="939" w:name="_Toc296347218"/>
      <w:bookmarkEnd w:id="939"/>
      <w:bookmarkStart w:id="940" w:name="_Toc296346720"/>
      <w:bookmarkEnd w:id="940"/>
      <w:bookmarkStart w:id="941" w:name="_Toc296891047"/>
      <w:bookmarkEnd w:id="941"/>
      <w:bookmarkStart w:id="942" w:name="_Toc296891259"/>
      <w:bookmarkEnd w:id="942"/>
      <w:bookmarkStart w:id="943" w:name="_Toc297216223"/>
      <w:bookmarkEnd w:id="943"/>
      <w:bookmarkStart w:id="944" w:name="_Toc296503219"/>
      <w:bookmarkEnd w:id="944"/>
      <w:bookmarkStart w:id="945" w:name="_Toc297120519"/>
      <w:r>
        <w:rPr>
          <w:rFonts w:hint="eastAsia" w:ascii="宋体" w:hAnsi="宋体" w:cs="楷体"/>
          <w:b/>
          <w:bCs/>
          <w:sz w:val="24"/>
          <w:szCs w:val="24"/>
          <w:highlight w:val="none"/>
        </w:rPr>
        <w:t>13. 验收和工程试车</w:t>
      </w:r>
      <w:bookmarkEnd w:id="945"/>
    </w:p>
    <w:p w14:paraId="4C999854">
      <w:pPr>
        <w:spacing w:line="540" w:lineRule="exact"/>
        <w:rPr>
          <w:rFonts w:ascii="宋体" w:hAnsi="宋体" w:cs="楷体"/>
          <w:sz w:val="24"/>
          <w:szCs w:val="24"/>
          <w:highlight w:val="none"/>
        </w:rPr>
      </w:pPr>
      <w:r>
        <w:rPr>
          <w:rFonts w:hint="eastAsia" w:ascii="宋体" w:hAnsi="宋体" w:cs="楷体"/>
          <w:b/>
          <w:bCs/>
          <w:sz w:val="24"/>
          <w:szCs w:val="24"/>
          <w:highlight w:val="none"/>
        </w:rPr>
        <w:t>13.1</w:t>
      </w:r>
      <w:r>
        <w:rPr>
          <w:rFonts w:hint="eastAsia" w:ascii="宋体" w:hAnsi="宋体" w:cs="楷体"/>
          <w:sz w:val="24"/>
          <w:szCs w:val="24"/>
          <w:highlight w:val="none"/>
        </w:rPr>
        <w:t xml:space="preserve"> 分部分项工程验收</w:t>
      </w:r>
    </w:p>
    <w:p w14:paraId="3433A2A0">
      <w:pPr>
        <w:spacing w:line="540" w:lineRule="exact"/>
        <w:rPr>
          <w:rFonts w:ascii="宋体" w:hAnsi="宋体" w:cs="楷体"/>
          <w:sz w:val="24"/>
          <w:szCs w:val="24"/>
          <w:highlight w:val="none"/>
        </w:rPr>
      </w:pPr>
      <w:r>
        <w:rPr>
          <w:rFonts w:hint="eastAsia" w:ascii="宋体" w:hAnsi="宋体" w:cs="楷体"/>
          <w:sz w:val="24"/>
          <w:szCs w:val="24"/>
          <w:highlight w:val="none"/>
        </w:rPr>
        <w:t>13.1.2监理人不能按时进行验收时，应提前</w:t>
      </w:r>
      <w:r>
        <w:rPr>
          <w:rFonts w:hint="eastAsia" w:ascii="宋体" w:hAnsi="宋体" w:cs="楷体"/>
          <w:sz w:val="24"/>
          <w:szCs w:val="24"/>
          <w:highlight w:val="none"/>
          <w:u w:val="single"/>
        </w:rPr>
        <w:t xml:space="preserve">  8  </w:t>
      </w:r>
      <w:r>
        <w:rPr>
          <w:rFonts w:hint="eastAsia" w:ascii="宋体" w:hAnsi="宋体" w:cs="楷体"/>
          <w:sz w:val="24"/>
          <w:szCs w:val="24"/>
          <w:highlight w:val="none"/>
        </w:rPr>
        <w:t>小时提交书面延期要求。</w:t>
      </w:r>
    </w:p>
    <w:p w14:paraId="34F0CDC6">
      <w:pPr>
        <w:spacing w:line="540" w:lineRule="exact"/>
        <w:rPr>
          <w:rFonts w:ascii="宋体" w:hAnsi="宋体" w:cs="楷体"/>
          <w:b/>
          <w:bCs/>
          <w:sz w:val="24"/>
          <w:szCs w:val="24"/>
          <w:highlight w:val="none"/>
        </w:rPr>
      </w:pPr>
      <w:r>
        <w:rPr>
          <w:rFonts w:hint="eastAsia" w:ascii="宋体" w:hAnsi="宋体" w:cs="楷体"/>
          <w:sz w:val="24"/>
          <w:szCs w:val="24"/>
          <w:highlight w:val="none"/>
        </w:rPr>
        <w:t>关于延期最长不得超过：</w:t>
      </w:r>
      <w:r>
        <w:rPr>
          <w:rFonts w:hint="eastAsia" w:ascii="宋体" w:hAnsi="宋体" w:cs="楷体"/>
          <w:sz w:val="24"/>
          <w:szCs w:val="24"/>
          <w:highlight w:val="none"/>
          <w:u w:val="single"/>
        </w:rPr>
        <w:t xml:space="preserve">   24     </w:t>
      </w:r>
      <w:r>
        <w:rPr>
          <w:rFonts w:hint="eastAsia" w:ascii="宋体" w:hAnsi="宋体" w:cs="楷体"/>
          <w:sz w:val="24"/>
          <w:szCs w:val="24"/>
          <w:highlight w:val="none"/>
        </w:rPr>
        <w:t>小时。</w:t>
      </w:r>
    </w:p>
    <w:p w14:paraId="2DF2556C">
      <w:pPr>
        <w:spacing w:line="540" w:lineRule="exact"/>
        <w:rPr>
          <w:rFonts w:ascii="宋体" w:hAnsi="宋体" w:cs="楷体"/>
          <w:sz w:val="24"/>
          <w:szCs w:val="24"/>
          <w:highlight w:val="none"/>
        </w:rPr>
      </w:pPr>
      <w:bookmarkStart w:id="946" w:name="_Toc312678056"/>
      <w:bookmarkEnd w:id="946"/>
      <w:bookmarkStart w:id="947" w:name="_Toc267251474"/>
      <w:bookmarkEnd w:id="947"/>
      <w:bookmarkStart w:id="948" w:name="_Toc267251476"/>
      <w:bookmarkEnd w:id="948"/>
      <w:bookmarkStart w:id="949" w:name="_Toc297120523"/>
      <w:bookmarkEnd w:id="949"/>
      <w:bookmarkStart w:id="950" w:name="_Toc296944562"/>
      <w:bookmarkEnd w:id="950"/>
      <w:bookmarkStart w:id="951" w:name="_Toc296346724"/>
      <w:bookmarkEnd w:id="951"/>
      <w:bookmarkStart w:id="952" w:name="_Toc296503223"/>
      <w:bookmarkEnd w:id="952"/>
      <w:bookmarkStart w:id="953" w:name="_Toc267251473"/>
      <w:bookmarkEnd w:id="953"/>
      <w:bookmarkStart w:id="954" w:name="_Toc297048409"/>
      <w:bookmarkEnd w:id="954"/>
      <w:bookmarkStart w:id="955" w:name="_Toc300935016"/>
      <w:bookmarkEnd w:id="955"/>
      <w:bookmarkStart w:id="956" w:name="_Toc267251472"/>
      <w:bookmarkEnd w:id="956"/>
      <w:bookmarkStart w:id="957" w:name="_Toc303539173"/>
      <w:bookmarkEnd w:id="957"/>
      <w:bookmarkStart w:id="958" w:name="_Toc297216224"/>
      <w:bookmarkEnd w:id="958"/>
      <w:bookmarkStart w:id="959" w:name="_Toc297123565"/>
      <w:bookmarkEnd w:id="959"/>
      <w:bookmarkStart w:id="960" w:name="_Toc292559428"/>
      <w:bookmarkEnd w:id="960"/>
      <w:bookmarkStart w:id="961" w:name="_Toc267251470"/>
      <w:bookmarkEnd w:id="961"/>
      <w:bookmarkStart w:id="962" w:name="_Toc296891263"/>
      <w:bookmarkEnd w:id="962"/>
      <w:bookmarkStart w:id="963" w:name="_Toc267251471"/>
      <w:bookmarkEnd w:id="963"/>
      <w:bookmarkStart w:id="964" w:name="_Toc292559933"/>
      <w:bookmarkEnd w:id="964"/>
      <w:bookmarkStart w:id="965" w:name="_Toc296347222"/>
      <w:bookmarkEnd w:id="965"/>
      <w:bookmarkStart w:id="966" w:name="_Toc304295596"/>
      <w:bookmarkEnd w:id="966"/>
      <w:bookmarkStart w:id="967" w:name="_Toc296891051"/>
      <w:bookmarkEnd w:id="967"/>
      <w:bookmarkStart w:id="968" w:name="_Toc267251475"/>
      <w:r>
        <w:rPr>
          <w:rFonts w:hint="eastAsia" w:ascii="宋体" w:hAnsi="宋体" w:cs="楷体"/>
          <w:b/>
          <w:bCs/>
          <w:sz w:val="24"/>
          <w:szCs w:val="24"/>
          <w:highlight w:val="none"/>
        </w:rPr>
        <w:t>13.2</w:t>
      </w:r>
      <w:bookmarkEnd w:id="968"/>
      <w:r>
        <w:rPr>
          <w:rFonts w:hint="eastAsia" w:ascii="宋体" w:hAnsi="宋体" w:cs="楷体"/>
          <w:sz w:val="24"/>
          <w:szCs w:val="24"/>
          <w:highlight w:val="none"/>
        </w:rPr>
        <w:t xml:space="preserve"> 竣工验收</w:t>
      </w:r>
    </w:p>
    <w:p w14:paraId="4AD24FA7">
      <w:pPr>
        <w:spacing w:line="540" w:lineRule="exact"/>
        <w:rPr>
          <w:rFonts w:ascii="宋体" w:hAnsi="宋体" w:cs="楷体"/>
          <w:sz w:val="24"/>
          <w:szCs w:val="24"/>
          <w:highlight w:val="none"/>
        </w:rPr>
      </w:pPr>
      <w:bookmarkStart w:id="969" w:name="_Toc280868707"/>
      <w:bookmarkEnd w:id="969"/>
      <w:bookmarkStart w:id="970" w:name="_Toc280868704"/>
      <w:bookmarkEnd w:id="970"/>
      <w:bookmarkStart w:id="971" w:name="_Toc280868705"/>
      <w:bookmarkEnd w:id="971"/>
      <w:bookmarkStart w:id="972" w:name="_Toc280868706"/>
      <w:bookmarkEnd w:id="972"/>
      <w:bookmarkStart w:id="973" w:name="_Toc280868708"/>
      <w:bookmarkEnd w:id="973"/>
      <w:bookmarkStart w:id="974" w:name="_Toc280868709"/>
      <w:bookmarkEnd w:id="974"/>
      <w:r>
        <w:rPr>
          <w:rFonts w:hint="eastAsia" w:ascii="宋体" w:hAnsi="宋体" w:cs="楷体"/>
          <w:sz w:val="24"/>
          <w:szCs w:val="24"/>
          <w:highlight w:val="none"/>
        </w:rPr>
        <w:t>13.2.2竣工验收程序</w:t>
      </w:r>
    </w:p>
    <w:p w14:paraId="33B87432">
      <w:pPr>
        <w:spacing w:line="540" w:lineRule="exact"/>
        <w:rPr>
          <w:rFonts w:ascii="宋体" w:hAnsi="宋体" w:cs="楷体"/>
          <w:sz w:val="24"/>
          <w:szCs w:val="24"/>
          <w:highlight w:val="none"/>
        </w:rPr>
      </w:pPr>
      <w:r>
        <w:rPr>
          <w:rFonts w:hint="eastAsia" w:ascii="宋体" w:hAnsi="宋体" w:cs="楷体"/>
          <w:sz w:val="24"/>
          <w:szCs w:val="24"/>
          <w:highlight w:val="none"/>
        </w:rPr>
        <w:t>关于竣工验收程序的约定：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63B7152E">
      <w:pPr>
        <w:spacing w:line="540" w:lineRule="exact"/>
        <w:rPr>
          <w:rFonts w:ascii="宋体" w:hAnsi="宋体" w:cs="楷体"/>
          <w:sz w:val="24"/>
          <w:szCs w:val="24"/>
          <w:highlight w:val="none"/>
        </w:rPr>
      </w:pPr>
      <w:r>
        <w:rPr>
          <w:rFonts w:hint="eastAsia" w:ascii="宋体" w:hAnsi="宋体" w:cs="楷体"/>
          <w:sz w:val="24"/>
          <w:szCs w:val="24"/>
          <w:highlight w:val="none"/>
        </w:rPr>
        <w:t>发包人不按照本项约定组织竣工验收、颁发工程接收证书的违约金的计算方法：</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4906830B">
      <w:pPr>
        <w:spacing w:line="540" w:lineRule="exact"/>
        <w:rPr>
          <w:rFonts w:ascii="宋体" w:hAnsi="宋体" w:cs="楷体"/>
          <w:sz w:val="24"/>
          <w:szCs w:val="24"/>
          <w:highlight w:val="none"/>
        </w:rPr>
      </w:pPr>
      <w:r>
        <w:rPr>
          <w:rFonts w:hint="eastAsia" w:ascii="宋体" w:hAnsi="宋体" w:cs="楷体"/>
          <w:sz w:val="24"/>
          <w:szCs w:val="24"/>
          <w:highlight w:val="none"/>
        </w:rPr>
        <w:t>13.2.5移交、接收全部与部分工程</w:t>
      </w:r>
    </w:p>
    <w:p w14:paraId="46B8D312">
      <w:pPr>
        <w:spacing w:line="540" w:lineRule="exact"/>
        <w:rPr>
          <w:rFonts w:ascii="宋体" w:hAnsi="宋体" w:cs="楷体"/>
          <w:sz w:val="24"/>
          <w:szCs w:val="24"/>
          <w:highlight w:val="none"/>
        </w:rPr>
      </w:pPr>
      <w:r>
        <w:rPr>
          <w:rFonts w:hint="eastAsia" w:ascii="宋体" w:hAnsi="宋体" w:cs="楷体"/>
          <w:sz w:val="24"/>
          <w:szCs w:val="24"/>
          <w:highlight w:val="none"/>
        </w:rPr>
        <w:t>承包人向发包人移交工程的期限：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1A53E74B">
      <w:pPr>
        <w:spacing w:line="540" w:lineRule="exact"/>
        <w:rPr>
          <w:rFonts w:ascii="宋体" w:hAnsi="宋体" w:cs="楷体"/>
          <w:sz w:val="24"/>
          <w:szCs w:val="24"/>
          <w:highlight w:val="none"/>
          <w:u w:val="single"/>
        </w:rPr>
      </w:pPr>
      <w:r>
        <w:rPr>
          <w:rFonts w:hint="eastAsia" w:ascii="宋体" w:hAnsi="宋体" w:cs="楷体"/>
          <w:sz w:val="24"/>
          <w:szCs w:val="24"/>
          <w:highlight w:val="none"/>
        </w:rPr>
        <w:t>发包人未按本合同约定接收全部或部分工程的，违约金的计算方法为：</w:t>
      </w:r>
    </w:p>
    <w:p w14:paraId="3E1742D6">
      <w:pPr>
        <w:spacing w:line="540" w:lineRule="exact"/>
        <w:rPr>
          <w:rFonts w:ascii="宋体" w:hAnsi="宋体" w:cs="楷体"/>
          <w:sz w:val="24"/>
          <w:szCs w:val="24"/>
          <w:highlight w:val="none"/>
        </w:rPr>
      </w:pPr>
      <w:r>
        <w:rPr>
          <w:rFonts w:hint="eastAsia" w:ascii="宋体" w:hAnsi="宋体" w:cs="楷体"/>
          <w:sz w:val="24"/>
          <w:szCs w:val="24"/>
          <w:highlight w:val="none"/>
        </w:rPr>
        <w:t>承包人未按时移交工程的，违约金的计算方法为：。</w:t>
      </w:r>
    </w:p>
    <w:p w14:paraId="136AE33F">
      <w:pPr>
        <w:spacing w:line="540" w:lineRule="exact"/>
        <w:rPr>
          <w:rFonts w:ascii="宋体" w:hAnsi="宋体" w:cs="楷体"/>
          <w:sz w:val="24"/>
          <w:szCs w:val="24"/>
          <w:highlight w:val="none"/>
        </w:rPr>
      </w:pPr>
      <w:r>
        <w:rPr>
          <w:rFonts w:hint="eastAsia" w:ascii="宋体" w:hAnsi="宋体" w:cs="楷体"/>
          <w:b/>
          <w:bCs/>
          <w:sz w:val="24"/>
          <w:szCs w:val="24"/>
          <w:highlight w:val="none"/>
        </w:rPr>
        <w:t>13.3</w:t>
      </w:r>
      <w:r>
        <w:rPr>
          <w:rFonts w:hint="eastAsia" w:ascii="宋体" w:hAnsi="宋体" w:cs="楷体"/>
          <w:sz w:val="24"/>
          <w:szCs w:val="24"/>
          <w:highlight w:val="none"/>
        </w:rPr>
        <w:t xml:space="preserve"> 工程试车</w:t>
      </w:r>
    </w:p>
    <w:p w14:paraId="464B9509">
      <w:pPr>
        <w:spacing w:line="540" w:lineRule="exact"/>
        <w:rPr>
          <w:rFonts w:ascii="宋体" w:hAnsi="宋体" w:cs="楷体"/>
          <w:sz w:val="24"/>
          <w:szCs w:val="24"/>
          <w:highlight w:val="none"/>
        </w:rPr>
      </w:pPr>
      <w:r>
        <w:rPr>
          <w:rFonts w:hint="eastAsia" w:ascii="宋体" w:hAnsi="宋体" w:cs="楷体"/>
          <w:sz w:val="24"/>
          <w:szCs w:val="24"/>
          <w:highlight w:val="none"/>
        </w:rPr>
        <w:t>13.3.1 试车程序</w:t>
      </w:r>
    </w:p>
    <w:p w14:paraId="73AC348A">
      <w:pPr>
        <w:spacing w:line="540" w:lineRule="exact"/>
        <w:rPr>
          <w:rFonts w:ascii="宋体" w:hAnsi="宋体" w:cs="楷体"/>
          <w:sz w:val="24"/>
          <w:szCs w:val="24"/>
          <w:highlight w:val="none"/>
        </w:rPr>
      </w:pPr>
      <w:r>
        <w:rPr>
          <w:rFonts w:hint="eastAsia" w:ascii="宋体" w:hAnsi="宋体" w:cs="楷体"/>
          <w:sz w:val="24"/>
          <w:szCs w:val="24"/>
          <w:highlight w:val="none"/>
        </w:rPr>
        <w:t>工程试车内容：</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46953F47">
      <w:pPr>
        <w:spacing w:line="540" w:lineRule="exact"/>
        <w:rPr>
          <w:rFonts w:ascii="宋体" w:hAnsi="宋体" w:cs="楷体"/>
          <w:sz w:val="24"/>
          <w:szCs w:val="24"/>
          <w:highlight w:val="none"/>
        </w:rPr>
      </w:pPr>
      <w:r>
        <w:rPr>
          <w:rFonts w:hint="eastAsia" w:ascii="宋体" w:hAnsi="宋体" w:cs="楷体"/>
          <w:sz w:val="24"/>
          <w:szCs w:val="24"/>
          <w:highlight w:val="none"/>
        </w:rPr>
        <w:t>（1）单机无负荷试车费用由</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承担；</w:t>
      </w:r>
    </w:p>
    <w:p w14:paraId="09C99F84">
      <w:pPr>
        <w:spacing w:line="540" w:lineRule="exact"/>
        <w:rPr>
          <w:rFonts w:ascii="宋体" w:hAnsi="宋体" w:cs="楷体"/>
          <w:sz w:val="24"/>
          <w:szCs w:val="24"/>
          <w:highlight w:val="none"/>
        </w:rPr>
      </w:pPr>
      <w:r>
        <w:rPr>
          <w:rFonts w:hint="eastAsia" w:ascii="宋体" w:hAnsi="宋体" w:cs="楷体"/>
          <w:sz w:val="24"/>
          <w:szCs w:val="24"/>
          <w:highlight w:val="none"/>
        </w:rPr>
        <w:t>（2）无负荷联动试车费用由</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承担。</w:t>
      </w:r>
    </w:p>
    <w:p w14:paraId="234EDFF3">
      <w:pPr>
        <w:spacing w:line="540" w:lineRule="exact"/>
        <w:rPr>
          <w:rFonts w:ascii="宋体" w:hAnsi="宋体" w:cs="楷体"/>
          <w:sz w:val="24"/>
          <w:szCs w:val="24"/>
          <w:highlight w:val="none"/>
        </w:rPr>
      </w:pPr>
      <w:r>
        <w:rPr>
          <w:rFonts w:hint="eastAsia" w:ascii="宋体" w:hAnsi="宋体" w:cs="楷体"/>
          <w:sz w:val="24"/>
          <w:szCs w:val="24"/>
          <w:highlight w:val="none"/>
        </w:rPr>
        <w:t>13.3.3 投料试车</w:t>
      </w:r>
    </w:p>
    <w:p w14:paraId="75B6663D">
      <w:pPr>
        <w:spacing w:line="540" w:lineRule="exact"/>
        <w:rPr>
          <w:rFonts w:ascii="宋体" w:hAnsi="宋体" w:cs="楷体"/>
          <w:sz w:val="24"/>
          <w:szCs w:val="24"/>
          <w:highlight w:val="none"/>
        </w:rPr>
      </w:pPr>
      <w:r>
        <w:rPr>
          <w:rFonts w:hint="eastAsia" w:ascii="宋体" w:hAnsi="宋体" w:cs="楷体"/>
          <w:sz w:val="24"/>
          <w:szCs w:val="24"/>
          <w:highlight w:val="none"/>
        </w:rPr>
        <w:t>关于投料试车相关事项的约定：</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1169CADA">
      <w:pPr>
        <w:spacing w:line="540" w:lineRule="exact"/>
        <w:rPr>
          <w:rFonts w:ascii="宋体" w:hAnsi="宋体" w:cs="楷体"/>
          <w:sz w:val="24"/>
          <w:szCs w:val="24"/>
          <w:highlight w:val="none"/>
        </w:rPr>
      </w:pPr>
      <w:r>
        <w:rPr>
          <w:rFonts w:hint="eastAsia" w:ascii="宋体" w:hAnsi="宋体" w:cs="楷体"/>
          <w:b/>
          <w:bCs/>
          <w:sz w:val="24"/>
          <w:szCs w:val="24"/>
          <w:highlight w:val="none"/>
        </w:rPr>
        <w:t>13.6</w:t>
      </w:r>
      <w:r>
        <w:rPr>
          <w:rFonts w:hint="eastAsia" w:ascii="宋体" w:hAnsi="宋体" w:cs="楷体"/>
          <w:sz w:val="24"/>
          <w:szCs w:val="24"/>
          <w:highlight w:val="none"/>
        </w:rPr>
        <w:t xml:space="preserve"> 竣工退场</w:t>
      </w:r>
    </w:p>
    <w:p w14:paraId="53857D43">
      <w:pPr>
        <w:spacing w:line="540" w:lineRule="exact"/>
        <w:rPr>
          <w:rFonts w:ascii="宋体" w:hAnsi="宋体" w:cs="楷体"/>
          <w:sz w:val="24"/>
          <w:szCs w:val="24"/>
          <w:highlight w:val="none"/>
        </w:rPr>
      </w:pPr>
      <w:r>
        <w:rPr>
          <w:rFonts w:hint="eastAsia" w:ascii="宋体" w:hAnsi="宋体" w:cs="楷体"/>
          <w:sz w:val="24"/>
          <w:szCs w:val="24"/>
          <w:highlight w:val="none"/>
        </w:rPr>
        <w:t>13.6.1 竣工退场</w:t>
      </w:r>
    </w:p>
    <w:p w14:paraId="0BB029CC">
      <w:pPr>
        <w:spacing w:line="540" w:lineRule="exact"/>
        <w:rPr>
          <w:rFonts w:ascii="宋体" w:hAnsi="宋体" w:cs="楷体"/>
          <w:sz w:val="24"/>
          <w:szCs w:val="24"/>
          <w:highlight w:val="none"/>
        </w:rPr>
      </w:pPr>
      <w:r>
        <w:rPr>
          <w:rFonts w:hint="eastAsia" w:ascii="宋体" w:hAnsi="宋体" w:cs="楷体"/>
          <w:sz w:val="24"/>
          <w:szCs w:val="24"/>
          <w:highlight w:val="none"/>
        </w:rPr>
        <w:t>承包人完成竣工退场的期限：</w:t>
      </w:r>
      <w:r>
        <w:rPr>
          <w:rFonts w:hint="eastAsia" w:ascii="宋体" w:hAnsi="宋体" w:cs="楷体"/>
          <w:sz w:val="24"/>
          <w:szCs w:val="24"/>
          <w:highlight w:val="none"/>
          <w:u w:val="single"/>
        </w:rPr>
        <w:t xml:space="preserve">      颁发工程接收证书后三天内          </w:t>
      </w:r>
      <w:r>
        <w:rPr>
          <w:rFonts w:hint="eastAsia" w:ascii="宋体" w:hAnsi="宋体" w:cs="楷体"/>
          <w:sz w:val="24"/>
          <w:szCs w:val="24"/>
          <w:highlight w:val="none"/>
        </w:rPr>
        <w:t>。</w:t>
      </w:r>
    </w:p>
    <w:p w14:paraId="4A1C56F1">
      <w:pPr>
        <w:keepNext/>
        <w:spacing w:line="540" w:lineRule="exact"/>
        <w:outlineLvl w:val="3"/>
        <w:rPr>
          <w:rFonts w:ascii="宋体" w:hAnsi="宋体" w:cs="楷体"/>
          <w:b/>
          <w:bCs/>
          <w:sz w:val="24"/>
          <w:szCs w:val="24"/>
          <w:highlight w:val="none"/>
        </w:rPr>
      </w:pPr>
      <w:bookmarkStart w:id="975" w:name="_Toc351203646"/>
      <w:bookmarkEnd w:id="975"/>
      <w:r>
        <w:rPr>
          <w:rFonts w:hint="eastAsia" w:ascii="宋体" w:hAnsi="宋体" w:cs="楷体"/>
          <w:b/>
          <w:bCs/>
          <w:sz w:val="24"/>
          <w:szCs w:val="24"/>
          <w:highlight w:val="none"/>
        </w:rPr>
        <w:t>14. 竣工结算</w:t>
      </w:r>
    </w:p>
    <w:p w14:paraId="44435817">
      <w:pPr>
        <w:spacing w:line="540" w:lineRule="exact"/>
        <w:rPr>
          <w:rFonts w:ascii="宋体" w:hAnsi="宋体" w:cs="楷体"/>
          <w:sz w:val="24"/>
          <w:szCs w:val="24"/>
          <w:highlight w:val="none"/>
        </w:rPr>
      </w:pPr>
      <w:r>
        <w:rPr>
          <w:rFonts w:hint="eastAsia" w:ascii="宋体" w:hAnsi="宋体" w:cs="楷体"/>
          <w:b/>
          <w:bCs/>
          <w:sz w:val="24"/>
          <w:szCs w:val="24"/>
          <w:highlight w:val="none"/>
        </w:rPr>
        <w:t>14.1</w:t>
      </w:r>
      <w:r>
        <w:rPr>
          <w:rFonts w:hint="eastAsia" w:ascii="宋体" w:hAnsi="宋体" w:cs="楷体"/>
          <w:sz w:val="24"/>
          <w:szCs w:val="24"/>
          <w:highlight w:val="none"/>
        </w:rPr>
        <w:t xml:space="preserve"> 竣工结算申请</w:t>
      </w:r>
    </w:p>
    <w:p w14:paraId="4B588D36">
      <w:pPr>
        <w:spacing w:line="540" w:lineRule="exact"/>
        <w:rPr>
          <w:rFonts w:ascii="宋体" w:hAnsi="宋体" w:cs="楷体"/>
          <w:sz w:val="24"/>
          <w:szCs w:val="24"/>
          <w:highlight w:val="none"/>
        </w:rPr>
      </w:pPr>
      <w:r>
        <w:rPr>
          <w:rFonts w:hint="eastAsia" w:ascii="宋体" w:hAnsi="宋体" w:cs="楷体"/>
          <w:sz w:val="24"/>
          <w:szCs w:val="24"/>
          <w:highlight w:val="none"/>
        </w:rPr>
        <w:t>承包人提交竣工结算申请单的期限：。</w:t>
      </w:r>
    </w:p>
    <w:p w14:paraId="3AA92F45">
      <w:pPr>
        <w:spacing w:line="540" w:lineRule="exact"/>
        <w:rPr>
          <w:rFonts w:ascii="宋体" w:hAnsi="宋体" w:cs="楷体"/>
          <w:sz w:val="24"/>
          <w:szCs w:val="24"/>
          <w:highlight w:val="none"/>
        </w:rPr>
      </w:pPr>
      <w:r>
        <w:rPr>
          <w:rFonts w:hint="eastAsia" w:ascii="宋体" w:hAnsi="宋体" w:cs="楷体"/>
          <w:sz w:val="24"/>
          <w:szCs w:val="24"/>
          <w:highlight w:val="none"/>
        </w:rPr>
        <w:t>竣工结算申请单应包括的内容：。</w:t>
      </w:r>
    </w:p>
    <w:p w14:paraId="437E676F">
      <w:pPr>
        <w:spacing w:line="540" w:lineRule="exact"/>
        <w:rPr>
          <w:rFonts w:ascii="宋体" w:hAnsi="宋体" w:cs="楷体"/>
          <w:sz w:val="24"/>
          <w:szCs w:val="24"/>
          <w:highlight w:val="none"/>
        </w:rPr>
      </w:pPr>
      <w:r>
        <w:rPr>
          <w:rFonts w:hint="eastAsia" w:ascii="宋体" w:hAnsi="宋体" w:cs="楷体"/>
          <w:b/>
          <w:bCs/>
          <w:sz w:val="24"/>
          <w:szCs w:val="24"/>
          <w:highlight w:val="none"/>
        </w:rPr>
        <w:t>14.2</w:t>
      </w:r>
      <w:r>
        <w:rPr>
          <w:rFonts w:hint="eastAsia" w:ascii="宋体" w:hAnsi="宋体" w:cs="楷体"/>
          <w:sz w:val="24"/>
          <w:szCs w:val="24"/>
          <w:highlight w:val="none"/>
        </w:rPr>
        <w:t xml:space="preserve"> 竣工结算审核</w:t>
      </w:r>
    </w:p>
    <w:p w14:paraId="6E67F8D1">
      <w:pPr>
        <w:spacing w:line="540" w:lineRule="exact"/>
        <w:rPr>
          <w:rFonts w:ascii="宋体" w:hAnsi="宋体" w:cs="楷体"/>
          <w:sz w:val="24"/>
          <w:szCs w:val="24"/>
          <w:highlight w:val="none"/>
        </w:rPr>
      </w:pPr>
      <w:r>
        <w:rPr>
          <w:rFonts w:hint="eastAsia" w:ascii="宋体" w:hAnsi="宋体" w:cs="楷体"/>
          <w:sz w:val="24"/>
          <w:szCs w:val="24"/>
          <w:highlight w:val="none"/>
        </w:rPr>
        <w:t>发包人审批竣工付款申请单的期限：。</w:t>
      </w:r>
    </w:p>
    <w:p w14:paraId="4FB2BFCA">
      <w:pPr>
        <w:spacing w:line="540" w:lineRule="exact"/>
        <w:rPr>
          <w:rFonts w:ascii="宋体" w:hAnsi="宋体" w:cs="楷体"/>
          <w:sz w:val="24"/>
          <w:szCs w:val="24"/>
          <w:highlight w:val="none"/>
        </w:rPr>
      </w:pPr>
      <w:r>
        <w:rPr>
          <w:rFonts w:hint="eastAsia" w:ascii="宋体" w:hAnsi="宋体" w:cs="楷体"/>
          <w:sz w:val="24"/>
          <w:szCs w:val="24"/>
          <w:highlight w:val="none"/>
        </w:rPr>
        <w:t>发包人完成竣工付款的期限：。</w:t>
      </w:r>
    </w:p>
    <w:p w14:paraId="35B6479E">
      <w:pPr>
        <w:spacing w:line="540" w:lineRule="exact"/>
        <w:rPr>
          <w:rFonts w:ascii="宋体" w:hAnsi="宋体" w:cs="楷体"/>
          <w:sz w:val="24"/>
          <w:szCs w:val="24"/>
          <w:highlight w:val="none"/>
        </w:rPr>
      </w:pPr>
      <w:r>
        <w:rPr>
          <w:rFonts w:hint="eastAsia" w:ascii="宋体" w:hAnsi="宋体" w:cs="楷体"/>
          <w:sz w:val="24"/>
          <w:szCs w:val="24"/>
          <w:highlight w:val="none"/>
        </w:rPr>
        <w:t>关于竣工付款证书异议部分复核的方式和程序：</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16309F7">
      <w:pPr>
        <w:spacing w:line="540" w:lineRule="exact"/>
        <w:rPr>
          <w:rFonts w:ascii="宋体" w:hAnsi="宋体" w:cs="楷体"/>
          <w:sz w:val="24"/>
          <w:szCs w:val="24"/>
          <w:highlight w:val="none"/>
        </w:rPr>
      </w:pPr>
      <w:r>
        <w:rPr>
          <w:rFonts w:hint="eastAsia" w:ascii="宋体" w:hAnsi="宋体" w:cs="楷体"/>
          <w:b/>
          <w:bCs/>
          <w:sz w:val="24"/>
          <w:szCs w:val="24"/>
          <w:highlight w:val="none"/>
        </w:rPr>
        <w:t>14.4</w:t>
      </w:r>
      <w:r>
        <w:rPr>
          <w:rFonts w:hint="eastAsia" w:ascii="宋体" w:hAnsi="宋体" w:cs="楷体"/>
          <w:sz w:val="24"/>
          <w:szCs w:val="24"/>
          <w:highlight w:val="none"/>
        </w:rPr>
        <w:t xml:space="preserve"> 最终结清</w:t>
      </w:r>
    </w:p>
    <w:p w14:paraId="6F8DBB02">
      <w:pPr>
        <w:spacing w:line="540" w:lineRule="exact"/>
        <w:rPr>
          <w:rFonts w:ascii="宋体" w:hAnsi="宋体" w:cs="楷体"/>
          <w:sz w:val="24"/>
          <w:szCs w:val="24"/>
          <w:highlight w:val="none"/>
        </w:rPr>
      </w:pPr>
      <w:r>
        <w:rPr>
          <w:rFonts w:hint="eastAsia" w:ascii="宋体" w:hAnsi="宋体" w:cs="楷体"/>
          <w:sz w:val="24"/>
          <w:szCs w:val="24"/>
          <w:highlight w:val="none"/>
        </w:rPr>
        <w:t>14.4.1 最终结清申请单</w:t>
      </w:r>
    </w:p>
    <w:p w14:paraId="516FEBF8">
      <w:pPr>
        <w:spacing w:line="540" w:lineRule="exact"/>
        <w:rPr>
          <w:rFonts w:ascii="宋体" w:hAnsi="宋体" w:cs="楷体"/>
          <w:sz w:val="24"/>
          <w:szCs w:val="24"/>
          <w:highlight w:val="none"/>
        </w:rPr>
      </w:pPr>
      <w:r>
        <w:rPr>
          <w:rFonts w:hint="eastAsia" w:ascii="宋体" w:hAnsi="宋体" w:cs="楷体"/>
          <w:sz w:val="24"/>
          <w:szCs w:val="24"/>
          <w:highlight w:val="none"/>
        </w:rPr>
        <w:t>承包人提交最终结清申请单的份数：</w:t>
      </w:r>
      <w:r>
        <w:rPr>
          <w:rFonts w:hint="eastAsia" w:ascii="宋体" w:hAnsi="宋体" w:cs="楷体"/>
          <w:sz w:val="24"/>
          <w:szCs w:val="24"/>
          <w:highlight w:val="none"/>
          <w:u w:val="single"/>
        </w:rPr>
        <w:t xml:space="preserve">      四份                   </w:t>
      </w:r>
      <w:r>
        <w:rPr>
          <w:rFonts w:hint="eastAsia" w:ascii="宋体" w:hAnsi="宋体" w:cs="楷体"/>
          <w:sz w:val="24"/>
          <w:szCs w:val="24"/>
          <w:highlight w:val="none"/>
        </w:rPr>
        <w:t>。</w:t>
      </w:r>
    </w:p>
    <w:p w14:paraId="4F2F251A">
      <w:pPr>
        <w:spacing w:line="540" w:lineRule="exact"/>
        <w:rPr>
          <w:rFonts w:ascii="宋体" w:hAnsi="宋体" w:cs="楷体"/>
          <w:sz w:val="24"/>
          <w:szCs w:val="24"/>
          <w:highlight w:val="none"/>
        </w:rPr>
      </w:pPr>
      <w:r>
        <w:rPr>
          <w:rFonts w:hint="eastAsia" w:ascii="宋体" w:hAnsi="宋体" w:cs="楷体"/>
          <w:sz w:val="24"/>
          <w:szCs w:val="24"/>
          <w:highlight w:val="none"/>
        </w:rPr>
        <w:t>承包人提交最终结算申请单的期限：</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 xml:space="preserve">。 </w:t>
      </w:r>
    </w:p>
    <w:p w14:paraId="198C2A32">
      <w:pPr>
        <w:spacing w:line="540" w:lineRule="exact"/>
        <w:rPr>
          <w:rFonts w:ascii="宋体" w:hAnsi="宋体" w:cs="楷体"/>
          <w:sz w:val="24"/>
          <w:szCs w:val="24"/>
          <w:highlight w:val="none"/>
        </w:rPr>
      </w:pPr>
      <w:r>
        <w:rPr>
          <w:rFonts w:hint="eastAsia" w:ascii="宋体" w:hAnsi="宋体" w:cs="楷体"/>
          <w:sz w:val="24"/>
          <w:szCs w:val="24"/>
          <w:highlight w:val="none"/>
        </w:rPr>
        <w:t>14.4.2 最终结清证书和支付</w:t>
      </w:r>
    </w:p>
    <w:p w14:paraId="3762C720">
      <w:pPr>
        <w:spacing w:line="540" w:lineRule="exact"/>
        <w:rPr>
          <w:rFonts w:ascii="宋体" w:hAnsi="宋体" w:cs="楷体"/>
          <w:sz w:val="24"/>
          <w:szCs w:val="24"/>
          <w:highlight w:val="none"/>
          <w:u w:val="single"/>
        </w:rPr>
      </w:pPr>
      <w:r>
        <w:rPr>
          <w:rFonts w:hint="eastAsia" w:ascii="宋体" w:hAnsi="宋体" w:cs="楷体"/>
          <w:sz w:val="24"/>
          <w:szCs w:val="24"/>
          <w:highlight w:val="none"/>
        </w:rPr>
        <w:t>（1）发包人完成最终结清申请单的审批并颁发最终结清证书的期限：</w:t>
      </w:r>
    </w:p>
    <w:p w14:paraId="36BA29F0">
      <w:pPr>
        <w:spacing w:line="540" w:lineRule="exact"/>
        <w:rPr>
          <w:rFonts w:ascii="宋体" w:hAnsi="宋体" w:cs="楷体"/>
          <w:sz w:val="24"/>
          <w:szCs w:val="24"/>
          <w:highlight w:val="none"/>
        </w:rPr>
      </w:pPr>
      <w:r>
        <w:rPr>
          <w:rFonts w:hint="eastAsia" w:ascii="宋体" w:hAnsi="宋体" w:cs="楷体"/>
          <w:sz w:val="24"/>
          <w:szCs w:val="24"/>
          <w:highlight w:val="none"/>
          <w:u w:val="single"/>
        </w:rPr>
        <w:t xml:space="preserve">按通用条款执行                        </w:t>
      </w:r>
      <w:r>
        <w:rPr>
          <w:rFonts w:hint="eastAsia" w:ascii="宋体" w:hAnsi="宋体" w:cs="楷体"/>
          <w:sz w:val="24"/>
          <w:szCs w:val="24"/>
          <w:highlight w:val="none"/>
        </w:rPr>
        <w:t>。</w:t>
      </w:r>
    </w:p>
    <w:p w14:paraId="162B1F08">
      <w:pPr>
        <w:spacing w:line="540" w:lineRule="exact"/>
        <w:rPr>
          <w:rFonts w:ascii="宋体" w:hAnsi="宋体" w:cs="楷体"/>
          <w:sz w:val="24"/>
          <w:szCs w:val="24"/>
          <w:highlight w:val="none"/>
        </w:rPr>
      </w:pPr>
      <w:r>
        <w:rPr>
          <w:rFonts w:hint="eastAsia" w:ascii="宋体" w:hAnsi="宋体" w:cs="楷体"/>
          <w:sz w:val="24"/>
          <w:szCs w:val="24"/>
          <w:highlight w:val="none"/>
        </w:rPr>
        <w:t>（2）发包人完成支付的期限：。</w:t>
      </w:r>
    </w:p>
    <w:p w14:paraId="67E6D7DF">
      <w:pPr>
        <w:keepNext/>
        <w:spacing w:line="540" w:lineRule="exact"/>
        <w:outlineLvl w:val="3"/>
        <w:rPr>
          <w:rFonts w:ascii="宋体" w:hAnsi="宋体" w:cs="楷体"/>
          <w:b/>
          <w:bCs/>
          <w:sz w:val="24"/>
          <w:szCs w:val="24"/>
          <w:highlight w:val="none"/>
        </w:rPr>
      </w:pPr>
      <w:bookmarkStart w:id="976" w:name="_Toc267251511"/>
      <w:bookmarkEnd w:id="976"/>
      <w:bookmarkStart w:id="977" w:name="_Toc267251495"/>
      <w:bookmarkEnd w:id="977"/>
      <w:bookmarkStart w:id="978" w:name="_Toc267251484"/>
      <w:bookmarkEnd w:id="978"/>
      <w:bookmarkStart w:id="979" w:name="_Toc351203647"/>
      <w:bookmarkEnd w:id="979"/>
      <w:bookmarkStart w:id="980" w:name="_Toc267251489"/>
      <w:bookmarkEnd w:id="980"/>
      <w:bookmarkStart w:id="981" w:name="_Toc267251508"/>
      <w:bookmarkEnd w:id="981"/>
      <w:bookmarkStart w:id="982" w:name="_Toc267251493"/>
      <w:bookmarkEnd w:id="982"/>
      <w:bookmarkStart w:id="983" w:name="_Toc267251486"/>
      <w:bookmarkEnd w:id="983"/>
      <w:bookmarkStart w:id="984" w:name="_Toc267251502"/>
      <w:bookmarkEnd w:id="984"/>
      <w:bookmarkStart w:id="985" w:name="_Toc267251492"/>
      <w:bookmarkEnd w:id="985"/>
      <w:bookmarkStart w:id="986" w:name="_Toc267251482"/>
      <w:bookmarkEnd w:id="986"/>
      <w:bookmarkStart w:id="987" w:name="_Toc267251514"/>
      <w:bookmarkEnd w:id="987"/>
      <w:bookmarkStart w:id="988" w:name="_Toc267251515"/>
      <w:bookmarkEnd w:id="988"/>
      <w:bookmarkStart w:id="989" w:name="_Toc267251501"/>
      <w:bookmarkEnd w:id="989"/>
      <w:bookmarkStart w:id="990" w:name="_Toc267251509"/>
      <w:bookmarkEnd w:id="990"/>
      <w:bookmarkStart w:id="991" w:name="_Toc267251510"/>
      <w:bookmarkEnd w:id="991"/>
      <w:bookmarkStart w:id="992" w:name="_Toc267251488"/>
      <w:bookmarkEnd w:id="992"/>
      <w:bookmarkStart w:id="993" w:name="_Toc267251499"/>
      <w:bookmarkEnd w:id="993"/>
      <w:bookmarkStart w:id="994" w:name="_Toc267251491"/>
      <w:bookmarkEnd w:id="994"/>
      <w:bookmarkStart w:id="995" w:name="_Toc267251490"/>
      <w:bookmarkEnd w:id="995"/>
      <w:bookmarkStart w:id="996" w:name="_Toc267251497"/>
      <w:bookmarkEnd w:id="996"/>
      <w:bookmarkStart w:id="997" w:name="_Toc267251498"/>
      <w:bookmarkEnd w:id="997"/>
      <w:bookmarkStart w:id="998" w:name="_Toc267251483"/>
      <w:bookmarkEnd w:id="998"/>
      <w:bookmarkStart w:id="999" w:name="_Toc267251506"/>
      <w:bookmarkEnd w:id="999"/>
      <w:bookmarkStart w:id="1000" w:name="_Toc267251507"/>
      <w:bookmarkEnd w:id="1000"/>
      <w:bookmarkStart w:id="1001" w:name="_Toc267251494"/>
      <w:bookmarkEnd w:id="1001"/>
      <w:bookmarkStart w:id="1002" w:name="_Toc267251496"/>
      <w:bookmarkEnd w:id="1002"/>
      <w:bookmarkStart w:id="1003" w:name="_Toc267251504"/>
      <w:bookmarkEnd w:id="1003"/>
      <w:bookmarkStart w:id="1004" w:name="_Toc267251485"/>
      <w:bookmarkEnd w:id="1004"/>
      <w:bookmarkStart w:id="1005" w:name="_Toc267251503"/>
      <w:bookmarkEnd w:id="1005"/>
      <w:bookmarkStart w:id="1006" w:name="_Toc267251513"/>
      <w:r>
        <w:rPr>
          <w:rFonts w:hint="eastAsia" w:ascii="宋体" w:hAnsi="宋体" w:cs="楷体"/>
          <w:b/>
          <w:bCs/>
          <w:sz w:val="24"/>
          <w:szCs w:val="24"/>
          <w:highlight w:val="none"/>
        </w:rPr>
        <w:t>15. 缺陷责任期与保修</w:t>
      </w:r>
      <w:bookmarkEnd w:id="1006"/>
    </w:p>
    <w:p w14:paraId="02074A98">
      <w:pPr>
        <w:spacing w:line="540" w:lineRule="exact"/>
        <w:rPr>
          <w:rFonts w:ascii="宋体" w:hAnsi="宋体" w:cs="楷体"/>
          <w:sz w:val="24"/>
          <w:szCs w:val="24"/>
          <w:highlight w:val="none"/>
        </w:rPr>
      </w:pPr>
      <w:r>
        <w:rPr>
          <w:rFonts w:hint="eastAsia" w:ascii="宋体" w:hAnsi="宋体" w:cs="楷体"/>
          <w:b/>
          <w:bCs/>
          <w:sz w:val="24"/>
          <w:szCs w:val="24"/>
          <w:highlight w:val="none"/>
        </w:rPr>
        <w:t>15.2</w:t>
      </w:r>
      <w:r>
        <w:rPr>
          <w:rFonts w:hint="eastAsia" w:ascii="宋体" w:hAnsi="宋体" w:cs="楷体"/>
          <w:sz w:val="24"/>
          <w:szCs w:val="24"/>
          <w:highlight w:val="none"/>
        </w:rPr>
        <w:t>缺陷责任期</w:t>
      </w:r>
    </w:p>
    <w:p w14:paraId="36C64BE0">
      <w:pPr>
        <w:spacing w:line="540" w:lineRule="exact"/>
        <w:rPr>
          <w:rFonts w:ascii="宋体" w:hAnsi="宋体" w:cs="楷体"/>
          <w:sz w:val="24"/>
          <w:szCs w:val="24"/>
          <w:highlight w:val="none"/>
        </w:rPr>
      </w:pPr>
      <w:r>
        <w:rPr>
          <w:rFonts w:hint="eastAsia" w:ascii="宋体" w:hAnsi="宋体" w:cs="楷体"/>
          <w:sz w:val="24"/>
          <w:szCs w:val="24"/>
          <w:highlight w:val="none"/>
        </w:rPr>
        <w:t>缺陷责任期的具体期限：</w:t>
      </w:r>
      <w:r>
        <w:rPr>
          <w:rFonts w:hint="eastAsia" w:ascii="宋体" w:hAnsi="宋体" w:cs="楷体"/>
          <w:sz w:val="24"/>
          <w:szCs w:val="24"/>
          <w:highlight w:val="none"/>
          <w:u w:val="single"/>
        </w:rPr>
        <w:t xml:space="preserve">            12个月                </w:t>
      </w:r>
      <w:r>
        <w:rPr>
          <w:rFonts w:hint="eastAsia" w:ascii="宋体" w:hAnsi="宋体" w:cs="楷体"/>
          <w:sz w:val="24"/>
          <w:szCs w:val="24"/>
          <w:highlight w:val="none"/>
        </w:rPr>
        <w:t>。</w:t>
      </w:r>
    </w:p>
    <w:p w14:paraId="34A01CD3">
      <w:pPr>
        <w:spacing w:line="540" w:lineRule="exact"/>
        <w:rPr>
          <w:rFonts w:ascii="宋体" w:hAnsi="宋体" w:cs="楷体"/>
          <w:sz w:val="24"/>
          <w:szCs w:val="24"/>
          <w:highlight w:val="none"/>
        </w:rPr>
      </w:pPr>
      <w:r>
        <w:rPr>
          <w:rFonts w:hint="eastAsia" w:ascii="宋体" w:hAnsi="宋体" w:cs="楷体"/>
          <w:b/>
          <w:bCs/>
          <w:sz w:val="24"/>
          <w:szCs w:val="24"/>
          <w:highlight w:val="none"/>
        </w:rPr>
        <w:t>15.3</w:t>
      </w:r>
      <w:r>
        <w:rPr>
          <w:rFonts w:hint="eastAsia" w:ascii="宋体" w:hAnsi="宋体" w:cs="楷体"/>
          <w:sz w:val="24"/>
          <w:szCs w:val="24"/>
          <w:highlight w:val="none"/>
        </w:rPr>
        <w:t xml:space="preserve"> 质量保证金</w:t>
      </w:r>
    </w:p>
    <w:p w14:paraId="1FD7C855">
      <w:pPr>
        <w:spacing w:line="540" w:lineRule="exact"/>
        <w:rPr>
          <w:rFonts w:ascii="宋体" w:hAnsi="宋体" w:cs="楷体"/>
          <w:sz w:val="24"/>
          <w:szCs w:val="24"/>
          <w:highlight w:val="none"/>
        </w:rPr>
      </w:pPr>
      <w:r>
        <w:rPr>
          <w:rFonts w:hint="eastAsia" w:ascii="宋体" w:hAnsi="宋体" w:cs="楷体"/>
          <w:sz w:val="24"/>
          <w:szCs w:val="24"/>
          <w:highlight w:val="none"/>
        </w:rPr>
        <w:t>关于是否扣留质量保证金的约定：</w:t>
      </w:r>
      <w:r>
        <w:rPr>
          <w:rFonts w:hint="eastAsia" w:ascii="宋体" w:hAnsi="宋体" w:cs="楷体"/>
          <w:sz w:val="24"/>
          <w:szCs w:val="24"/>
          <w:highlight w:val="none"/>
          <w:u w:val="single"/>
        </w:rPr>
        <w:t xml:space="preserve">         扣留                 </w:t>
      </w:r>
      <w:r>
        <w:rPr>
          <w:rFonts w:hint="eastAsia" w:ascii="宋体" w:hAnsi="宋体" w:cs="楷体"/>
          <w:sz w:val="24"/>
          <w:szCs w:val="24"/>
          <w:highlight w:val="none"/>
        </w:rPr>
        <w:t>。</w:t>
      </w:r>
    </w:p>
    <w:p w14:paraId="1625C7EC">
      <w:pPr>
        <w:spacing w:line="540" w:lineRule="exact"/>
        <w:rPr>
          <w:rFonts w:ascii="宋体" w:hAnsi="宋体" w:cs="楷体"/>
          <w:sz w:val="24"/>
          <w:szCs w:val="24"/>
          <w:highlight w:val="none"/>
        </w:rPr>
      </w:pPr>
      <w:r>
        <w:rPr>
          <w:rFonts w:hint="eastAsia" w:ascii="宋体" w:hAnsi="宋体" w:cs="楷体"/>
          <w:sz w:val="24"/>
          <w:szCs w:val="24"/>
          <w:highlight w:val="none"/>
        </w:rPr>
        <w:t>15.3.1 承包人提供质量保证金的方式</w:t>
      </w:r>
    </w:p>
    <w:p w14:paraId="598AC121">
      <w:pPr>
        <w:spacing w:line="540" w:lineRule="exact"/>
        <w:rPr>
          <w:rFonts w:ascii="宋体" w:hAnsi="宋体" w:cs="楷体"/>
          <w:sz w:val="24"/>
          <w:szCs w:val="24"/>
          <w:highlight w:val="none"/>
        </w:rPr>
      </w:pPr>
      <w:r>
        <w:rPr>
          <w:rFonts w:hint="eastAsia" w:ascii="宋体" w:hAnsi="宋体" w:cs="楷体"/>
          <w:sz w:val="24"/>
          <w:szCs w:val="24"/>
          <w:highlight w:val="none"/>
        </w:rPr>
        <w:t>质量保证金采用以下第</w:t>
      </w:r>
      <w:r>
        <w:rPr>
          <w:rFonts w:hint="eastAsia" w:ascii="宋体" w:hAnsi="宋体" w:cs="楷体"/>
          <w:sz w:val="24"/>
          <w:szCs w:val="24"/>
          <w:highlight w:val="none"/>
          <w:u w:val="single"/>
        </w:rPr>
        <w:t xml:space="preserve">  （2）  </w:t>
      </w:r>
      <w:r>
        <w:rPr>
          <w:rFonts w:hint="eastAsia" w:ascii="宋体" w:hAnsi="宋体" w:cs="楷体"/>
          <w:sz w:val="24"/>
          <w:szCs w:val="24"/>
          <w:highlight w:val="none"/>
        </w:rPr>
        <w:t>种方式：</w:t>
      </w:r>
    </w:p>
    <w:p w14:paraId="2E49DD18">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（1）质量保证金保函，保证金额为：</w:t>
      </w:r>
      <w:r>
        <w:rPr>
          <w:rFonts w:hint="eastAsia" w:ascii="宋体" w:hAnsi="宋体" w:cs="楷体"/>
          <w:sz w:val="24"/>
          <w:szCs w:val="24"/>
          <w:highlight w:val="none"/>
          <w:u w:val="single"/>
        </w:rPr>
        <w:t xml:space="preserve">    \     </w:t>
      </w:r>
      <w:r>
        <w:rPr>
          <w:rFonts w:hint="eastAsia" w:ascii="宋体" w:hAnsi="宋体" w:cs="楷体"/>
          <w:sz w:val="24"/>
          <w:szCs w:val="24"/>
          <w:highlight w:val="none"/>
        </w:rPr>
        <w:t xml:space="preserve">； </w:t>
      </w:r>
    </w:p>
    <w:p w14:paraId="032AB41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（2）%的工程款；</w:t>
      </w:r>
    </w:p>
    <w:p w14:paraId="12B5A77C">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（3）其他方式: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3959CCB0">
      <w:pPr>
        <w:spacing w:line="540" w:lineRule="exact"/>
        <w:rPr>
          <w:rFonts w:ascii="宋体" w:hAnsi="宋体" w:cs="楷体"/>
          <w:sz w:val="24"/>
          <w:szCs w:val="24"/>
          <w:highlight w:val="none"/>
        </w:rPr>
      </w:pPr>
      <w:r>
        <w:rPr>
          <w:rFonts w:hint="eastAsia" w:ascii="宋体" w:hAnsi="宋体" w:cs="楷体"/>
          <w:sz w:val="24"/>
          <w:szCs w:val="24"/>
          <w:highlight w:val="none"/>
        </w:rPr>
        <w:t xml:space="preserve">15.3.2 质量保证金的扣留 </w:t>
      </w:r>
    </w:p>
    <w:p w14:paraId="089FAEF5">
      <w:pPr>
        <w:spacing w:line="540" w:lineRule="exact"/>
        <w:rPr>
          <w:rFonts w:ascii="宋体" w:hAnsi="宋体" w:cs="楷体"/>
          <w:sz w:val="24"/>
          <w:szCs w:val="24"/>
          <w:highlight w:val="none"/>
        </w:rPr>
      </w:pPr>
      <w:r>
        <w:rPr>
          <w:rFonts w:hint="eastAsia" w:ascii="宋体" w:hAnsi="宋体" w:cs="楷体"/>
          <w:sz w:val="24"/>
          <w:szCs w:val="24"/>
          <w:highlight w:val="none"/>
        </w:rPr>
        <w:t>质量保证金的扣留采取以下第</w:t>
      </w:r>
      <w:r>
        <w:rPr>
          <w:rFonts w:hint="eastAsia" w:ascii="宋体" w:hAnsi="宋体" w:cs="楷体"/>
          <w:sz w:val="24"/>
          <w:szCs w:val="24"/>
          <w:highlight w:val="none"/>
          <w:u w:val="single"/>
        </w:rPr>
        <w:t xml:space="preserve">  （2） </w:t>
      </w:r>
      <w:r>
        <w:rPr>
          <w:rFonts w:hint="eastAsia" w:ascii="宋体" w:hAnsi="宋体" w:cs="楷体"/>
          <w:sz w:val="24"/>
          <w:szCs w:val="24"/>
          <w:highlight w:val="none"/>
        </w:rPr>
        <w:t>种方式：</w:t>
      </w:r>
    </w:p>
    <w:p w14:paraId="5052FD3A">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（1）在支付工程进度款时逐次扣留，在此情形下，质量保证金的计算基数不包括预付款的支付、扣回以及价格调整的金额；</w:t>
      </w:r>
    </w:p>
    <w:p w14:paraId="34F3390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（2）工程竣工结算时一次性扣留质量保证金；</w:t>
      </w:r>
    </w:p>
    <w:p w14:paraId="69CCE5B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（3）其他扣留方式: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4E751E4">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15.3.3 质量保证金返还约定办法</w:t>
      </w:r>
    </w:p>
    <w:p w14:paraId="2CA8181D">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（1）自工程竣工五大责任主体验收合格质检站备案书注明之日起，土建工程1年，安装工程两年，屋面防水5年，且各部分时间满30日内分别返还。</w:t>
      </w:r>
    </w:p>
    <w:p w14:paraId="4C1EA3D8">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 xml:space="preserve"> （2）质量保证金返还额度：土建工程按保证金的90%，安装工程按保证金的8%，屋面防水工程按保证金的2%。</w:t>
      </w:r>
    </w:p>
    <w:p w14:paraId="1912418D">
      <w:pPr>
        <w:spacing w:line="540" w:lineRule="exact"/>
        <w:rPr>
          <w:rFonts w:ascii="宋体" w:hAnsi="宋体" w:cs="楷体"/>
          <w:sz w:val="24"/>
          <w:szCs w:val="24"/>
          <w:highlight w:val="none"/>
        </w:rPr>
      </w:pPr>
      <w:r>
        <w:rPr>
          <w:rFonts w:hint="eastAsia" w:ascii="宋体" w:hAnsi="宋体" w:cs="楷体"/>
          <w:sz w:val="24"/>
          <w:szCs w:val="24"/>
          <w:highlight w:val="none"/>
        </w:rPr>
        <w:t>关于质量保证金的补充约定：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3547B474">
      <w:pPr>
        <w:spacing w:line="540" w:lineRule="exact"/>
        <w:rPr>
          <w:rFonts w:ascii="宋体" w:hAnsi="宋体" w:cs="楷体"/>
          <w:sz w:val="24"/>
          <w:szCs w:val="24"/>
          <w:highlight w:val="none"/>
        </w:rPr>
      </w:pPr>
      <w:r>
        <w:rPr>
          <w:rFonts w:hint="eastAsia" w:ascii="宋体" w:hAnsi="宋体" w:cs="楷体"/>
          <w:b/>
          <w:bCs/>
          <w:sz w:val="24"/>
          <w:szCs w:val="24"/>
          <w:highlight w:val="none"/>
        </w:rPr>
        <w:t>15.4</w:t>
      </w:r>
      <w:r>
        <w:rPr>
          <w:rFonts w:hint="eastAsia" w:ascii="宋体" w:hAnsi="宋体" w:cs="楷体"/>
          <w:sz w:val="24"/>
          <w:szCs w:val="24"/>
          <w:highlight w:val="none"/>
        </w:rPr>
        <w:t>保修</w:t>
      </w:r>
    </w:p>
    <w:p w14:paraId="75D8AEB9">
      <w:pPr>
        <w:spacing w:line="540" w:lineRule="exact"/>
        <w:rPr>
          <w:rFonts w:ascii="宋体" w:hAnsi="宋体" w:cs="楷体"/>
          <w:sz w:val="24"/>
          <w:szCs w:val="24"/>
          <w:highlight w:val="none"/>
        </w:rPr>
      </w:pPr>
      <w:r>
        <w:rPr>
          <w:rFonts w:hint="eastAsia" w:ascii="宋体" w:hAnsi="宋体" w:cs="楷体"/>
          <w:sz w:val="24"/>
          <w:szCs w:val="24"/>
          <w:highlight w:val="none"/>
        </w:rPr>
        <w:t>15.4.1 保修责任</w:t>
      </w:r>
    </w:p>
    <w:p w14:paraId="4FB999A6">
      <w:pPr>
        <w:spacing w:line="540" w:lineRule="exact"/>
        <w:rPr>
          <w:rFonts w:ascii="宋体" w:hAnsi="宋体" w:cs="楷体"/>
          <w:sz w:val="24"/>
          <w:szCs w:val="24"/>
          <w:highlight w:val="none"/>
        </w:rPr>
      </w:pPr>
      <w:r>
        <w:rPr>
          <w:rFonts w:hint="eastAsia" w:ascii="宋体" w:hAnsi="宋体" w:cs="楷体"/>
          <w:sz w:val="24"/>
          <w:szCs w:val="24"/>
          <w:highlight w:val="none"/>
        </w:rPr>
        <w:t>工程保修期为：</w:t>
      </w:r>
      <w:r>
        <w:rPr>
          <w:rFonts w:hint="eastAsia" w:ascii="宋体" w:hAnsi="宋体" w:cs="楷体"/>
          <w:sz w:val="24"/>
          <w:szCs w:val="24"/>
          <w:highlight w:val="none"/>
          <w:u w:val="single"/>
        </w:rPr>
        <w:t xml:space="preserve">       见工程质量保修书                               </w:t>
      </w:r>
      <w:r>
        <w:rPr>
          <w:rFonts w:hint="eastAsia" w:ascii="宋体" w:hAnsi="宋体" w:cs="楷体"/>
          <w:sz w:val="24"/>
          <w:szCs w:val="24"/>
          <w:highlight w:val="none"/>
        </w:rPr>
        <w:t>。</w:t>
      </w:r>
    </w:p>
    <w:p w14:paraId="1602D150">
      <w:pPr>
        <w:spacing w:line="540" w:lineRule="exact"/>
        <w:rPr>
          <w:rFonts w:ascii="宋体" w:hAnsi="宋体" w:cs="楷体"/>
          <w:sz w:val="24"/>
          <w:szCs w:val="24"/>
          <w:highlight w:val="none"/>
        </w:rPr>
      </w:pPr>
      <w:r>
        <w:rPr>
          <w:rFonts w:hint="eastAsia" w:ascii="宋体" w:hAnsi="宋体" w:cs="楷体"/>
          <w:sz w:val="24"/>
          <w:szCs w:val="24"/>
          <w:highlight w:val="none"/>
        </w:rPr>
        <w:t>15.4.3 修复通知</w:t>
      </w:r>
    </w:p>
    <w:p w14:paraId="7FD874D1">
      <w:pPr>
        <w:spacing w:line="540" w:lineRule="exact"/>
        <w:rPr>
          <w:rFonts w:ascii="宋体" w:hAnsi="宋体" w:cs="楷体"/>
          <w:sz w:val="24"/>
          <w:szCs w:val="24"/>
          <w:highlight w:val="none"/>
        </w:rPr>
      </w:pPr>
      <w:r>
        <w:rPr>
          <w:rFonts w:hint="eastAsia" w:ascii="宋体" w:hAnsi="宋体" w:cs="楷体"/>
          <w:sz w:val="24"/>
          <w:szCs w:val="24"/>
          <w:highlight w:val="none"/>
        </w:rPr>
        <w:t>承包人收到保修通知并到达工程现场的合理时间：</w:t>
      </w:r>
      <w:r>
        <w:rPr>
          <w:rFonts w:hint="eastAsia" w:ascii="宋体" w:hAnsi="宋体" w:cs="楷体"/>
          <w:sz w:val="24"/>
          <w:szCs w:val="24"/>
          <w:highlight w:val="none"/>
          <w:u w:val="single"/>
        </w:rPr>
        <w:t xml:space="preserve"> 收到通知后24小时内     </w:t>
      </w:r>
      <w:r>
        <w:rPr>
          <w:rFonts w:hint="eastAsia" w:ascii="宋体" w:hAnsi="宋体" w:cs="楷体"/>
          <w:sz w:val="24"/>
          <w:szCs w:val="24"/>
          <w:highlight w:val="none"/>
        </w:rPr>
        <w:t>。</w:t>
      </w:r>
    </w:p>
    <w:p w14:paraId="43EEC7B9">
      <w:pPr>
        <w:keepNext/>
        <w:spacing w:line="540" w:lineRule="exact"/>
        <w:outlineLvl w:val="3"/>
        <w:rPr>
          <w:rFonts w:ascii="宋体" w:hAnsi="宋体" w:cs="楷体"/>
          <w:b/>
          <w:bCs/>
          <w:sz w:val="24"/>
          <w:szCs w:val="24"/>
          <w:highlight w:val="none"/>
        </w:rPr>
      </w:pPr>
      <w:bookmarkStart w:id="1007" w:name="_Toc280868718"/>
      <w:bookmarkEnd w:id="1007"/>
      <w:bookmarkStart w:id="1008" w:name="_Toc280868717"/>
      <w:bookmarkEnd w:id="1008"/>
      <w:bookmarkStart w:id="1009" w:name="_Toc351203648"/>
      <w:bookmarkEnd w:id="1009"/>
      <w:r>
        <w:rPr>
          <w:rFonts w:hint="eastAsia" w:ascii="宋体" w:hAnsi="宋体" w:cs="楷体"/>
          <w:b/>
          <w:bCs/>
          <w:sz w:val="24"/>
          <w:szCs w:val="24"/>
          <w:highlight w:val="none"/>
        </w:rPr>
        <w:t>16. 违约</w:t>
      </w:r>
    </w:p>
    <w:p w14:paraId="5490C1EC">
      <w:pPr>
        <w:spacing w:line="540" w:lineRule="exact"/>
        <w:rPr>
          <w:rFonts w:ascii="宋体" w:hAnsi="宋体" w:cs="楷体"/>
          <w:sz w:val="24"/>
          <w:szCs w:val="24"/>
          <w:highlight w:val="none"/>
        </w:rPr>
      </w:pPr>
      <w:r>
        <w:rPr>
          <w:rFonts w:hint="eastAsia" w:ascii="宋体" w:hAnsi="宋体" w:cs="楷体"/>
          <w:b/>
          <w:bCs/>
          <w:sz w:val="24"/>
          <w:szCs w:val="24"/>
          <w:highlight w:val="none"/>
        </w:rPr>
        <w:t>16.1</w:t>
      </w:r>
      <w:r>
        <w:rPr>
          <w:rFonts w:hint="eastAsia" w:ascii="宋体" w:hAnsi="宋体" w:cs="楷体"/>
          <w:sz w:val="24"/>
          <w:szCs w:val="24"/>
          <w:highlight w:val="none"/>
        </w:rPr>
        <w:t xml:space="preserve"> 发包人违约</w:t>
      </w:r>
    </w:p>
    <w:p w14:paraId="0A71B9E5">
      <w:pPr>
        <w:spacing w:line="540" w:lineRule="exact"/>
        <w:rPr>
          <w:rFonts w:ascii="宋体" w:hAnsi="宋体" w:cs="楷体"/>
          <w:sz w:val="24"/>
          <w:szCs w:val="24"/>
          <w:highlight w:val="none"/>
        </w:rPr>
      </w:pPr>
      <w:r>
        <w:rPr>
          <w:rFonts w:hint="eastAsia" w:ascii="宋体" w:hAnsi="宋体" w:cs="楷体"/>
          <w:sz w:val="24"/>
          <w:szCs w:val="24"/>
          <w:highlight w:val="none"/>
        </w:rPr>
        <w:t>16.1.1发包人违约的情形</w:t>
      </w:r>
    </w:p>
    <w:p w14:paraId="5E7D6B49">
      <w:pPr>
        <w:spacing w:line="540" w:lineRule="exact"/>
        <w:rPr>
          <w:rFonts w:ascii="宋体" w:hAnsi="宋体" w:cs="楷体"/>
          <w:sz w:val="24"/>
          <w:szCs w:val="24"/>
          <w:highlight w:val="none"/>
        </w:rPr>
      </w:pPr>
      <w:r>
        <w:rPr>
          <w:rFonts w:hint="eastAsia" w:ascii="宋体" w:hAnsi="宋体" w:cs="楷体"/>
          <w:sz w:val="24"/>
          <w:szCs w:val="24"/>
          <w:highlight w:val="none"/>
        </w:rPr>
        <w:t>发包人违约的其他情形：</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FC78E89">
      <w:pPr>
        <w:spacing w:line="540" w:lineRule="exact"/>
        <w:rPr>
          <w:rFonts w:ascii="宋体" w:hAnsi="宋体" w:cs="楷体"/>
          <w:sz w:val="24"/>
          <w:szCs w:val="24"/>
          <w:highlight w:val="none"/>
        </w:rPr>
      </w:pPr>
      <w:r>
        <w:rPr>
          <w:rFonts w:hint="eastAsia" w:ascii="宋体" w:hAnsi="宋体" w:cs="楷体"/>
          <w:sz w:val="24"/>
          <w:szCs w:val="24"/>
          <w:highlight w:val="none"/>
        </w:rPr>
        <w:t>16.1.2 发包人违约的责任</w:t>
      </w:r>
    </w:p>
    <w:p w14:paraId="4565A5C0">
      <w:pPr>
        <w:spacing w:line="540" w:lineRule="exact"/>
        <w:rPr>
          <w:rFonts w:ascii="宋体" w:hAnsi="宋体" w:cs="楷体"/>
          <w:sz w:val="24"/>
          <w:szCs w:val="24"/>
          <w:highlight w:val="none"/>
        </w:rPr>
      </w:pPr>
      <w:r>
        <w:rPr>
          <w:rFonts w:hint="eastAsia" w:ascii="宋体" w:hAnsi="宋体" w:cs="楷体"/>
          <w:sz w:val="24"/>
          <w:szCs w:val="24"/>
          <w:highlight w:val="none"/>
        </w:rPr>
        <w:t>发包人违约责任的承担方式和计算方法：</w:t>
      </w:r>
    </w:p>
    <w:p w14:paraId="48E39339">
      <w:pPr>
        <w:spacing w:line="540" w:lineRule="exact"/>
        <w:rPr>
          <w:rFonts w:ascii="宋体" w:hAnsi="宋体" w:cs="楷体"/>
          <w:sz w:val="24"/>
          <w:szCs w:val="24"/>
          <w:highlight w:val="none"/>
          <w:u w:val="single"/>
        </w:rPr>
      </w:pPr>
      <w:r>
        <w:rPr>
          <w:rFonts w:hint="eastAsia" w:ascii="宋体" w:hAnsi="宋体" w:cs="楷体"/>
          <w:sz w:val="24"/>
          <w:szCs w:val="24"/>
          <w:highlight w:val="none"/>
        </w:rPr>
        <w:t>（1）因发包人原因未能在计划开工日期前7天内下达开工通知的违约责任：</w:t>
      </w:r>
      <w:r>
        <w:rPr>
          <w:rFonts w:hint="eastAsia" w:ascii="宋体" w:hAnsi="宋体" w:cs="楷体"/>
          <w:sz w:val="24"/>
          <w:szCs w:val="24"/>
          <w:highlight w:val="none"/>
          <w:u w:val="single"/>
        </w:rPr>
        <w:t xml:space="preserve">        顺延工期            </w:t>
      </w:r>
      <w:r>
        <w:rPr>
          <w:rFonts w:hint="eastAsia" w:ascii="宋体" w:hAnsi="宋体" w:cs="楷体"/>
          <w:sz w:val="24"/>
          <w:szCs w:val="24"/>
          <w:highlight w:val="none"/>
        </w:rPr>
        <w:t>。</w:t>
      </w:r>
    </w:p>
    <w:p w14:paraId="2CDF23E4">
      <w:pPr>
        <w:spacing w:line="540" w:lineRule="exact"/>
        <w:rPr>
          <w:rFonts w:ascii="宋体" w:hAnsi="宋体" w:cs="楷体"/>
          <w:sz w:val="24"/>
          <w:szCs w:val="24"/>
          <w:highlight w:val="none"/>
        </w:rPr>
      </w:pPr>
      <w:r>
        <w:rPr>
          <w:rFonts w:hint="eastAsia" w:ascii="宋体" w:hAnsi="宋体" w:cs="楷体"/>
          <w:sz w:val="24"/>
          <w:szCs w:val="24"/>
          <w:highlight w:val="none"/>
        </w:rPr>
        <w:t>（2）因发包人原因未能按合同约定支付合同价款的违约责任：</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794FCA62">
      <w:pPr>
        <w:spacing w:line="540" w:lineRule="exact"/>
        <w:rPr>
          <w:rFonts w:ascii="宋体" w:hAnsi="宋体" w:cs="楷体"/>
          <w:sz w:val="24"/>
          <w:szCs w:val="24"/>
          <w:highlight w:val="none"/>
        </w:rPr>
      </w:pPr>
      <w:r>
        <w:rPr>
          <w:rFonts w:hint="eastAsia" w:ascii="宋体" w:hAnsi="宋体" w:cs="楷体"/>
          <w:sz w:val="24"/>
          <w:szCs w:val="24"/>
          <w:highlight w:val="none"/>
        </w:rPr>
        <w:t>（3）发包人违反第10.1款〔变更的范围〕第（2）项约定，自行实施被取消的工作或转由他人实施的违约责任：。</w:t>
      </w:r>
    </w:p>
    <w:p w14:paraId="5B6A2202">
      <w:pPr>
        <w:spacing w:line="540" w:lineRule="exact"/>
        <w:rPr>
          <w:rFonts w:ascii="宋体" w:hAnsi="宋体" w:cs="楷体"/>
          <w:sz w:val="24"/>
          <w:szCs w:val="24"/>
          <w:highlight w:val="none"/>
        </w:rPr>
      </w:pPr>
      <w:r>
        <w:rPr>
          <w:rFonts w:hint="eastAsia" w:ascii="宋体" w:hAnsi="宋体" w:cs="楷体"/>
          <w:sz w:val="24"/>
          <w:szCs w:val="24"/>
          <w:highlight w:val="none"/>
        </w:rPr>
        <w:t>（4）发包人提供的材料、工程设备的规格、数量或质量不符合合同约定，或因发包人原因导致交货日期延误或交货地点变更等情况的违约责任：</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9327D84">
      <w:pPr>
        <w:spacing w:line="540" w:lineRule="exact"/>
        <w:rPr>
          <w:rFonts w:ascii="宋体" w:hAnsi="宋体" w:cs="楷体"/>
          <w:sz w:val="24"/>
          <w:szCs w:val="24"/>
          <w:highlight w:val="none"/>
        </w:rPr>
      </w:pPr>
      <w:r>
        <w:rPr>
          <w:rFonts w:hint="eastAsia" w:ascii="宋体" w:hAnsi="宋体" w:cs="楷体"/>
          <w:sz w:val="24"/>
          <w:szCs w:val="24"/>
          <w:highlight w:val="none"/>
        </w:rPr>
        <w:t>（5）因发包人违反合同约定造成暂停施工的违约责任：</w:t>
      </w:r>
      <w:r>
        <w:rPr>
          <w:rFonts w:hint="eastAsia" w:ascii="宋体" w:hAnsi="宋体" w:cs="楷体"/>
          <w:sz w:val="24"/>
          <w:szCs w:val="24"/>
          <w:highlight w:val="none"/>
          <w:u w:val="single"/>
        </w:rPr>
        <w:t xml:space="preserve">  顺延工期     </w:t>
      </w:r>
      <w:r>
        <w:rPr>
          <w:rFonts w:hint="eastAsia" w:ascii="宋体" w:hAnsi="宋体" w:cs="楷体"/>
          <w:sz w:val="24"/>
          <w:szCs w:val="24"/>
          <w:highlight w:val="none"/>
        </w:rPr>
        <w:t>。</w:t>
      </w:r>
    </w:p>
    <w:p w14:paraId="52DD7648">
      <w:pPr>
        <w:spacing w:line="540" w:lineRule="exact"/>
        <w:rPr>
          <w:rFonts w:ascii="宋体" w:hAnsi="宋体" w:cs="楷体"/>
          <w:sz w:val="24"/>
          <w:szCs w:val="24"/>
          <w:highlight w:val="none"/>
        </w:rPr>
      </w:pPr>
      <w:r>
        <w:rPr>
          <w:rFonts w:hint="eastAsia" w:ascii="宋体" w:hAnsi="宋体" w:cs="楷体"/>
          <w:sz w:val="24"/>
          <w:szCs w:val="24"/>
          <w:highlight w:val="none"/>
        </w:rPr>
        <w:t>（6）发包人无正当理由没有在约定期限内发出复工指示，导致承包人无法复工的违约责任：</w:t>
      </w:r>
      <w:r>
        <w:rPr>
          <w:rFonts w:hint="eastAsia" w:ascii="宋体" w:hAnsi="宋体" w:cs="楷体"/>
          <w:sz w:val="24"/>
          <w:szCs w:val="24"/>
          <w:highlight w:val="none"/>
          <w:u w:val="single"/>
        </w:rPr>
        <w:t xml:space="preserve">    顺延工期                 </w:t>
      </w:r>
      <w:r>
        <w:rPr>
          <w:rFonts w:hint="eastAsia" w:ascii="宋体" w:hAnsi="宋体" w:cs="楷体"/>
          <w:sz w:val="24"/>
          <w:szCs w:val="24"/>
          <w:highlight w:val="none"/>
        </w:rPr>
        <w:t>。</w:t>
      </w:r>
    </w:p>
    <w:p w14:paraId="43B7CC32">
      <w:pPr>
        <w:spacing w:line="540" w:lineRule="exact"/>
        <w:rPr>
          <w:rFonts w:ascii="宋体" w:hAnsi="宋体" w:cs="楷体"/>
          <w:sz w:val="24"/>
          <w:szCs w:val="24"/>
          <w:highlight w:val="none"/>
        </w:rPr>
      </w:pPr>
      <w:r>
        <w:rPr>
          <w:rFonts w:hint="eastAsia" w:ascii="宋体" w:hAnsi="宋体" w:cs="楷体"/>
          <w:sz w:val="24"/>
          <w:szCs w:val="24"/>
          <w:highlight w:val="none"/>
        </w:rPr>
        <w:t>（7）其他：</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353106E7">
      <w:pPr>
        <w:spacing w:line="540" w:lineRule="exact"/>
        <w:rPr>
          <w:rFonts w:ascii="宋体" w:hAnsi="宋体" w:cs="楷体"/>
          <w:sz w:val="24"/>
          <w:szCs w:val="24"/>
          <w:highlight w:val="none"/>
        </w:rPr>
      </w:pPr>
      <w:r>
        <w:rPr>
          <w:rFonts w:hint="eastAsia" w:ascii="宋体" w:hAnsi="宋体" w:cs="楷体"/>
          <w:sz w:val="24"/>
          <w:szCs w:val="24"/>
          <w:highlight w:val="none"/>
        </w:rPr>
        <w:t>16.1.3 因发包人违约解除合同</w:t>
      </w:r>
    </w:p>
    <w:p w14:paraId="39878072">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承包人按16.1.1项〔发包人违约的情形〕约定暂停施工满</w:t>
      </w:r>
      <w:r>
        <w:rPr>
          <w:rFonts w:hint="eastAsia" w:ascii="宋体" w:hAnsi="宋体" w:cs="楷体"/>
          <w:sz w:val="24"/>
          <w:szCs w:val="24"/>
          <w:highlight w:val="none"/>
          <w:u w:val="single"/>
        </w:rPr>
        <w:t xml:space="preserve">  90  </w:t>
      </w:r>
      <w:r>
        <w:rPr>
          <w:rFonts w:hint="eastAsia" w:ascii="宋体" w:hAnsi="宋体" w:cs="楷体"/>
          <w:sz w:val="24"/>
          <w:szCs w:val="24"/>
          <w:highlight w:val="none"/>
        </w:rPr>
        <w:t>天后发包人仍不纠正其违约行为并致使合同目的不能实现的，承包人有权解除合同。</w:t>
      </w:r>
    </w:p>
    <w:p w14:paraId="5F06C6C0">
      <w:pPr>
        <w:spacing w:line="540" w:lineRule="exact"/>
        <w:rPr>
          <w:rFonts w:ascii="宋体" w:hAnsi="宋体" w:cs="楷体"/>
          <w:sz w:val="24"/>
          <w:szCs w:val="24"/>
          <w:highlight w:val="none"/>
        </w:rPr>
      </w:pPr>
      <w:r>
        <w:rPr>
          <w:rFonts w:hint="eastAsia" w:ascii="宋体" w:hAnsi="宋体" w:cs="楷体"/>
          <w:b/>
          <w:bCs/>
          <w:sz w:val="24"/>
          <w:szCs w:val="24"/>
          <w:highlight w:val="none"/>
        </w:rPr>
        <w:t>16.2</w:t>
      </w:r>
      <w:r>
        <w:rPr>
          <w:rFonts w:hint="eastAsia" w:ascii="宋体" w:hAnsi="宋体" w:cs="楷体"/>
          <w:sz w:val="24"/>
          <w:szCs w:val="24"/>
          <w:highlight w:val="none"/>
        </w:rPr>
        <w:t xml:space="preserve"> 承包人违约</w:t>
      </w:r>
    </w:p>
    <w:p w14:paraId="3906B93A">
      <w:pPr>
        <w:spacing w:line="540" w:lineRule="exact"/>
        <w:rPr>
          <w:rFonts w:ascii="宋体" w:hAnsi="宋体" w:cs="楷体"/>
          <w:sz w:val="24"/>
          <w:szCs w:val="24"/>
          <w:highlight w:val="none"/>
        </w:rPr>
      </w:pPr>
      <w:r>
        <w:rPr>
          <w:rFonts w:hint="eastAsia" w:ascii="宋体" w:hAnsi="宋体" w:cs="楷体"/>
          <w:sz w:val="24"/>
          <w:szCs w:val="24"/>
          <w:highlight w:val="none"/>
        </w:rPr>
        <w:t>16.2.1承包人违约的其他情形：</w:t>
      </w:r>
      <w:r>
        <w:rPr>
          <w:rFonts w:hint="eastAsia" w:ascii="宋体" w:hAnsi="宋体" w:cs="楷体"/>
          <w:sz w:val="24"/>
          <w:szCs w:val="24"/>
          <w:highlight w:val="none"/>
          <w:u w:val="single"/>
        </w:rPr>
        <w:t>乙方不按协议意向约定履行协议意向义务，甲方有权终止协议意向并不予退还意向履约保证金</w:t>
      </w:r>
      <w:r>
        <w:rPr>
          <w:rFonts w:hint="eastAsia" w:ascii="宋体" w:hAnsi="宋体" w:cs="楷体"/>
          <w:sz w:val="24"/>
          <w:szCs w:val="24"/>
          <w:highlight w:val="none"/>
        </w:rPr>
        <w:t>。</w:t>
      </w:r>
    </w:p>
    <w:p w14:paraId="6C95BF5A">
      <w:pPr>
        <w:spacing w:line="540" w:lineRule="exact"/>
        <w:rPr>
          <w:rFonts w:ascii="宋体" w:hAnsi="宋体" w:cs="楷体"/>
          <w:sz w:val="24"/>
          <w:szCs w:val="24"/>
          <w:highlight w:val="none"/>
        </w:rPr>
      </w:pPr>
      <w:r>
        <w:rPr>
          <w:rFonts w:hint="eastAsia" w:ascii="宋体" w:hAnsi="宋体" w:cs="楷体"/>
          <w:sz w:val="24"/>
          <w:szCs w:val="24"/>
          <w:highlight w:val="none"/>
        </w:rPr>
        <w:t xml:space="preserve">16.2.2承包人违约的责任 </w:t>
      </w:r>
    </w:p>
    <w:p w14:paraId="2CECAAB3">
      <w:pPr>
        <w:spacing w:line="540" w:lineRule="exact"/>
        <w:rPr>
          <w:rFonts w:ascii="宋体" w:hAnsi="宋体" w:cs="楷体"/>
          <w:sz w:val="24"/>
          <w:szCs w:val="24"/>
          <w:highlight w:val="none"/>
          <w:u w:val="single"/>
        </w:rPr>
      </w:pPr>
      <w:r>
        <w:rPr>
          <w:rFonts w:hint="eastAsia" w:ascii="宋体" w:hAnsi="宋体" w:cs="楷体"/>
          <w:sz w:val="24"/>
          <w:szCs w:val="24"/>
          <w:highlight w:val="none"/>
        </w:rPr>
        <w:t>承包人违约责任的承担方式和计算方法：</w:t>
      </w:r>
      <w:r>
        <w:rPr>
          <w:rFonts w:hint="eastAsia" w:ascii="宋体" w:hAnsi="宋体" w:cs="楷体"/>
          <w:sz w:val="24"/>
          <w:szCs w:val="24"/>
          <w:highlight w:val="none"/>
          <w:u w:val="single"/>
        </w:rPr>
        <w:t xml:space="preserve"> 按总工期每延误一天违约金一万元，违约金总额不得超过总价款的1%</w:t>
      </w:r>
      <w:r>
        <w:rPr>
          <w:rFonts w:hint="eastAsia" w:ascii="宋体" w:hAnsi="宋体" w:cs="楷体"/>
          <w:sz w:val="24"/>
          <w:szCs w:val="24"/>
          <w:highlight w:val="none"/>
        </w:rPr>
        <w:t>。</w:t>
      </w:r>
    </w:p>
    <w:p w14:paraId="7CA8A15E">
      <w:pPr>
        <w:spacing w:line="540" w:lineRule="exact"/>
        <w:rPr>
          <w:rFonts w:ascii="宋体" w:hAnsi="宋体" w:cs="楷体"/>
          <w:sz w:val="24"/>
          <w:szCs w:val="24"/>
          <w:highlight w:val="none"/>
        </w:rPr>
      </w:pPr>
      <w:r>
        <w:rPr>
          <w:rFonts w:hint="eastAsia" w:ascii="宋体" w:hAnsi="宋体" w:cs="楷体"/>
          <w:sz w:val="24"/>
          <w:szCs w:val="24"/>
          <w:highlight w:val="none"/>
        </w:rPr>
        <w:t>16.2.3 因承包人违约解除合同</w:t>
      </w:r>
    </w:p>
    <w:p w14:paraId="773B0965">
      <w:pPr>
        <w:spacing w:line="540" w:lineRule="exact"/>
        <w:rPr>
          <w:rFonts w:ascii="宋体" w:hAnsi="宋体" w:cs="楷体"/>
          <w:sz w:val="24"/>
          <w:szCs w:val="24"/>
          <w:highlight w:val="none"/>
        </w:rPr>
      </w:pPr>
      <w:r>
        <w:rPr>
          <w:rFonts w:hint="eastAsia" w:ascii="宋体" w:hAnsi="宋体" w:cs="楷体"/>
          <w:sz w:val="24"/>
          <w:szCs w:val="24"/>
          <w:highlight w:val="none"/>
        </w:rPr>
        <w:t>关于承包人违约解除合同的特别约定：</w:t>
      </w:r>
      <w:r>
        <w:rPr>
          <w:rFonts w:hint="eastAsia" w:ascii="宋体" w:hAnsi="宋体" w:cs="楷体"/>
          <w:sz w:val="24"/>
          <w:szCs w:val="24"/>
          <w:highlight w:val="none"/>
          <w:u w:val="single"/>
        </w:rPr>
        <w:t xml:space="preserve">  发包人在合同解除后按工程进度向承包人支付款项，同时扣除承包人的履约保证金  </w:t>
      </w:r>
      <w:r>
        <w:rPr>
          <w:rFonts w:hint="eastAsia" w:ascii="宋体" w:hAnsi="宋体" w:cs="楷体"/>
          <w:sz w:val="24"/>
          <w:szCs w:val="24"/>
          <w:highlight w:val="none"/>
        </w:rPr>
        <w:t>。</w:t>
      </w:r>
    </w:p>
    <w:p w14:paraId="4B8AC01D">
      <w:pPr>
        <w:spacing w:line="540" w:lineRule="exact"/>
        <w:rPr>
          <w:rFonts w:ascii="宋体" w:hAnsi="宋体" w:cs="楷体"/>
          <w:sz w:val="24"/>
          <w:szCs w:val="24"/>
          <w:highlight w:val="none"/>
        </w:rPr>
      </w:pPr>
      <w:r>
        <w:rPr>
          <w:rFonts w:hint="eastAsia" w:ascii="宋体" w:hAnsi="宋体" w:cs="楷体"/>
          <w:sz w:val="24"/>
          <w:szCs w:val="24"/>
          <w:highlight w:val="none"/>
        </w:rPr>
        <w:t>发包人继续使用承包人在施工现场的材料、设备、临时工程、承包人文件和由承包人或以其名义编制的其他文件的费用承担方式：</w:t>
      </w:r>
      <w:r>
        <w:rPr>
          <w:rFonts w:hint="eastAsia" w:ascii="宋体" w:hAnsi="宋体" w:cs="楷体"/>
          <w:sz w:val="24"/>
          <w:szCs w:val="24"/>
          <w:highlight w:val="none"/>
          <w:u w:val="single"/>
        </w:rPr>
        <w:t xml:space="preserve">  承包人承担  </w:t>
      </w:r>
      <w:r>
        <w:rPr>
          <w:rFonts w:hint="eastAsia" w:ascii="宋体" w:hAnsi="宋体" w:cs="楷体"/>
          <w:sz w:val="24"/>
          <w:szCs w:val="24"/>
          <w:highlight w:val="none"/>
        </w:rPr>
        <w:t>。</w:t>
      </w:r>
    </w:p>
    <w:p w14:paraId="31099D5E">
      <w:pPr>
        <w:keepNext/>
        <w:spacing w:line="540" w:lineRule="exact"/>
        <w:outlineLvl w:val="3"/>
        <w:rPr>
          <w:rFonts w:ascii="宋体" w:hAnsi="宋体" w:cs="楷体"/>
          <w:b/>
          <w:bCs/>
          <w:sz w:val="24"/>
          <w:szCs w:val="24"/>
          <w:highlight w:val="none"/>
        </w:rPr>
      </w:pPr>
      <w:bookmarkStart w:id="1010" w:name="_Toc351203649"/>
      <w:bookmarkEnd w:id="1010"/>
      <w:r>
        <w:rPr>
          <w:rFonts w:hint="eastAsia" w:ascii="宋体" w:hAnsi="宋体" w:cs="楷体"/>
          <w:b/>
          <w:bCs/>
          <w:sz w:val="24"/>
          <w:szCs w:val="24"/>
          <w:highlight w:val="none"/>
        </w:rPr>
        <w:t xml:space="preserve">17. 不可抗力 </w:t>
      </w:r>
    </w:p>
    <w:p w14:paraId="0DA32B4C">
      <w:pPr>
        <w:spacing w:line="540" w:lineRule="exact"/>
        <w:rPr>
          <w:rFonts w:ascii="宋体" w:hAnsi="宋体" w:cs="楷体"/>
          <w:sz w:val="24"/>
          <w:szCs w:val="24"/>
          <w:highlight w:val="none"/>
        </w:rPr>
      </w:pPr>
      <w:r>
        <w:rPr>
          <w:rFonts w:hint="eastAsia" w:ascii="宋体" w:hAnsi="宋体" w:cs="楷体"/>
          <w:b/>
          <w:bCs/>
          <w:sz w:val="24"/>
          <w:szCs w:val="24"/>
          <w:highlight w:val="none"/>
        </w:rPr>
        <w:t>17.1</w:t>
      </w:r>
      <w:r>
        <w:rPr>
          <w:rFonts w:hint="eastAsia" w:ascii="宋体" w:hAnsi="宋体" w:cs="楷体"/>
          <w:sz w:val="24"/>
          <w:szCs w:val="24"/>
          <w:highlight w:val="none"/>
        </w:rPr>
        <w:t xml:space="preserve"> 不可抗力的确认</w:t>
      </w:r>
    </w:p>
    <w:p w14:paraId="42A90EDC">
      <w:pPr>
        <w:spacing w:line="540" w:lineRule="exact"/>
        <w:rPr>
          <w:rFonts w:ascii="宋体" w:hAnsi="宋体" w:cs="楷体"/>
          <w:sz w:val="24"/>
          <w:szCs w:val="24"/>
          <w:highlight w:val="none"/>
          <w:u w:val="single"/>
        </w:rPr>
      </w:pPr>
      <w:r>
        <w:rPr>
          <w:rFonts w:hint="eastAsia" w:ascii="宋体" w:hAnsi="宋体" w:cs="楷体"/>
          <w:sz w:val="24"/>
          <w:szCs w:val="24"/>
          <w:highlight w:val="none"/>
        </w:rPr>
        <w:t>除通用合同条款约定的不可抗力事件之外，视为不可抗力的其他情形：</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10D614A7">
      <w:pPr>
        <w:spacing w:line="540" w:lineRule="exact"/>
        <w:rPr>
          <w:rFonts w:ascii="宋体" w:hAnsi="宋体" w:cs="楷体"/>
          <w:sz w:val="24"/>
          <w:szCs w:val="24"/>
          <w:highlight w:val="none"/>
        </w:rPr>
      </w:pPr>
      <w:r>
        <w:rPr>
          <w:rFonts w:hint="eastAsia" w:ascii="宋体" w:hAnsi="宋体" w:cs="楷体"/>
          <w:b/>
          <w:bCs/>
          <w:sz w:val="24"/>
          <w:szCs w:val="24"/>
          <w:highlight w:val="none"/>
        </w:rPr>
        <w:t>17.4</w:t>
      </w:r>
      <w:r>
        <w:rPr>
          <w:rFonts w:hint="eastAsia" w:ascii="宋体" w:hAnsi="宋体" w:cs="楷体"/>
          <w:sz w:val="24"/>
          <w:szCs w:val="24"/>
          <w:highlight w:val="none"/>
        </w:rPr>
        <w:t xml:space="preserve"> 因不可抗力解除合同</w:t>
      </w:r>
    </w:p>
    <w:p w14:paraId="18594DDC">
      <w:pPr>
        <w:spacing w:line="540" w:lineRule="exact"/>
        <w:rPr>
          <w:rFonts w:ascii="宋体" w:hAnsi="宋体" w:cs="楷体"/>
          <w:sz w:val="24"/>
          <w:szCs w:val="24"/>
          <w:highlight w:val="none"/>
        </w:rPr>
      </w:pPr>
      <w:r>
        <w:rPr>
          <w:rFonts w:hint="eastAsia" w:ascii="宋体" w:hAnsi="宋体" w:cs="楷体"/>
          <w:sz w:val="24"/>
          <w:szCs w:val="24"/>
          <w:highlight w:val="none"/>
        </w:rPr>
        <w:t>合同解除后，发包人应在商定或确定发包人应支付款项后</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天内完成款项的支付。</w:t>
      </w:r>
    </w:p>
    <w:p w14:paraId="0763B844">
      <w:pPr>
        <w:keepNext/>
        <w:spacing w:line="540" w:lineRule="exact"/>
        <w:outlineLvl w:val="3"/>
        <w:rPr>
          <w:rFonts w:ascii="宋体" w:hAnsi="宋体" w:cs="楷体"/>
          <w:b/>
          <w:bCs/>
          <w:sz w:val="24"/>
          <w:szCs w:val="24"/>
          <w:highlight w:val="none"/>
        </w:rPr>
      </w:pPr>
      <w:bookmarkStart w:id="1011" w:name="_Toc351203650"/>
      <w:bookmarkEnd w:id="1011"/>
      <w:r>
        <w:rPr>
          <w:rFonts w:hint="eastAsia" w:ascii="宋体" w:hAnsi="宋体" w:cs="楷体"/>
          <w:b/>
          <w:bCs/>
          <w:sz w:val="24"/>
          <w:szCs w:val="24"/>
          <w:highlight w:val="none"/>
        </w:rPr>
        <w:t>18. 保险</w:t>
      </w:r>
    </w:p>
    <w:p w14:paraId="1B7778EA">
      <w:pPr>
        <w:spacing w:line="540" w:lineRule="exact"/>
        <w:rPr>
          <w:rFonts w:ascii="宋体" w:hAnsi="宋体" w:cs="楷体"/>
          <w:sz w:val="24"/>
          <w:szCs w:val="24"/>
          <w:highlight w:val="none"/>
        </w:rPr>
      </w:pPr>
      <w:r>
        <w:rPr>
          <w:rFonts w:hint="eastAsia" w:ascii="宋体" w:hAnsi="宋体" w:cs="楷体"/>
          <w:b/>
          <w:bCs/>
          <w:sz w:val="24"/>
          <w:szCs w:val="24"/>
          <w:highlight w:val="none"/>
        </w:rPr>
        <w:t>18.1</w:t>
      </w:r>
      <w:r>
        <w:rPr>
          <w:rFonts w:hint="eastAsia" w:ascii="宋体" w:hAnsi="宋体" w:cs="楷体"/>
          <w:sz w:val="24"/>
          <w:szCs w:val="24"/>
          <w:highlight w:val="none"/>
        </w:rPr>
        <w:t xml:space="preserve"> 工程保险</w:t>
      </w:r>
    </w:p>
    <w:p w14:paraId="60556B4D">
      <w:pPr>
        <w:spacing w:line="540" w:lineRule="exact"/>
        <w:rPr>
          <w:rFonts w:ascii="宋体" w:hAnsi="宋体" w:cs="楷体"/>
          <w:sz w:val="24"/>
          <w:szCs w:val="24"/>
          <w:highlight w:val="none"/>
        </w:rPr>
      </w:pPr>
      <w:r>
        <w:rPr>
          <w:rFonts w:hint="eastAsia" w:ascii="宋体" w:hAnsi="宋体" w:cs="楷体"/>
          <w:sz w:val="24"/>
          <w:szCs w:val="24"/>
          <w:highlight w:val="none"/>
        </w:rPr>
        <w:t>关于工程保险的特别约定：</w:t>
      </w:r>
      <w:r>
        <w:rPr>
          <w:rFonts w:hint="eastAsia" w:ascii="宋体" w:hAnsi="宋体" w:cs="楷体"/>
          <w:sz w:val="24"/>
          <w:szCs w:val="24"/>
          <w:highlight w:val="none"/>
          <w:u w:val="single"/>
        </w:rPr>
        <w:t xml:space="preserve">        无                          </w:t>
      </w:r>
      <w:r>
        <w:rPr>
          <w:rFonts w:hint="eastAsia" w:ascii="宋体" w:hAnsi="宋体" w:cs="楷体"/>
          <w:sz w:val="24"/>
          <w:szCs w:val="24"/>
          <w:highlight w:val="none"/>
        </w:rPr>
        <w:t>。</w:t>
      </w:r>
    </w:p>
    <w:p w14:paraId="07001287">
      <w:pPr>
        <w:spacing w:line="540" w:lineRule="exact"/>
        <w:rPr>
          <w:rFonts w:ascii="宋体" w:hAnsi="宋体" w:cs="楷体"/>
          <w:sz w:val="24"/>
          <w:szCs w:val="24"/>
          <w:highlight w:val="none"/>
        </w:rPr>
      </w:pPr>
      <w:r>
        <w:rPr>
          <w:rFonts w:hint="eastAsia" w:ascii="宋体" w:hAnsi="宋体" w:cs="楷体"/>
          <w:b/>
          <w:bCs/>
          <w:sz w:val="24"/>
          <w:szCs w:val="24"/>
          <w:highlight w:val="none"/>
        </w:rPr>
        <w:t>18.3</w:t>
      </w:r>
      <w:r>
        <w:rPr>
          <w:rFonts w:hint="eastAsia" w:ascii="宋体" w:hAnsi="宋体" w:cs="楷体"/>
          <w:sz w:val="24"/>
          <w:szCs w:val="24"/>
          <w:highlight w:val="none"/>
        </w:rPr>
        <w:t xml:space="preserve"> 其他保险</w:t>
      </w:r>
    </w:p>
    <w:p w14:paraId="3C921820">
      <w:pPr>
        <w:spacing w:line="540" w:lineRule="exact"/>
        <w:rPr>
          <w:rFonts w:ascii="宋体" w:hAnsi="宋体" w:cs="楷体"/>
          <w:sz w:val="24"/>
          <w:szCs w:val="24"/>
          <w:highlight w:val="none"/>
        </w:rPr>
      </w:pPr>
      <w:r>
        <w:rPr>
          <w:rFonts w:hint="eastAsia" w:ascii="宋体" w:hAnsi="宋体" w:cs="楷体"/>
          <w:sz w:val="24"/>
          <w:szCs w:val="24"/>
          <w:highlight w:val="none"/>
        </w:rPr>
        <w:t>关于其他保险的约定：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2886C555">
      <w:pPr>
        <w:spacing w:line="540" w:lineRule="exact"/>
        <w:rPr>
          <w:rFonts w:ascii="宋体" w:hAnsi="宋体" w:cs="楷体"/>
          <w:sz w:val="24"/>
          <w:szCs w:val="24"/>
          <w:highlight w:val="none"/>
        </w:rPr>
      </w:pPr>
      <w:r>
        <w:rPr>
          <w:rFonts w:hint="eastAsia" w:ascii="宋体" w:hAnsi="宋体" w:cs="楷体"/>
          <w:sz w:val="24"/>
          <w:szCs w:val="24"/>
          <w:highlight w:val="none"/>
        </w:rPr>
        <w:t>承包人是否应为其施工设备等办理财产保险：</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3D6775A1">
      <w:pPr>
        <w:spacing w:line="540" w:lineRule="exact"/>
        <w:rPr>
          <w:rFonts w:ascii="宋体" w:hAnsi="宋体" w:cs="楷体"/>
          <w:sz w:val="24"/>
          <w:szCs w:val="24"/>
          <w:highlight w:val="none"/>
        </w:rPr>
      </w:pPr>
      <w:r>
        <w:rPr>
          <w:rFonts w:hint="eastAsia" w:ascii="宋体" w:hAnsi="宋体" w:cs="楷体"/>
          <w:b/>
          <w:bCs/>
          <w:sz w:val="24"/>
          <w:szCs w:val="24"/>
          <w:highlight w:val="none"/>
        </w:rPr>
        <w:t>18.7</w:t>
      </w:r>
      <w:r>
        <w:rPr>
          <w:rFonts w:hint="eastAsia" w:ascii="宋体" w:hAnsi="宋体" w:cs="楷体"/>
          <w:sz w:val="24"/>
          <w:szCs w:val="24"/>
          <w:highlight w:val="none"/>
        </w:rPr>
        <w:t xml:space="preserve"> 通知义务</w:t>
      </w:r>
    </w:p>
    <w:p w14:paraId="1EFC5632">
      <w:pPr>
        <w:spacing w:line="540" w:lineRule="exact"/>
        <w:rPr>
          <w:rFonts w:ascii="宋体" w:hAnsi="宋体" w:cs="楷体"/>
          <w:sz w:val="24"/>
          <w:szCs w:val="24"/>
          <w:highlight w:val="none"/>
        </w:rPr>
      </w:pPr>
      <w:r>
        <w:rPr>
          <w:rFonts w:hint="eastAsia" w:ascii="宋体" w:hAnsi="宋体" w:cs="楷体"/>
          <w:sz w:val="24"/>
          <w:szCs w:val="24"/>
          <w:highlight w:val="none"/>
        </w:rPr>
        <w:t>关于变更保险合同时的通知义务的约定：</w:t>
      </w:r>
      <w:r>
        <w:rPr>
          <w:rFonts w:hint="eastAsia" w:ascii="宋体" w:hAnsi="宋体" w:cs="楷体"/>
          <w:sz w:val="24"/>
          <w:szCs w:val="24"/>
          <w:highlight w:val="none"/>
          <w:u w:val="single"/>
        </w:rPr>
        <w:t xml:space="preserve">      按通用条款执行             </w:t>
      </w:r>
      <w:r>
        <w:rPr>
          <w:rFonts w:hint="eastAsia" w:ascii="宋体" w:hAnsi="宋体" w:cs="楷体"/>
          <w:sz w:val="24"/>
          <w:szCs w:val="24"/>
          <w:highlight w:val="none"/>
        </w:rPr>
        <w:t>。</w:t>
      </w:r>
    </w:p>
    <w:p w14:paraId="58FE09FE">
      <w:pPr>
        <w:keepNext/>
        <w:spacing w:line="540" w:lineRule="exact"/>
        <w:outlineLvl w:val="3"/>
        <w:rPr>
          <w:rFonts w:ascii="宋体" w:hAnsi="宋体" w:cs="楷体"/>
          <w:b/>
          <w:bCs/>
          <w:sz w:val="24"/>
          <w:szCs w:val="24"/>
          <w:highlight w:val="none"/>
        </w:rPr>
      </w:pPr>
      <w:bookmarkStart w:id="1012" w:name="_Toc351203651"/>
      <w:bookmarkEnd w:id="1012"/>
      <w:r>
        <w:rPr>
          <w:rFonts w:hint="eastAsia" w:ascii="宋体" w:hAnsi="宋体" w:cs="楷体"/>
          <w:b/>
          <w:bCs/>
          <w:sz w:val="24"/>
          <w:szCs w:val="24"/>
          <w:highlight w:val="none"/>
        </w:rPr>
        <w:t>20. 争议解决</w:t>
      </w:r>
    </w:p>
    <w:p w14:paraId="775683DF">
      <w:pPr>
        <w:spacing w:line="540" w:lineRule="exact"/>
        <w:rPr>
          <w:rFonts w:ascii="宋体" w:hAnsi="宋体" w:cs="楷体"/>
          <w:sz w:val="24"/>
          <w:szCs w:val="24"/>
          <w:highlight w:val="none"/>
        </w:rPr>
      </w:pPr>
      <w:r>
        <w:rPr>
          <w:rFonts w:hint="eastAsia" w:ascii="宋体" w:hAnsi="宋体" w:cs="楷体"/>
          <w:b/>
          <w:bCs/>
          <w:sz w:val="24"/>
          <w:szCs w:val="24"/>
          <w:highlight w:val="none"/>
        </w:rPr>
        <w:t>20.3</w:t>
      </w:r>
      <w:r>
        <w:rPr>
          <w:rFonts w:hint="eastAsia" w:ascii="宋体" w:hAnsi="宋体" w:cs="楷体"/>
          <w:sz w:val="24"/>
          <w:szCs w:val="24"/>
          <w:highlight w:val="none"/>
        </w:rPr>
        <w:t xml:space="preserve"> 争议评审</w:t>
      </w:r>
    </w:p>
    <w:p w14:paraId="61AA4CD8">
      <w:pPr>
        <w:spacing w:line="540" w:lineRule="exact"/>
        <w:rPr>
          <w:rFonts w:ascii="宋体" w:hAnsi="宋体" w:cs="楷体"/>
          <w:sz w:val="24"/>
          <w:szCs w:val="24"/>
          <w:highlight w:val="none"/>
        </w:rPr>
      </w:pPr>
      <w:r>
        <w:rPr>
          <w:rFonts w:hint="eastAsia" w:ascii="宋体" w:hAnsi="宋体" w:cs="楷体"/>
          <w:sz w:val="24"/>
          <w:szCs w:val="24"/>
          <w:highlight w:val="none"/>
        </w:rPr>
        <w:t>合同当事人是否同意将工程争议提交争议评审小组决定：。</w:t>
      </w:r>
    </w:p>
    <w:p w14:paraId="1550A829">
      <w:pPr>
        <w:spacing w:line="540" w:lineRule="exact"/>
        <w:rPr>
          <w:rFonts w:ascii="宋体" w:hAnsi="宋体" w:cs="楷体"/>
          <w:sz w:val="24"/>
          <w:szCs w:val="24"/>
          <w:highlight w:val="none"/>
        </w:rPr>
      </w:pPr>
      <w:r>
        <w:rPr>
          <w:rFonts w:hint="eastAsia" w:ascii="宋体" w:hAnsi="宋体" w:cs="楷体"/>
          <w:sz w:val="24"/>
          <w:szCs w:val="24"/>
          <w:highlight w:val="none"/>
        </w:rPr>
        <w:t>20.3.1 争议评审小组的确定</w:t>
      </w:r>
    </w:p>
    <w:p w14:paraId="6E05D5F3">
      <w:pPr>
        <w:spacing w:line="540" w:lineRule="exact"/>
        <w:rPr>
          <w:rFonts w:ascii="宋体" w:hAnsi="宋体" w:cs="楷体"/>
          <w:sz w:val="24"/>
          <w:szCs w:val="24"/>
          <w:highlight w:val="none"/>
          <w:u w:val="single"/>
        </w:rPr>
      </w:pPr>
      <w:r>
        <w:rPr>
          <w:rFonts w:hint="eastAsia" w:ascii="宋体" w:hAnsi="宋体" w:cs="楷体"/>
          <w:sz w:val="24"/>
          <w:szCs w:val="24"/>
          <w:highlight w:val="none"/>
        </w:rPr>
        <w:t>争议评审小组成员的确定：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3D11397">
      <w:pPr>
        <w:spacing w:line="540" w:lineRule="exact"/>
        <w:rPr>
          <w:rFonts w:ascii="宋体" w:hAnsi="宋体" w:cs="楷体"/>
          <w:sz w:val="24"/>
          <w:szCs w:val="24"/>
          <w:highlight w:val="none"/>
        </w:rPr>
      </w:pPr>
      <w:r>
        <w:rPr>
          <w:rFonts w:hint="eastAsia" w:ascii="宋体" w:hAnsi="宋体" w:cs="楷体"/>
          <w:sz w:val="24"/>
          <w:szCs w:val="24"/>
          <w:highlight w:val="none"/>
        </w:rPr>
        <w:t>选定争议评审员的期限：</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74B2B178">
      <w:pPr>
        <w:spacing w:line="540" w:lineRule="exact"/>
        <w:rPr>
          <w:rFonts w:ascii="宋体" w:hAnsi="宋体" w:cs="楷体"/>
          <w:sz w:val="24"/>
          <w:szCs w:val="24"/>
          <w:highlight w:val="none"/>
        </w:rPr>
      </w:pPr>
      <w:r>
        <w:rPr>
          <w:rFonts w:hint="eastAsia" w:ascii="宋体" w:hAnsi="宋体" w:cs="楷体"/>
          <w:sz w:val="24"/>
          <w:szCs w:val="24"/>
          <w:highlight w:val="none"/>
        </w:rPr>
        <w:t>争议评审小组成员的报酬承担方式：</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E9CB7BC">
      <w:pPr>
        <w:spacing w:line="540" w:lineRule="exact"/>
        <w:rPr>
          <w:rFonts w:ascii="宋体" w:hAnsi="宋体" w:cs="楷体"/>
          <w:sz w:val="24"/>
          <w:szCs w:val="24"/>
          <w:highlight w:val="none"/>
        </w:rPr>
      </w:pPr>
      <w:r>
        <w:rPr>
          <w:rFonts w:hint="eastAsia" w:ascii="宋体" w:hAnsi="宋体" w:cs="楷体"/>
          <w:sz w:val="24"/>
          <w:szCs w:val="24"/>
          <w:highlight w:val="none"/>
        </w:rPr>
        <w:t>其他事项的约定：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53EB76A2">
      <w:pPr>
        <w:autoSpaceDE w:val="0"/>
        <w:autoSpaceDN w:val="0"/>
        <w:spacing w:line="540" w:lineRule="exact"/>
        <w:rPr>
          <w:rFonts w:ascii="宋体" w:hAnsi="宋体" w:cs="楷体"/>
          <w:sz w:val="24"/>
          <w:szCs w:val="24"/>
          <w:highlight w:val="none"/>
        </w:rPr>
      </w:pPr>
      <w:r>
        <w:rPr>
          <w:rFonts w:hint="eastAsia" w:ascii="宋体" w:hAnsi="宋体" w:cs="楷体"/>
          <w:sz w:val="24"/>
          <w:szCs w:val="24"/>
          <w:highlight w:val="none"/>
        </w:rPr>
        <w:t>20.3.2 争议评审小组的决定</w:t>
      </w:r>
    </w:p>
    <w:p w14:paraId="7C1D9CA3">
      <w:pPr>
        <w:spacing w:line="540" w:lineRule="exact"/>
        <w:rPr>
          <w:rFonts w:ascii="宋体" w:hAnsi="宋体" w:cs="楷体"/>
          <w:sz w:val="24"/>
          <w:szCs w:val="24"/>
          <w:highlight w:val="none"/>
        </w:rPr>
      </w:pPr>
      <w:r>
        <w:rPr>
          <w:rFonts w:hint="eastAsia" w:ascii="宋体" w:hAnsi="宋体" w:cs="楷体"/>
          <w:sz w:val="24"/>
          <w:szCs w:val="24"/>
          <w:highlight w:val="none"/>
        </w:rPr>
        <w:t>合同当事人关于本项的约定：</w:t>
      </w:r>
      <w:r>
        <w:rPr>
          <w:rFonts w:hint="eastAsia" w:ascii="宋体" w:hAnsi="宋体" w:cs="楷体"/>
          <w:sz w:val="24"/>
          <w:szCs w:val="24"/>
          <w:highlight w:val="none"/>
          <w:u w:val="single"/>
        </w:rPr>
        <w:t xml:space="preserve">                    /       </w:t>
      </w:r>
      <w:r>
        <w:rPr>
          <w:rFonts w:hint="eastAsia" w:ascii="宋体" w:hAnsi="宋体" w:cs="楷体"/>
          <w:sz w:val="24"/>
          <w:szCs w:val="24"/>
          <w:highlight w:val="none"/>
        </w:rPr>
        <w:t>。</w:t>
      </w:r>
    </w:p>
    <w:p w14:paraId="635B2580">
      <w:pPr>
        <w:spacing w:line="540" w:lineRule="exact"/>
        <w:rPr>
          <w:rFonts w:ascii="宋体" w:hAnsi="宋体" w:cs="楷体"/>
          <w:sz w:val="24"/>
          <w:szCs w:val="24"/>
          <w:highlight w:val="none"/>
        </w:rPr>
      </w:pPr>
      <w:r>
        <w:rPr>
          <w:rFonts w:hint="eastAsia" w:ascii="宋体" w:hAnsi="宋体" w:cs="楷体"/>
          <w:b/>
          <w:bCs/>
          <w:sz w:val="24"/>
          <w:szCs w:val="24"/>
          <w:highlight w:val="none"/>
        </w:rPr>
        <w:t>20.4</w:t>
      </w:r>
      <w:r>
        <w:rPr>
          <w:rFonts w:hint="eastAsia" w:ascii="宋体" w:hAnsi="宋体" w:cs="楷体"/>
          <w:sz w:val="24"/>
          <w:szCs w:val="24"/>
          <w:highlight w:val="none"/>
        </w:rPr>
        <w:t>仲裁或诉讼</w:t>
      </w:r>
    </w:p>
    <w:p w14:paraId="09117B11">
      <w:pPr>
        <w:spacing w:line="540" w:lineRule="exact"/>
        <w:rPr>
          <w:rFonts w:hint="eastAsia" w:ascii="宋体" w:hAnsi="宋体" w:cs="楷体"/>
          <w:sz w:val="24"/>
          <w:szCs w:val="24"/>
          <w:highlight w:val="none"/>
        </w:rPr>
      </w:pPr>
      <w:r>
        <w:rPr>
          <w:rFonts w:hint="eastAsia" w:ascii="宋体" w:hAnsi="宋体" w:cs="楷体"/>
          <w:sz w:val="24"/>
          <w:szCs w:val="24"/>
          <w:highlight w:val="none"/>
        </w:rPr>
        <w:t>因合同及合同有关事项发生的争议，向仲裁委员会申请仲裁；</w:t>
      </w:r>
    </w:p>
    <w:p w14:paraId="46D42A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00C4537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3DDDC8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2DB4297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p>
    <w:p w14:paraId="62736F5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118BE1B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3271C77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lang w:eastAsia="zh-CN"/>
        </w:rPr>
      </w:pPr>
    </w:p>
    <w:p w14:paraId="02DC187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center"/>
        <w:rPr>
          <w:rFonts w:hint="eastAsia" w:ascii="宋体" w:hAnsi="宋体" w:eastAsia="宋体" w:cs="宋体"/>
          <w:sz w:val="30"/>
          <w:szCs w:val="30"/>
          <w:highlight w:val="none"/>
        </w:rPr>
      </w:pPr>
      <w:r>
        <w:rPr>
          <w:rFonts w:hint="eastAsia" w:ascii="宋体" w:hAnsi="宋体" w:eastAsia="宋体" w:cs="宋体"/>
          <w:sz w:val="30"/>
          <w:szCs w:val="30"/>
          <w:highlight w:val="none"/>
        </w:rPr>
        <w:t>工程质量保修书</w:t>
      </w:r>
    </w:p>
    <w:p w14:paraId="0B8087D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发包人（全称）：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75B4FF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承包人（全称）：</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4B73A0C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p>
    <w:p w14:paraId="0843C26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发包人和承包人根据《中华人民共和国建筑法》和《建设工程质量管理条例》，经协商一致就</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（工程全称）签订工程质量保修书。</w:t>
      </w:r>
    </w:p>
    <w:p w14:paraId="4A103CD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13" w:name="_Toc20323"/>
      <w:bookmarkStart w:id="1014" w:name="_Toc26748"/>
      <w:bookmarkStart w:id="1015" w:name="_Toc499291210"/>
      <w:bookmarkStart w:id="1016" w:name="_Toc30287"/>
      <w:bookmarkStart w:id="1017" w:name="_Toc502158611"/>
      <w:r>
        <w:rPr>
          <w:rFonts w:hint="eastAsia" w:ascii="宋体" w:hAnsi="宋体" w:eastAsia="宋体" w:cs="宋体"/>
          <w:sz w:val="24"/>
          <w:szCs w:val="24"/>
          <w:highlight w:val="none"/>
        </w:rPr>
        <w:t>一、工程质量保修范围和内容</w:t>
      </w:r>
      <w:bookmarkEnd w:id="1013"/>
      <w:bookmarkEnd w:id="1014"/>
      <w:bookmarkEnd w:id="1015"/>
      <w:bookmarkEnd w:id="1016"/>
      <w:bookmarkEnd w:id="1017"/>
    </w:p>
    <w:p w14:paraId="7FE7D9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承包人在质量保修期内，按照有关法律规定和合同约定，承担工程质量保修责任。</w:t>
      </w:r>
    </w:p>
    <w:p w14:paraId="56FBFBCC">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质量保修范围包括地基基础工程、主体结构工程，屋面防水工程、有防水要求的卫生间、房间和外墙面的防渗漏，电气管线、给排水管道、设备安装和装修工程等。</w:t>
      </w:r>
    </w:p>
    <w:p w14:paraId="59104536">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b/>
          <w:sz w:val="24"/>
          <w:szCs w:val="24"/>
          <w:highlight w:val="none"/>
        </w:rPr>
        <w:t>　　</w:t>
      </w:r>
      <w:bookmarkStart w:id="1018" w:name="_Toc10186"/>
      <w:bookmarkStart w:id="1019" w:name="_Toc22233"/>
      <w:bookmarkStart w:id="1020" w:name="_Toc499291211"/>
      <w:bookmarkStart w:id="1021" w:name="_Toc502158612"/>
      <w:bookmarkStart w:id="1022" w:name="_Toc27771"/>
      <w:r>
        <w:rPr>
          <w:rFonts w:hint="eastAsia" w:ascii="宋体" w:hAnsi="宋体" w:eastAsia="宋体" w:cs="宋体"/>
          <w:sz w:val="24"/>
          <w:szCs w:val="24"/>
          <w:highlight w:val="none"/>
        </w:rPr>
        <w:t>二、质量保修期</w:t>
      </w:r>
      <w:bookmarkEnd w:id="1018"/>
      <w:bookmarkEnd w:id="1019"/>
      <w:bookmarkEnd w:id="1020"/>
      <w:bookmarkEnd w:id="1021"/>
      <w:bookmarkEnd w:id="1022"/>
    </w:p>
    <w:p w14:paraId="52119F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根据《建设工程质量管理条例》及有关规定，工程的质量保修期如下：</w:t>
      </w:r>
    </w:p>
    <w:p w14:paraId="197554D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1．地基基础工程和主体结构工程为设计文件规定的工程合理使用年限</w:t>
      </w:r>
      <w:r>
        <w:rPr>
          <w:rFonts w:hint="eastAsia" w:ascii="宋体" w:hAnsi="宋体" w:eastAsia="宋体" w:cs="宋体"/>
          <w:sz w:val="24"/>
          <w:szCs w:val="24"/>
          <w:highlight w:val="none"/>
          <w:lang w:eastAsia="zh-CN"/>
        </w:rPr>
        <w:t>。</w:t>
      </w:r>
    </w:p>
    <w:p w14:paraId="40F98D2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2．屋面防水工程、有防水要求的卫生间、房间和外墙面的防渗为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64014E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3．装修工程为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38224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4．电气管线、给排水管道、设备安装工程为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CE518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5．给排水设施、道路等配套工程为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eastAsia="zh-CN"/>
        </w:rPr>
        <w:t>。</w:t>
      </w:r>
    </w:p>
    <w:p w14:paraId="5578CD83">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6．其他项目保修期限约定如下：</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b/>
          <w:sz w:val="24"/>
          <w:szCs w:val="24"/>
          <w:highlight w:val="none"/>
          <w:u w:val="single"/>
          <w:lang w:val="en-US" w:eastAsia="zh-CN"/>
        </w:rPr>
        <w:t xml:space="preserve">        </w:t>
      </w:r>
      <w:r>
        <w:rPr>
          <w:rFonts w:hint="eastAsia" w:ascii="宋体" w:hAnsi="宋体" w:eastAsia="宋体" w:cs="宋体"/>
          <w:b/>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856ECE8">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质量保修期自工程竣工验收合格之日起计算。</w:t>
      </w:r>
    </w:p>
    <w:p w14:paraId="0CB4FAA1">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bookmarkStart w:id="1023" w:name="_Toc499291212"/>
      <w:bookmarkStart w:id="1024" w:name="_Toc24956"/>
      <w:bookmarkStart w:id="1025" w:name="_Toc2149"/>
      <w:bookmarkStart w:id="1026" w:name="_Toc502158613"/>
      <w:bookmarkStart w:id="1027" w:name="_Toc20619"/>
      <w:r>
        <w:rPr>
          <w:rFonts w:hint="eastAsia" w:ascii="宋体" w:hAnsi="宋体" w:eastAsia="宋体" w:cs="宋体"/>
          <w:sz w:val="24"/>
          <w:szCs w:val="24"/>
          <w:highlight w:val="none"/>
        </w:rPr>
        <w:t>三、缺陷责任期</w:t>
      </w:r>
      <w:bookmarkEnd w:id="1023"/>
      <w:bookmarkEnd w:id="1024"/>
      <w:bookmarkEnd w:id="1025"/>
      <w:bookmarkEnd w:id="1026"/>
      <w:bookmarkEnd w:id="1027"/>
    </w:p>
    <w:p w14:paraId="5F0CA14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工程缺陷责任期为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个月，缺陷责任期自工程通过竣工验收之日起计算。</w:t>
      </w:r>
      <w:r>
        <w:rPr>
          <w:rFonts w:hint="eastAsia" w:ascii="宋体" w:hAnsi="宋体" w:eastAsia="宋体" w:cs="宋体"/>
          <w:color w:val="000000"/>
          <w:sz w:val="24"/>
          <w:szCs w:val="24"/>
          <w:highlight w:val="none"/>
        </w:rPr>
        <w:t>单位</w:t>
      </w:r>
      <w:r>
        <w:rPr>
          <w:rFonts w:hint="eastAsia" w:ascii="宋体" w:hAnsi="宋体" w:eastAsia="宋体" w:cs="宋体"/>
          <w:sz w:val="24"/>
          <w:szCs w:val="24"/>
          <w:highlight w:val="none"/>
        </w:rPr>
        <w:t>工程先于全部工程进行验收，单位工程缺陷责任期自单位工程验收合格之日起算。</w:t>
      </w:r>
    </w:p>
    <w:p w14:paraId="4F4DB22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缺陷责任期终止后，发包人应退还剩余的质量保证金。</w:t>
      </w:r>
    </w:p>
    <w:p w14:paraId="2CF86119">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bookmarkStart w:id="1028" w:name="_Toc19010"/>
      <w:bookmarkStart w:id="1029" w:name="_Toc502158614"/>
      <w:bookmarkStart w:id="1030" w:name="_Toc28215"/>
      <w:bookmarkStart w:id="1031" w:name="_Toc388"/>
      <w:bookmarkStart w:id="1032" w:name="_Toc499291213"/>
      <w:r>
        <w:rPr>
          <w:rFonts w:hint="eastAsia" w:ascii="宋体" w:hAnsi="宋体" w:eastAsia="宋体" w:cs="宋体"/>
          <w:sz w:val="24"/>
          <w:szCs w:val="24"/>
          <w:highlight w:val="none"/>
        </w:rPr>
        <w:t>四、质量保修责任</w:t>
      </w:r>
      <w:bookmarkEnd w:id="1028"/>
      <w:bookmarkEnd w:id="1029"/>
      <w:bookmarkEnd w:id="1030"/>
      <w:bookmarkEnd w:id="1031"/>
      <w:bookmarkEnd w:id="1032"/>
    </w:p>
    <w:p w14:paraId="73B6B3D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1．属于保修范围、内容的项目，承包人应当在接到保修通知之日起7天内派人保修。承包人不在约定期限内派人保修的，发包人可以委托他人修理。</w:t>
      </w:r>
    </w:p>
    <w:p w14:paraId="3781755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2．发生紧急事故需抢修的，承包人在接到事故通知后，应当立即到达事故现场抢修。</w:t>
      </w:r>
    </w:p>
    <w:p w14:paraId="57CACA0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91" w:firstLineChars="205"/>
        <w:rPr>
          <w:rFonts w:hint="eastAsia" w:ascii="宋体" w:hAnsi="宋体" w:eastAsia="宋体" w:cs="宋体"/>
          <w:sz w:val="24"/>
          <w:szCs w:val="24"/>
          <w:highlight w:val="none"/>
        </w:rPr>
      </w:pPr>
      <w:r>
        <w:rPr>
          <w:rFonts w:hint="eastAsia" w:ascii="宋体" w:hAnsi="宋体" w:eastAsia="宋体" w:cs="宋体"/>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7FE9E70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120" w:firstLineChars="50"/>
        <w:rPr>
          <w:rFonts w:hint="eastAsia" w:ascii="宋体" w:hAnsi="宋体" w:eastAsia="宋体" w:cs="宋体"/>
          <w:sz w:val="24"/>
          <w:szCs w:val="24"/>
          <w:highlight w:val="none"/>
        </w:rPr>
      </w:pPr>
      <w:r>
        <w:rPr>
          <w:rFonts w:hint="eastAsia" w:ascii="宋体" w:hAnsi="宋体" w:eastAsia="宋体" w:cs="宋体"/>
          <w:sz w:val="24"/>
          <w:szCs w:val="24"/>
          <w:highlight w:val="none"/>
        </w:rPr>
        <w:t>4．质量保修完成后，由发包人组织验收。</w:t>
      </w:r>
    </w:p>
    <w:p w14:paraId="378241E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w:t>
      </w:r>
      <w:bookmarkStart w:id="1033" w:name="_Toc13901"/>
      <w:bookmarkStart w:id="1034" w:name="_Toc7902"/>
      <w:bookmarkStart w:id="1035" w:name="_Toc502158615"/>
      <w:bookmarkStart w:id="1036" w:name="_Toc499291214"/>
      <w:bookmarkStart w:id="1037" w:name="_Toc24138"/>
      <w:r>
        <w:rPr>
          <w:rFonts w:hint="eastAsia" w:ascii="宋体" w:hAnsi="宋体" w:eastAsia="宋体" w:cs="宋体"/>
          <w:sz w:val="24"/>
          <w:szCs w:val="24"/>
          <w:highlight w:val="none"/>
        </w:rPr>
        <w:t>五、保修费用</w:t>
      </w:r>
      <w:bookmarkEnd w:id="1033"/>
      <w:bookmarkEnd w:id="1034"/>
      <w:bookmarkEnd w:id="1035"/>
      <w:bookmarkEnd w:id="1036"/>
      <w:bookmarkEnd w:id="1037"/>
    </w:p>
    <w:p w14:paraId="6009C6E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　　保修费用由造成质量缺陷的责任方承担。</w:t>
      </w:r>
    </w:p>
    <w:p w14:paraId="6EA40374">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bookmarkStart w:id="1038" w:name="_Toc17910"/>
      <w:bookmarkStart w:id="1039" w:name="_Toc25805"/>
      <w:bookmarkStart w:id="1040" w:name="_Toc12824"/>
      <w:bookmarkStart w:id="1041" w:name="_Toc502158616"/>
      <w:bookmarkStart w:id="1042" w:name="_Toc499291215"/>
      <w:r>
        <w:rPr>
          <w:rFonts w:hint="eastAsia" w:ascii="宋体" w:hAnsi="宋体" w:eastAsia="宋体" w:cs="宋体"/>
          <w:b/>
          <w:sz w:val="24"/>
          <w:szCs w:val="24"/>
          <w:highlight w:val="none"/>
        </w:rPr>
        <w:t xml:space="preserve">    </w:t>
      </w:r>
      <w:r>
        <w:rPr>
          <w:rFonts w:hint="eastAsia" w:ascii="宋体" w:hAnsi="宋体" w:eastAsia="宋体" w:cs="宋体"/>
          <w:bCs/>
          <w:sz w:val="24"/>
          <w:szCs w:val="24"/>
          <w:highlight w:val="none"/>
        </w:rPr>
        <w:t>六</w:t>
      </w:r>
      <w:r>
        <w:rPr>
          <w:rFonts w:hint="eastAsia" w:ascii="宋体" w:hAnsi="宋体" w:eastAsia="宋体" w:cs="宋体"/>
          <w:sz w:val="24"/>
          <w:szCs w:val="24"/>
          <w:highlight w:val="none"/>
        </w:rPr>
        <w:t>、双方约定的其他工程质量保修事项：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bookmarkEnd w:id="1038"/>
      <w:bookmarkEnd w:id="1039"/>
      <w:bookmarkEnd w:id="1040"/>
      <w:bookmarkEnd w:id="1041"/>
      <w:bookmarkEnd w:id="1042"/>
    </w:p>
    <w:p w14:paraId="207431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56" w:firstLineChars="190"/>
        <w:rPr>
          <w:rFonts w:hint="eastAsia" w:ascii="宋体" w:hAnsi="宋体" w:eastAsia="宋体" w:cs="宋体"/>
          <w:sz w:val="24"/>
          <w:szCs w:val="24"/>
          <w:highlight w:val="none"/>
        </w:rPr>
      </w:pPr>
      <w:r>
        <w:rPr>
          <w:rFonts w:hint="eastAsia" w:ascii="宋体" w:hAnsi="宋体" w:eastAsia="宋体" w:cs="宋体"/>
          <w:sz w:val="24"/>
          <w:szCs w:val="24"/>
          <w:highlight w:val="none"/>
        </w:rPr>
        <w:t>工程质量保修书由发包人、承包人在工程竣工验收前共同签署，作为施工合同附件，其有效期限至保修期满。</w:t>
      </w:r>
    </w:p>
    <w:p w14:paraId="4116552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firstLine="420"/>
        <w:rPr>
          <w:rFonts w:hint="eastAsia" w:ascii="宋体" w:hAnsi="宋体" w:eastAsia="宋体" w:cs="宋体"/>
          <w:sz w:val="24"/>
          <w:szCs w:val="24"/>
          <w:highlight w:val="none"/>
        </w:rPr>
      </w:pPr>
    </w:p>
    <w:p w14:paraId="0483E0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发包人(公章)：</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承包人(公章)：</w:t>
      </w:r>
      <w:r>
        <w:rPr>
          <w:rFonts w:hint="eastAsia" w:ascii="宋体" w:hAnsi="宋体" w:eastAsia="宋体" w:cs="宋体"/>
          <w:sz w:val="24"/>
          <w:szCs w:val="24"/>
          <w:highlight w:val="none"/>
          <w:u w:val="single"/>
        </w:rPr>
        <w:t xml:space="preserve">                </w:t>
      </w:r>
    </w:p>
    <w:p w14:paraId="01501DF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地  址：</w:t>
      </w:r>
      <w:r>
        <w:rPr>
          <w:rFonts w:hint="eastAsia" w:ascii="宋体" w:hAnsi="宋体" w:eastAsia="宋体" w:cs="宋体"/>
          <w:sz w:val="24"/>
          <w:szCs w:val="24"/>
          <w:highlight w:val="none"/>
          <w:u w:val="single"/>
        </w:rPr>
        <w:t xml:space="preserve">          </w:t>
      </w:r>
    </w:p>
    <w:p w14:paraId="12E54C2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法定代表人(签字)：</w:t>
      </w:r>
      <w:r>
        <w:rPr>
          <w:rFonts w:hint="eastAsia" w:ascii="宋体" w:hAnsi="宋体" w:eastAsia="宋体" w:cs="宋体"/>
          <w:sz w:val="24"/>
          <w:szCs w:val="24"/>
          <w:highlight w:val="none"/>
          <w:u w:val="single"/>
        </w:rPr>
        <w:t xml:space="preserve">               </w:t>
      </w:r>
    </w:p>
    <w:p w14:paraId="10ECB327">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u w:val="single"/>
        </w:rPr>
      </w:pPr>
      <w:r>
        <w:rPr>
          <w:rFonts w:hint="eastAsia" w:ascii="宋体" w:hAnsi="宋体" w:eastAsia="宋体" w:cs="宋体"/>
          <w:sz w:val="24"/>
          <w:szCs w:val="24"/>
          <w:highlight w:val="none"/>
        </w:rPr>
        <w:t>委托代理人(签字)：</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委托代理人(签字)：</w:t>
      </w:r>
      <w:r>
        <w:rPr>
          <w:rFonts w:hint="eastAsia" w:ascii="宋体" w:hAnsi="宋体" w:eastAsia="宋体" w:cs="宋体"/>
          <w:sz w:val="24"/>
          <w:szCs w:val="24"/>
          <w:highlight w:val="none"/>
          <w:u w:val="single"/>
        </w:rPr>
        <w:t xml:space="preserve">               </w:t>
      </w:r>
    </w:p>
    <w:p w14:paraId="066C41AB">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电  话：</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电  话：</w:t>
      </w:r>
      <w:r>
        <w:rPr>
          <w:rFonts w:hint="eastAsia" w:ascii="宋体" w:hAnsi="宋体" w:eastAsia="宋体" w:cs="宋体"/>
          <w:sz w:val="24"/>
          <w:szCs w:val="24"/>
          <w:highlight w:val="none"/>
          <w:u w:val="single"/>
        </w:rPr>
        <w:t xml:space="preserve">  </w:t>
      </w:r>
      <w:r>
        <w:rPr>
          <w:rFonts w:hint="eastAsia" w:ascii="宋体" w:hAnsi="宋体" w:eastAsia="宋体" w:cs="宋体"/>
          <w:color w:val="000000"/>
          <w:sz w:val="24"/>
          <w:szCs w:val="24"/>
          <w:highlight w:val="none"/>
          <w:u w:val="single"/>
        </w:rPr>
        <w:t xml:space="preserve">                      </w:t>
      </w:r>
    </w:p>
    <w:p w14:paraId="3DF3CB6E">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传  真：</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传  真：</w:t>
      </w:r>
      <w:r>
        <w:rPr>
          <w:rFonts w:hint="eastAsia" w:ascii="宋体" w:hAnsi="宋体" w:eastAsia="宋体" w:cs="宋体"/>
          <w:sz w:val="24"/>
          <w:szCs w:val="24"/>
          <w:highlight w:val="none"/>
          <w:u w:val="single"/>
        </w:rPr>
        <w:t xml:space="preserve">                         </w:t>
      </w:r>
    </w:p>
    <w:p w14:paraId="4EF2A6B2">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开户银行：</w:t>
      </w:r>
      <w:r>
        <w:rPr>
          <w:rFonts w:hint="eastAsia" w:ascii="宋体" w:hAnsi="宋体" w:eastAsia="宋体" w:cs="宋体"/>
          <w:sz w:val="24"/>
          <w:szCs w:val="24"/>
          <w:highlight w:val="none"/>
          <w:u w:val="single"/>
        </w:rPr>
        <w:t xml:space="preserve">                        </w:t>
      </w:r>
    </w:p>
    <w:p w14:paraId="7335ED95">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账  号：</w:t>
      </w:r>
      <w:r>
        <w:rPr>
          <w:rFonts w:hint="eastAsia" w:ascii="宋体" w:hAnsi="宋体" w:eastAsia="宋体" w:cs="宋体"/>
          <w:sz w:val="24"/>
          <w:szCs w:val="24"/>
          <w:highlight w:val="none"/>
          <w:u w:val="single"/>
        </w:rPr>
        <w:t xml:space="preserve">                          </w:t>
      </w:r>
    </w:p>
    <w:p w14:paraId="7422254D">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邮政编码：</w:t>
      </w:r>
      <w:r>
        <w:rPr>
          <w:rFonts w:hint="eastAsia" w:ascii="宋体" w:hAnsi="宋体" w:eastAsia="宋体" w:cs="宋体"/>
          <w:sz w:val="24"/>
          <w:szCs w:val="24"/>
          <w:highlight w:val="none"/>
          <w:u w:val="single"/>
        </w:rPr>
        <w:t xml:space="preserve">                        </w:t>
      </w:r>
    </w:p>
    <w:p w14:paraId="379F2FD0">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rPr>
          <w:rFonts w:hint="eastAsia" w:ascii="宋体" w:hAnsi="宋体" w:eastAsia="宋体" w:cs="宋体"/>
          <w:sz w:val="32"/>
          <w:szCs w:val="32"/>
          <w:highlight w:val="none"/>
        </w:rPr>
      </w:pPr>
    </w:p>
    <w:p w14:paraId="731EC3AF">
      <w:pPr>
        <w:keepNext w:val="0"/>
        <w:keepLines w:val="0"/>
        <w:pageBreakBefore w:val="0"/>
        <w:widowControl w:val="0"/>
        <w:kinsoku/>
        <w:wordWrap w:val="0"/>
        <w:overflowPunct/>
        <w:topLinePunct/>
        <w:autoSpaceDE/>
        <w:autoSpaceDN/>
        <w:bidi w:val="0"/>
        <w:adjustRightInd w:val="0"/>
        <w:snapToGrid w:val="0"/>
        <w:spacing w:beforeAutospacing="0" w:afterAutospacing="0" w:line="360" w:lineRule="auto"/>
        <w:ind w:left="0" w:leftChars="0" w:right="0" w:rightChars="0"/>
        <w:jc w:val="both"/>
        <w:rPr>
          <w:rFonts w:hint="eastAsia" w:ascii="宋体" w:hAnsi="宋体" w:eastAsia="宋体" w:cs="宋体"/>
          <w:sz w:val="36"/>
          <w:highlight w:val="none"/>
        </w:rPr>
      </w:pPr>
      <w:bookmarkStart w:id="1043" w:name="_Toc374947236"/>
      <w:bookmarkEnd w:id="1043"/>
      <w:bookmarkStart w:id="1044" w:name="_Toc375041753"/>
      <w:bookmarkEnd w:id="1044"/>
      <w:bookmarkStart w:id="1045" w:name="_Toc489024028"/>
      <w:bookmarkEnd w:id="1045"/>
      <w:bookmarkStart w:id="1046" w:name="_Toc384309409"/>
      <w:bookmarkEnd w:id="1046"/>
      <w:bookmarkStart w:id="1047" w:name="_Toc375040612"/>
      <w:bookmarkEnd w:id="1047"/>
      <w:bookmarkStart w:id="1048" w:name="_Toc375041310"/>
      <w:bookmarkEnd w:id="1048"/>
      <w:bookmarkStart w:id="1049" w:name="_Toc498499550"/>
      <w:bookmarkEnd w:id="1049"/>
      <w:bookmarkStart w:id="1050" w:name="_Toc423959285"/>
      <w:bookmarkEnd w:id="1050"/>
      <w:bookmarkStart w:id="1051" w:name="_Toc447871549"/>
      <w:bookmarkEnd w:id="1051"/>
      <w:bookmarkStart w:id="1052" w:name="_Toc375041559"/>
      <w:bookmarkEnd w:id="1052"/>
      <w:bookmarkStart w:id="1053" w:name="_Toc445390634"/>
      <w:bookmarkEnd w:id="1053"/>
      <w:bookmarkStart w:id="1054" w:name="_Toc29427"/>
      <w:bookmarkEnd w:id="1054"/>
    </w:p>
    <w:p w14:paraId="300954D9">
      <w:pPr>
        <w:kinsoku/>
        <w:overflowPunct/>
        <w:bidi w:val="0"/>
        <w:adjustRightInd w:val="0"/>
        <w:snapToGrid w:val="0"/>
        <w:spacing w:line="360" w:lineRule="auto"/>
        <w:ind w:left="0" w:right="0"/>
        <w:rPr>
          <w:rFonts w:hint="eastAsia" w:ascii="宋体" w:hAnsi="宋体" w:eastAsia="宋体" w:cs="宋体"/>
          <w:highlight w:val="none"/>
        </w:rPr>
      </w:pPr>
    </w:p>
    <w:p w14:paraId="553F7001">
      <w:pPr>
        <w:kinsoku/>
        <w:overflowPunct/>
        <w:bidi w:val="0"/>
        <w:adjustRightInd w:val="0"/>
        <w:snapToGrid w:val="0"/>
        <w:spacing w:line="360" w:lineRule="auto"/>
        <w:ind w:left="0" w:leftChars="0" w:right="0" w:rightChars="0" w:firstLine="643"/>
        <w:outlineLvl w:val="0"/>
        <w:rPr>
          <w:rFonts w:hint="eastAsia" w:ascii="宋体" w:hAnsi="宋体" w:eastAsia="宋体" w:cs="宋体"/>
          <w:b/>
          <w:kern w:val="36"/>
          <w:sz w:val="32"/>
          <w:szCs w:val="21"/>
          <w:highlight w:val="none"/>
        </w:rPr>
      </w:pPr>
    </w:p>
    <w:p w14:paraId="4DD0449E">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2058A334">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70A54075">
      <w:pPr>
        <w:widowControl/>
        <w:kinsoku/>
        <w:overflowPunct/>
        <w:bidi w:val="0"/>
        <w:adjustRightInd w:val="0"/>
        <w:snapToGrid w:val="0"/>
        <w:spacing w:line="360" w:lineRule="auto"/>
        <w:ind w:left="0" w:leftChars="0" w:right="0" w:rightChars="0" w:firstLine="643"/>
        <w:jc w:val="left"/>
        <w:rPr>
          <w:rFonts w:hint="eastAsia" w:ascii="宋体" w:hAnsi="宋体" w:eastAsia="宋体" w:cs="宋体"/>
          <w:b/>
          <w:kern w:val="36"/>
          <w:sz w:val="32"/>
          <w:szCs w:val="21"/>
          <w:highlight w:val="none"/>
        </w:rPr>
      </w:pPr>
    </w:p>
    <w:p w14:paraId="6507B01C">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bCs/>
          <w:sz w:val="36"/>
          <w:szCs w:val="40"/>
          <w:highlight w:val="none"/>
        </w:rPr>
      </w:pPr>
      <w:r>
        <w:rPr>
          <w:rFonts w:hint="eastAsia" w:ascii="宋体" w:hAnsi="宋体" w:eastAsia="宋体" w:cs="宋体"/>
          <w:kern w:val="2"/>
          <w:sz w:val="24"/>
          <w:szCs w:val="24"/>
          <w:highlight w:val="none"/>
        </w:rPr>
        <w:br w:type="page"/>
      </w:r>
      <w:bookmarkStart w:id="1055" w:name="_Toc29787"/>
      <w:bookmarkStart w:id="1056" w:name="_Toc10207"/>
    </w:p>
    <w:p w14:paraId="38C8153B">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五</w:t>
      </w:r>
      <w:r>
        <w:rPr>
          <w:rFonts w:hint="eastAsia" w:ascii="宋体" w:hAnsi="宋体" w:eastAsia="宋体" w:cs="宋体"/>
          <w:b/>
          <w:bCs/>
          <w:sz w:val="36"/>
          <w:szCs w:val="40"/>
          <w:highlight w:val="none"/>
        </w:rPr>
        <w:t>章 工程量清单（另附）</w:t>
      </w:r>
      <w:bookmarkEnd w:id="1055"/>
      <w:bookmarkEnd w:id="1056"/>
    </w:p>
    <w:p w14:paraId="14FC96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kern w:val="44"/>
          <w:sz w:val="36"/>
          <w:szCs w:val="36"/>
          <w:highlight w:val="none"/>
        </w:rPr>
      </w:pPr>
    </w:p>
    <w:p w14:paraId="01122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4A26FA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C293E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B4613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BC8C2D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B33FA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28AF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6F28E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F3202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6F70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2442A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p>
    <w:p w14:paraId="2F7C6F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DBA42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329348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649FC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bookmarkStart w:id="1057" w:name="_Toc69718839"/>
      <w:bookmarkEnd w:id="1057"/>
    </w:p>
    <w:p w14:paraId="63E649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7E4E69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3AB700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A1BA5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bookmarkStart w:id="1058" w:name="_Toc69718840"/>
      <w:bookmarkEnd w:id="1058"/>
      <w:bookmarkStart w:id="1059" w:name="_Toc17283"/>
    </w:p>
    <w:bookmarkEnd w:id="1059"/>
    <w:p w14:paraId="0DA7C0D0">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bCs/>
          <w:sz w:val="36"/>
          <w:szCs w:val="40"/>
          <w:highlight w:val="none"/>
        </w:rPr>
      </w:pPr>
      <w:bookmarkStart w:id="1060" w:name="_Toc22437"/>
      <w:bookmarkStart w:id="1061" w:name="_Toc20730"/>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六</w:t>
      </w:r>
      <w:r>
        <w:rPr>
          <w:rFonts w:hint="eastAsia" w:ascii="宋体" w:hAnsi="宋体" w:eastAsia="宋体" w:cs="宋体"/>
          <w:b/>
          <w:bCs/>
          <w:sz w:val="36"/>
          <w:szCs w:val="40"/>
          <w:highlight w:val="none"/>
        </w:rPr>
        <w:t>章  图纸（另附）</w:t>
      </w:r>
      <w:bookmarkEnd w:id="1060"/>
      <w:bookmarkEnd w:id="1061"/>
    </w:p>
    <w:p w14:paraId="0768A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534A08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8B64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16CCAA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p>
    <w:p w14:paraId="099FF1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13E5E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65BA68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4C3F2B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kern w:val="44"/>
          <w:sz w:val="36"/>
          <w:szCs w:val="36"/>
          <w:highlight w:val="none"/>
        </w:rPr>
      </w:pPr>
    </w:p>
    <w:p w14:paraId="04C839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6"/>
          <w:szCs w:val="40"/>
          <w:highlight w:val="none"/>
        </w:rPr>
      </w:pPr>
      <w:r>
        <w:rPr>
          <w:rFonts w:hint="eastAsia" w:ascii="宋体" w:hAnsi="宋体" w:eastAsia="宋体" w:cs="宋体"/>
          <w:b/>
          <w:kern w:val="44"/>
          <w:sz w:val="36"/>
          <w:szCs w:val="36"/>
          <w:highlight w:val="none"/>
        </w:rPr>
        <w:br w:type="page"/>
      </w:r>
    </w:p>
    <w:p w14:paraId="58984893">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bookmarkStart w:id="1062" w:name="_Toc7428"/>
      <w:r>
        <w:rPr>
          <w:rFonts w:hint="eastAsia" w:ascii="宋体" w:hAnsi="宋体" w:eastAsia="宋体" w:cs="宋体"/>
          <w:b/>
          <w:bCs/>
          <w:sz w:val="36"/>
          <w:szCs w:val="40"/>
          <w:highlight w:val="none"/>
        </w:rPr>
        <w:t>第</w:t>
      </w:r>
      <w:r>
        <w:rPr>
          <w:rFonts w:hint="eastAsia" w:ascii="宋体" w:hAnsi="宋体" w:eastAsia="宋体" w:cs="宋体"/>
          <w:b/>
          <w:bCs/>
          <w:sz w:val="36"/>
          <w:szCs w:val="40"/>
          <w:highlight w:val="none"/>
          <w:lang w:val="en-US" w:eastAsia="zh-CN"/>
        </w:rPr>
        <w:t>七</w:t>
      </w:r>
      <w:r>
        <w:rPr>
          <w:rFonts w:hint="eastAsia" w:ascii="宋体" w:hAnsi="宋体" w:eastAsia="宋体" w:cs="宋体"/>
          <w:b/>
          <w:bCs/>
          <w:sz w:val="36"/>
          <w:szCs w:val="40"/>
          <w:highlight w:val="none"/>
        </w:rPr>
        <w:t xml:space="preserve">章  </w:t>
      </w:r>
      <w:r>
        <w:rPr>
          <w:rFonts w:hint="eastAsia" w:ascii="宋体" w:hAnsi="宋体" w:eastAsia="宋体" w:cs="宋体"/>
          <w:b/>
          <w:bCs/>
          <w:sz w:val="36"/>
          <w:szCs w:val="40"/>
          <w:highlight w:val="none"/>
          <w:lang w:val="en-US" w:eastAsia="zh-CN"/>
        </w:rPr>
        <w:t>投标</w:t>
      </w:r>
      <w:r>
        <w:rPr>
          <w:rFonts w:hint="eastAsia" w:ascii="宋体" w:hAnsi="宋体" w:eastAsia="宋体" w:cs="宋体"/>
          <w:b/>
          <w:bCs/>
          <w:sz w:val="36"/>
          <w:szCs w:val="40"/>
          <w:highlight w:val="none"/>
        </w:rPr>
        <w:t>文件格式</w:t>
      </w:r>
      <w:bookmarkEnd w:id="1062"/>
    </w:p>
    <w:p w14:paraId="40B055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p>
    <w:p w14:paraId="35F8BD02">
      <w:pPr>
        <w:keepNext/>
        <w:keepLines/>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0"/>
        <w:rPr>
          <w:rFonts w:hint="eastAsia" w:ascii="宋体" w:hAnsi="宋体" w:eastAsia="宋体" w:cs="宋体"/>
          <w:b/>
          <w:sz w:val="30"/>
          <w:szCs w:val="30"/>
          <w:highlight w:val="none"/>
        </w:rPr>
      </w:pPr>
    </w:p>
    <w:p w14:paraId="2EA68A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rPr>
      </w:pPr>
      <w:bookmarkStart w:id="1063" w:name="_Toc32198"/>
      <w:bookmarkStart w:id="1064" w:name="_Toc11268"/>
    </w:p>
    <w:p w14:paraId="5B3525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44"/>
          <w:szCs w:val="44"/>
          <w:highlight w:val="none"/>
          <w:u w:val="single"/>
        </w:rPr>
      </w:pPr>
      <w:r>
        <w:rPr>
          <w:rFonts w:hint="eastAsia" w:ascii="宋体" w:hAnsi="宋体" w:eastAsia="宋体" w:cs="宋体"/>
          <w:b/>
          <w:sz w:val="44"/>
          <w:szCs w:val="44"/>
          <w:highlight w:val="none"/>
        </w:rPr>
        <w:t>（项目名称）</w:t>
      </w:r>
      <w:bookmarkEnd w:id="1063"/>
      <w:bookmarkEnd w:id="1064"/>
    </w:p>
    <w:p w14:paraId="289C0ED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Cs w:val="21"/>
          <w:highlight w:val="none"/>
        </w:rPr>
      </w:pPr>
    </w:p>
    <w:p w14:paraId="2C315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52"/>
          <w:szCs w:val="52"/>
          <w:highlight w:val="none"/>
        </w:rPr>
      </w:pPr>
    </w:p>
    <w:p w14:paraId="4CF6A6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pacing w:val="24"/>
          <w:kern w:val="10"/>
          <w:sz w:val="72"/>
          <w:szCs w:val="72"/>
          <w:highlight w:val="none"/>
        </w:rPr>
      </w:pPr>
      <w:bookmarkStart w:id="1065" w:name="_Toc19263"/>
      <w:bookmarkStart w:id="1066" w:name="_Toc21889"/>
      <w:r>
        <w:rPr>
          <w:rFonts w:hint="eastAsia" w:ascii="宋体" w:hAnsi="宋体" w:eastAsia="宋体" w:cs="宋体"/>
          <w:b/>
          <w:spacing w:val="24"/>
          <w:kern w:val="10"/>
          <w:sz w:val="72"/>
          <w:szCs w:val="72"/>
          <w:highlight w:val="none"/>
          <w:lang w:val="en-US" w:eastAsia="zh-CN"/>
        </w:rPr>
        <w:t>投标</w:t>
      </w:r>
      <w:r>
        <w:rPr>
          <w:rFonts w:hint="eastAsia" w:ascii="宋体" w:hAnsi="宋体" w:eastAsia="宋体" w:cs="宋体"/>
          <w:b/>
          <w:spacing w:val="24"/>
          <w:kern w:val="10"/>
          <w:sz w:val="72"/>
          <w:szCs w:val="72"/>
          <w:highlight w:val="none"/>
        </w:rPr>
        <w:t>文件</w:t>
      </w:r>
    </w:p>
    <w:p w14:paraId="22244A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b/>
          <w:sz w:val="30"/>
          <w:szCs w:val="30"/>
          <w:highlight w:val="none"/>
        </w:rPr>
      </w:pPr>
    </w:p>
    <w:p w14:paraId="04CEC2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0"/>
          <w:szCs w:val="30"/>
          <w:highlight w:val="none"/>
          <w:u w:val="single"/>
          <w:lang w:val="en-US" w:eastAsia="zh-CN"/>
        </w:rPr>
      </w:pPr>
      <w:r>
        <w:rPr>
          <w:rFonts w:hint="eastAsia" w:ascii="宋体" w:hAnsi="宋体" w:eastAsia="宋体" w:cs="宋体"/>
          <w:b/>
          <w:sz w:val="30"/>
          <w:szCs w:val="30"/>
          <w:highlight w:val="none"/>
        </w:rPr>
        <w:t>项目编号：</w:t>
      </w:r>
      <w:bookmarkEnd w:id="1065"/>
      <w:bookmarkEnd w:id="1066"/>
    </w:p>
    <w:p w14:paraId="79D354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30"/>
          <w:szCs w:val="30"/>
          <w:highlight w:val="none"/>
          <w:u w:val="single"/>
        </w:rPr>
      </w:pPr>
    </w:p>
    <w:p w14:paraId="5598654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717E64A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43F2C3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680E9C9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5DCC51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23FE24F8">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lang w:eastAsia="zh-CN"/>
        </w:rPr>
        <w:t>投标人</w:t>
      </w:r>
      <w:r>
        <w:rPr>
          <w:rFonts w:hint="eastAsia" w:ascii="宋体" w:hAnsi="宋体" w:eastAsia="宋体" w:cs="宋体"/>
          <w:sz w:val="28"/>
          <w:highlight w:val="none"/>
        </w:rPr>
        <w:t>：</w:t>
      </w:r>
      <w:r>
        <w:rPr>
          <w:rFonts w:hint="eastAsia" w:ascii="宋体" w:hAnsi="宋体" w:eastAsia="宋体" w:cs="宋体"/>
          <w:sz w:val="28"/>
          <w:highlight w:val="none"/>
          <w:u w:val="single"/>
        </w:rPr>
        <w:t xml:space="preserve">                       </w:t>
      </w:r>
      <w:r>
        <w:rPr>
          <w:rFonts w:hint="eastAsia" w:ascii="宋体" w:hAnsi="宋体" w:eastAsia="宋体" w:cs="宋体"/>
          <w:sz w:val="28"/>
          <w:highlight w:val="none"/>
        </w:rPr>
        <w:t>（</w:t>
      </w:r>
      <w:r>
        <w:rPr>
          <w:rFonts w:hint="eastAsia" w:ascii="宋体" w:hAnsi="宋体" w:eastAsia="宋体" w:cs="宋体"/>
          <w:sz w:val="28"/>
          <w:highlight w:val="none"/>
          <w:lang w:val="en-US" w:eastAsia="zh-CN"/>
        </w:rPr>
        <w:t>公章</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54B674B9">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法定代表人：</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w:t>
      </w:r>
      <w:r>
        <w:rPr>
          <w:rFonts w:hint="eastAsia" w:ascii="宋体" w:hAnsi="宋体" w:eastAsia="宋体" w:cs="宋体"/>
          <w:sz w:val="28"/>
          <w:highlight w:val="none"/>
          <w:lang w:eastAsia="zh-CN"/>
        </w:rPr>
        <w:t>电子签章</w:t>
      </w:r>
      <w:r>
        <w:rPr>
          <w:rFonts w:hint="eastAsia" w:ascii="宋体" w:hAnsi="宋体" w:eastAsia="宋体" w:cs="宋体"/>
          <w:sz w:val="28"/>
          <w:highlight w:val="none"/>
        </w:rPr>
        <w:t>）</w:t>
      </w:r>
    </w:p>
    <w:p w14:paraId="45E67F80">
      <w:pPr>
        <w:pageBreakBefore w:val="0"/>
        <w:kinsoku/>
        <w:overflowPunct/>
        <w:topLinePunct w:val="0"/>
        <w:bidi w:val="0"/>
        <w:adjustRightInd w:val="0"/>
        <w:snapToGrid w:val="0"/>
        <w:spacing w:beforeAutospacing="0" w:afterAutospacing="0" w:line="360" w:lineRule="auto"/>
        <w:ind w:left="0" w:leftChars="0" w:right="0" w:rightChars="0" w:firstLine="1120" w:firstLineChars="400"/>
        <w:rPr>
          <w:rFonts w:hint="eastAsia" w:ascii="宋体" w:hAnsi="宋体" w:eastAsia="宋体" w:cs="宋体"/>
          <w:sz w:val="28"/>
          <w:highlight w:val="none"/>
        </w:rPr>
      </w:pPr>
      <w:r>
        <w:rPr>
          <w:rFonts w:hint="eastAsia" w:ascii="宋体" w:hAnsi="宋体" w:eastAsia="宋体" w:cs="宋体"/>
          <w:sz w:val="28"/>
          <w:highlight w:val="none"/>
        </w:rPr>
        <w:t>日期：</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年</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月</w:t>
      </w:r>
      <w:r>
        <w:rPr>
          <w:rFonts w:hint="eastAsia" w:ascii="宋体" w:hAnsi="宋体" w:eastAsia="宋体" w:cs="宋体"/>
          <w:sz w:val="28"/>
          <w:highlight w:val="none"/>
          <w:u w:val="single"/>
          <w:lang w:val="en-US" w:eastAsia="zh-CN"/>
        </w:rPr>
        <w:t xml:space="preserve">     </w:t>
      </w:r>
      <w:r>
        <w:rPr>
          <w:rFonts w:hint="eastAsia" w:ascii="宋体" w:hAnsi="宋体" w:eastAsia="宋体" w:cs="宋体"/>
          <w:sz w:val="28"/>
          <w:highlight w:val="none"/>
        </w:rPr>
        <w:t>日</w:t>
      </w:r>
      <w:bookmarkStart w:id="1067" w:name="_Toc171073043"/>
      <w:bookmarkStart w:id="1068" w:name="_Toc171073208"/>
      <w:bookmarkStart w:id="1069" w:name="_Toc223432388"/>
    </w:p>
    <w:bookmarkEnd w:id="1067"/>
    <w:bookmarkEnd w:id="1068"/>
    <w:bookmarkEnd w:id="1069"/>
    <w:p w14:paraId="2E8384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24"/>
          <w:szCs w:val="24"/>
          <w:highlight w:val="none"/>
        </w:rPr>
      </w:pPr>
    </w:p>
    <w:p w14:paraId="42D26F5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Cs w:val="21"/>
          <w:highlight w:val="none"/>
        </w:rPr>
      </w:pPr>
    </w:p>
    <w:p w14:paraId="2B5BD985">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p>
    <w:p w14:paraId="08A7678B">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sz w:val="32"/>
          <w:szCs w:val="32"/>
          <w:highlight w:val="none"/>
        </w:rPr>
      </w:pPr>
      <w:r>
        <w:rPr>
          <w:rFonts w:hint="eastAsia" w:ascii="宋体" w:hAnsi="宋体" w:eastAsia="宋体" w:cs="宋体"/>
          <w:b/>
          <w:sz w:val="32"/>
          <w:szCs w:val="32"/>
          <w:highlight w:val="none"/>
        </w:rPr>
        <w:t>目  录</w:t>
      </w:r>
    </w:p>
    <w:p w14:paraId="7D1B5FA7">
      <w:pPr>
        <w:pageBreakBefore w:val="0"/>
        <w:shd w:val="clear" w:color="auto" w:fill="FFFFFF"/>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Cs/>
          <w:sz w:val="24"/>
          <w:szCs w:val="24"/>
          <w:highlight w:val="none"/>
          <w:lang w:eastAsia="zh-CN"/>
        </w:rPr>
      </w:pP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自拟</w:t>
      </w:r>
      <w:r>
        <w:rPr>
          <w:rFonts w:hint="eastAsia" w:ascii="宋体" w:hAnsi="宋体" w:eastAsia="宋体" w:cs="宋体"/>
          <w:sz w:val="24"/>
          <w:highlight w:val="none"/>
          <w:lang w:eastAsia="zh-CN"/>
        </w:rPr>
        <w:t>）</w:t>
      </w:r>
    </w:p>
    <w:p w14:paraId="1811F30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sz w:val="32"/>
          <w:szCs w:val="32"/>
          <w:highlight w:val="none"/>
        </w:rPr>
      </w:pPr>
      <w:bookmarkStart w:id="1070" w:name="_Toc18526"/>
      <w:bookmarkStart w:id="1071" w:name="_Toc27145"/>
      <w:r>
        <w:rPr>
          <w:rFonts w:hint="eastAsia" w:ascii="宋体" w:hAnsi="宋体" w:eastAsia="宋体" w:cs="宋体"/>
          <w:b/>
          <w:bCs/>
          <w:sz w:val="32"/>
          <w:szCs w:val="32"/>
          <w:highlight w:val="none"/>
        </w:rPr>
        <w:br w:type="page"/>
      </w:r>
    </w:p>
    <w:bookmarkEnd w:id="1070"/>
    <w:bookmarkEnd w:id="1071"/>
    <w:p w14:paraId="219673E9">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72" w:name="_Toc69718842"/>
      <w:bookmarkEnd w:id="1072"/>
      <w:bookmarkStart w:id="1073" w:name="_Toc25792"/>
      <w:bookmarkStart w:id="1074" w:name="_Toc27307"/>
      <w:bookmarkStart w:id="1075" w:name="_Toc19134"/>
      <w:bookmarkStart w:id="1076" w:name="_Toc20579"/>
      <w:r>
        <w:rPr>
          <w:rFonts w:hint="eastAsia" w:ascii="宋体" w:hAnsi="宋体" w:eastAsia="宋体" w:cs="宋体"/>
          <w:b/>
          <w:bCs/>
          <w:sz w:val="32"/>
          <w:szCs w:val="32"/>
          <w:highlight w:val="none"/>
        </w:rPr>
        <w:t>一、磋商函及磋商函附录</w:t>
      </w:r>
      <w:bookmarkEnd w:id="1073"/>
      <w:bookmarkEnd w:id="1074"/>
    </w:p>
    <w:p w14:paraId="34BE0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bookmarkStart w:id="1077" w:name="_Toc28003"/>
      <w:bookmarkStart w:id="1078" w:name="_Toc11888"/>
      <w:bookmarkStart w:id="1079" w:name="_Toc21361"/>
      <w:bookmarkStart w:id="1080" w:name="_Toc4905"/>
      <w:bookmarkStart w:id="1081" w:name="_Toc6004"/>
      <w:r>
        <w:rPr>
          <w:rFonts w:hint="eastAsia" w:ascii="宋体" w:hAnsi="宋体" w:eastAsia="宋体" w:cs="宋体"/>
          <w:b/>
          <w:bCs/>
          <w:sz w:val="28"/>
          <w:highlight w:val="none"/>
        </w:rPr>
        <w:t>（一）磋商函</w:t>
      </w:r>
      <w:bookmarkEnd w:id="1077"/>
      <w:bookmarkEnd w:id="1078"/>
      <w:bookmarkEnd w:id="1079"/>
      <w:bookmarkEnd w:id="1080"/>
      <w:bookmarkEnd w:id="1081"/>
    </w:p>
    <w:p w14:paraId="77C0834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招标人</w:t>
      </w:r>
      <w:r>
        <w:rPr>
          <w:rFonts w:hint="eastAsia" w:ascii="宋体" w:hAnsi="宋体" w:eastAsia="宋体" w:cs="宋体"/>
          <w:sz w:val="24"/>
          <w:highlight w:val="none"/>
        </w:rPr>
        <w:t>名称）：</w:t>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r>
        <w:rPr>
          <w:rFonts w:hint="eastAsia" w:ascii="宋体" w:hAnsi="宋体" w:eastAsia="宋体" w:cs="宋体"/>
          <w:sz w:val="24"/>
          <w:highlight w:val="none"/>
        </w:rPr>
        <w:tab/>
      </w:r>
    </w:p>
    <w:p w14:paraId="202C557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我方已仔细研究了</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（项目名称）</w:t>
      </w:r>
      <w:r>
        <w:rPr>
          <w:rFonts w:hint="eastAsia" w:ascii="宋体" w:hAnsi="宋体" w:eastAsia="宋体" w:cs="宋体"/>
          <w:sz w:val="24"/>
          <w:highlight w:val="none"/>
          <w:lang w:val="en-US" w:eastAsia="zh-CN"/>
        </w:rPr>
        <w:t>招标</w:t>
      </w:r>
      <w:r>
        <w:rPr>
          <w:rFonts w:hint="eastAsia" w:ascii="宋体" w:hAnsi="宋体" w:eastAsia="宋体" w:cs="宋体"/>
          <w:sz w:val="24"/>
          <w:highlight w:val="none"/>
        </w:rPr>
        <w:t>文件的全部内容，愿意以（大写）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元的磋商报价，工期：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，按合同约定实施和完成工程，修补工程中的任何缺陷，</w:t>
      </w:r>
      <w:r>
        <w:rPr>
          <w:rFonts w:hint="eastAsia" w:ascii="宋体" w:hAnsi="宋体" w:eastAsia="宋体" w:cs="宋体"/>
          <w:sz w:val="24"/>
          <w:highlight w:val="none"/>
          <w:lang w:eastAsia="zh-CN"/>
        </w:rPr>
        <w:t>质量要求</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eastAsia="zh-CN"/>
        </w:rPr>
        <w:t>。</w:t>
      </w:r>
      <w:r>
        <w:rPr>
          <w:rFonts w:hint="eastAsia" w:ascii="宋体" w:hAnsi="宋体" w:eastAsia="宋体" w:cs="宋体"/>
          <w:sz w:val="24"/>
          <w:highlight w:val="none"/>
          <w:u w:val="single"/>
        </w:rPr>
        <w:t xml:space="preserve">   </w:t>
      </w:r>
    </w:p>
    <w:p w14:paraId="04B6D4F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1.我方承诺在</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规定的磋商有效期内不撤销</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w:t>
      </w:r>
    </w:p>
    <w:p w14:paraId="5DA013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2.如我方成交，我方承诺：</w:t>
      </w:r>
    </w:p>
    <w:p w14:paraId="2432EB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（1）在收到成交通知书后，在成交通知书规定的期限内与你方签订合同；</w:t>
      </w:r>
    </w:p>
    <w:p w14:paraId="04F3EDC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（2）随同本磋商函递交的磋商函附录属于合同文件的组成部分。</w:t>
      </w:r>
    </w:p>
    <w:p w14:paraId="2824D24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（3）我方承诺按照磋商文件规定向你方递交履约担保。</w:t>
      </w:r>
    </w:p>
    <w:p w14:paraId="7980111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（4）我方承诺在合同约定的期限内完成并移交全部合同工程。</w:t>
      </w:r>
    </w:p>
    <w:p w14:paraId="691E69E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（5）我方承诺满足合同专用条款中补充条款的内容。</w:t>
      </w:r>
    </w:p>
    <w:p w14:paraId="582078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3．我方在此声明，所递交的</w:t>
      </w:r>
      <w:r>
        <w:rPr>
          <w:rFonts w:hint="eastAsia" w:ascii="宋体" w:hAnsi="宋体" w:eastAsia="宋体" w:cs="宋体"/>
          <w:sz w:val="24"/>
          <w:highlight w:val="none"/>
          <w:lang w:eastAsia="zh-CN"/>
        </w:rPr>
        <w:t>投标文件</w:t>
      </w:r>
      <w:r>
        <w:rPr>
          <w:rFonts w:hint="eastAsia" w:ascii="宋体" w:hAnsi="宋体" w:eastAsia="宋体" w:cs="宋体"/>
          <w:sz w:val="24"/>
          <w:highlight w:val="none"/>
        </w:rPr>
        <w:t>及有关资料内容完整、真实和准确。</w:t>
      </w:r>
    </w:p>
    <w:p w14:paraId="64EB02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4．</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（其他补充说明）。</w:t>
      </w:r>
    </w:p>
    <w:p w14:paraId="7C99720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1AD2199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531C1B9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7DC0A43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2D398AE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地  址：</w:t>
      </w:r>
      <w:r>
        <w:rPr>
          <w:rFonts w:hint="eastAsia" w:ascii="宋体" w:hAnsi="宋体" w:eastAsia="宋体" w:cs="宋体"/>
          <w:sz w:val="24"/>
          <w:highlight w:val="none"/>
          <w:u w:val="single"/>
        </w:rPr>
        <w:t xml:space="preserve">                                 </w:t>
      </w:r>
    </w:p>
    <w:p w14:paraId="117F37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电  话：</w:t>
      </w:r>
      <w:r>
        <w:rPr>
          <w:rFonts w:hint="eastAsia" w:ascii="宋体" w:hAnsi="宋体" w:eastAsia="宋体" w:cs="宋体"/>
          <w:sz w:val="24"/>
          <w:szCs w:val="24"/>
          <w:highlight w:val="none"/>
          <w:u w:val="single"/>
          <w:lang w:bidi="en-US"/>
        </w:rPr>
        <w:t>（填写能联系到的电话号码，方便通知二次报价）</w:t>
      </w:r>
    </w:p>
    <w:p w14:paraId="0C18D118">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 xml:space="preserve">                    邮  箱：</w:t>
      </w:r>
      <w:r>
        <w:rPr>
          <w:rFonts w:hint="eastAsia" w:ascii="宋体" w:hAnsi="宋体" w:eastAsia="宋体" w:cs="宋体"/>
          <w:sz w:val="24"/>
          <w:highlight w:val="none"/>
          <w:u w:val="single"/>
        </w:rPr>
        <w:t xml:space="preserve">                                </w:t>
      </w:r>
    </w:p>
    <w:p w14:paraId="5CFB1D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年</w:t>
      </w:r>
      <w:r>
        <w:rPr>
          <w:rFonts w:hint="eastAsia" w:ascii="宋体" w:hAnsi="宋体" w:eastAsia="宋体" w:cs="宋体"/>
          <w:sz w:val="24"/>
          <w:highlight w:val="none"/>
        </w:rPr>
        <w:tab/>
      </w:r>
      <w:r>
        <w:rPr>
          <w:rFonts w:hint="eastAsia" w:ascii="宋体" w:hAnsi="宋体" w:eastAsia="宋体" w:cs="宋体"/>
          <w:sz w:val="24"/>
          <w:highlight w:val="none"/>
        </w:rPr>
        <w:t xml:space="preserve">  月</w:t>
      </w:r>
      <w:r>
        <w:rPr>
          <w:rFonts w:hint="eastAsia" w:ascii="宋体" w:hAnsi="宋体" w:eastAsia="宋体" w:cs="宋体"/>
          <w:sz w:val="24"/>
          <w:highlight w:val="none"/>
        </w:rPr>
        <w:tab/>
      </w:r>
      <w:r>
        <w:rPr>
          <w:rFonts w:hint="eastAsia" w:ascii="宋体" w:hAnsi="宋体" w:eastAsia="宋体" w:cs="宋体"/>
          <w:sz w:val="24"/>
          <w:highlight w:val="none"/>
        </w:rPr>
        <w:t>日</w:t>
      </w:r>
    </w:p>
    <w:p w14:paraId="13D99E3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6E2D63E">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FAE56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outlineLvl w:val="9"/>
        <w:rPr>
          <w:rFonts w:hint="eastAsia" w:ascii="宋体" w:hAnsi="宋体" w:eastAsia="宋体" w:cs="宋体"/>
          <w:sz w:val="32"/>
          <w:szCs w:val="30"/>
          <w:highlight w:val="none"/>
        </w:rPr>
      </w:pPr>
    </w:p>
    <w:p w14:paraId="4A39E81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28"/>
          <w:highlight w:val="none"/>
        </w:rPr>
      </w:pPr>
      <w:r>
        <w:rPr>
          <w:rFonts w:hint="eastAsia" w:ascii="宋体" w:hAnsi="宋体" w:eastAsia="宋体" w:cs="宋体"/>
          <w:b/>
          <w:bCs/>
          <w:sz w:val="28"/>
          <w:highlight w:val="none"/>
        </w:rPr>
        <w:br w:type="page"/>
      </w:r>
    </w:p>
    <w:p w14:paraId="056EF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28"/>
          <w:highlight w:val="none"/>
        </w:rPr>
      </w:pPr>
      <w:r>
        <w:rPr>
          <w:rFonts w:hint="eastAsia" w:ascii="宋体" w:hAnsi="宋体" w:eastAsia="宋体" w:cs="宋体"/>
          <w:b/>
          <w:bCs/>
          <w:sz w:val="28"/>
          <w:highlight w:val="none"/>
        </w:rPr>
        <w:t>（二）磋商函附录</w:t>
      </w:r>
    </w:p>
    <w:tbl>
      <w:tblPr>
        <w:tblStyle w:val="23"/>
        <w:tblpPr w:leftFromText="181" w:rightFromText="181" w:vertAnchor="text" w:horzAnchor="margin" w:tblpXSpec="center" w:tblpY="128"/>
        <w:tblOverlap w:val="never"/>
        <w:tblW w:w="8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711"/>
        <w:gridCol w:w="324"/>
        <w:gridCol w:w="988"/>
        <w:gridCol w:w="1288"/>
        <w:gridCol w:w="862"/>
        <w:gridCol w:w="2099"/>
      </w:tblGrid>
      <w:tr w14:paraId="333AA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exact"/>
          <w:jc w:val="center"/>
        </w:trPr>
        <w:tc>
          <w:tcPr>
            <w:tcW w:w="1387" w:type="dxa"/>
            <w:vAlign w:val="center"/>
          </w:tcPr>
          <w:p w14:paraId="7190BC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项目名称</w:t>
            </w:r>
          </w:p>
        </w:tc>
        <w:tc>
          <w:tcPr>
            <w:tcW w:w="7272" w:type="dxa"/>
            <w:gridSpan w:val="6"/>
            <w:vAlign w:val="center"/>
          </w:tcPr>
          <w:p w14:paraId="04A502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6C0B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exact"/>
          <w:jc w:val="center"/>
        </w:trPr>
        <w:tc>
          <w:tcPr>
            <w:tcW w:w="1387" w:type="dxa"/>
            <w:vAlign w:val="center"/>
          </w:tcPr>
          <w:p w14:paraId="399D1F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投标人</w:t>
            </w:r>
          </w:p>
        </w:tc>
        <w:tc>
          <w:tcPr>
            <w:tcW w:w="7272" w:type="dxa"/>
            <w:gridSpan w:val="6"/>
            <w:vAlign w:val="center"/>
          </w:tcPr>
          <w:p w14:paraId="011B6A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512F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exact"/>
          <w:jc w:val="center"/>
        </w:trPr>
        <w:tc>
          <w:tcPr>
            <w:tcW w:w="1387" w:type="dxa"/>
            <w:vMerge w:val="restart"/>
            <w:vAlign w:val="center"/>
          </w:tcPr>
          <w:p w14:paraId="132931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项目经理</w:t>
            </w:r>
          </w:p>
        </w:tc>
        <w:tc>
          <w:tcPr>
            <w:tcW w:w="1711" w:type="dxa"/>
            <w:vMerge w:val="restart"/>
            <w:vAlign w:val="center"/>
          </w:tcPr>
          <w:p w14:paraId="7085A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5985F9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级别</w:t>
            </w:r>
          </w:p>
        </w:tc>
        <w:tc>
          <w:tcPr>
            <w:tcW w:w="1288" w:type="dxa"/>
            <w:vAlign w:val="center"/>
          </w:tcPr>
          <w:p w14:paraId="1A1B95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862" w:type="dxa"/>
            <w:vAlign w:val="center"/>
          </w:tcPr>
          <w:p w14:paraId="68EC1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注册编号</w:t>
            </w:r>
          </w:p>
        </w:tc>
        <w:tc>
          <w:tcPr>
            <w:tcW w:w="2099" w:type="dxa"/>
            <w:vAlign w:val="center"/>
          </w:tcPr>
          <w:p w14:paraId="03D8071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2C29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exact"/>
          <w:jc w:val="center"/>
        </w:trPr>
        <w:tc>
          <w:tcPr>
            <w:tcW w:w="1387" w:type="dxa"/>
            <w:vMerge w:val="continue"/>
            <w:vAlign w:val="center"/>
          </w:tcPr>
          <w:p w14:paraId="190566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711" w:type="dxa"/>
            <w:vMerge w:val="continue"/>
            <w:vAlign w:val="center"/>
          </w:tcPr>
          <w:p w14:paraId="568D7F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c>
          <w:tcPr>
            <w:tcW w:w="1312" w:type="dxa"/>
            <w:gridSpan w:val="2"/>
            <w:vAlign w:val="center"/>
          </w:tcPr>
          <w:p w14:paraId="6D7E95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身份证号</w:t>
            </w:r>
          </w:p>
        </w:tc>
        <w:tc>
          <w:tcPr>
            <w:tcW w:w="4249" w:type="dxa"/>
            <w:gridSpan w:val="3"/>
            <w:vAlign w:val="center"/>
          </w:tcPr>
          <w:p w14:paraId="6664040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032C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3" w:hRule="exact"/>
          <w:jc w:val="center"/>
        </w:trPr>
        <w:tc>
          <w:tcPr>
            <w:tcW w:w="3422" w:type="dxa"/>
            <w:gridSpan w:val="3"/>
            <w:vAlign w:val="center"/>
          </w:tcPr>
          <w:p w14:paraId="318C00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磋商内容</w:t>
            </w:r>
          </w:p>
        </w:tc>
        <w:tc>
          <w:tcPr>
            <w:tcW w:w="5237" w:type="dxa"/>
            <w:gridSpan w:val="4"/>
            <w:vAlign w:val="center"/>
          </w:tcPr>
          <w:p w14:paraId="6068BB9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r w14:paraId="5C44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3" w:hRule="exact"/>
          <w:jc w:val="center"/>
        </w:trPr>
        <w:tc>
          <w:tcPr>
            <w:tcW w:w="3422" w:type="dxa"/>
            <w:gridSpan w:val="3"/>
            <w:vAlign w:val="center"/>
          </w:tcPr>
          <w:p w14:paraId="1869A5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磋商报价</w:t>
            </w:r>
          </w:p>
        </w:tc>
        <w:tc>
          <w:tcPr>
            <w:tcW w:w="5237" w:type="dxa"/>
            <w:gridSpan w:val="4"/>
            <w:vAlign w:val="center"/>
          </w:tcPr>
          <w:p w14:paraId="14AB096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rPr>
              <w:t>（大写）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p w14:paraId="74C642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（小写）</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p>
        </w:tc>
      </w:tr>
      <w:tr w14:paraId="648E6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7" w:hRule="atLeast"/>
          <w:jc w:val="center"/>
        </w:trPr>
        <w:tc>
          <w:tcPr>
            <w:tcW w:w="3422" w:type="dxa"/>
            <w:gridSpan w:val="3"/>
            <w:vAlign w:val="center"/>
          </w:tcPr>
          <w:p w14:paraId="25FC66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质量要求 </w:t>
            </w:r>
          </w:p>
        </w:tc>
        <w:tc>
          <w:tcPr>
            <w:tcW w:w="5237" w:type="dxa"/>
            <w:gridSpan w:val="4"/>
            <w:vAlign w:val="center"/>
          </w:tcPr>
          <w:p w14:paraId="76373D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7D56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jc w:val="center"/>
        </w:trPr>
        <w:tc>
          <w:tcPr>
            <w:tcW w:w="3422" w:type="dxa"/>
            <w:gridSpan w:val="3"/>
            <w:vAlign w:val="center"/>
          </w:tcPr>
          <w:p w14:paraId="06EE6E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工期</w:t>
            </w:r>
          </w:p>
        </w:tc>
        <w:tc>
          <w:tcPr>
            <w:tcW w:w="5237" w:type="dxa"/>
            <w:gridSpan w:val="4"/>
            <w:vAlign w:val="center"/>
          </w:tcPr>
          <w:p w14:paraId="2AAADC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p>
        </w:tc>
      </w:tr>
      <w:tr w14:paraId="4CE76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3422" w:type="dxa"/>
            <w:gridSpan w:val="3"/>
            <w:vAlign w:val="center"/>
          </w:tcPr>
          <w:p w14:paraId="038747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磋商有效期</w:t>
            </w:r>
          </w:p>
        </w:tc>
        <w:tc>
          <w:tcPr>
            <w:tcW w:w="5237" w:type="dxa"/>
            <w:gridSpan w:val="4"/>
            <w:vAlign w:val="center"/>
          </w:tcPr>
          <w:p w14:paraId="5AC71D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sz w:val="24"/>
                <w:highlight w:val="none"/>
              </w:rPr>
            </w:pPr>
            <w:r>
              <w:rPr>
                <w:rFonts w:hint="eastAsia" w:ascii="宋体" w:hAnsi="宋体" w:eastAsia="宋体" w:cs="宋体"/>
                <w:sz w:val="24"/>
                <w:szCs w:val="24"/>
                <w:highlight w:val="none"/>
                <w:lang w:eastAsia="zh-CN"/>
              </w:rPr>
              <w:t>投标文件</w:t>
            </w:r>
            <w:r>
              <w:rPr>
                <w:rFonts w:hint="eastAsia" w:ascii="宋体" w:hAnsi="宋体" w:eastAsia="宋体" w:cs="宋体"/>
                <w:sz w:val="24"/>
                <w:szCs w:val="24"/>
                <w:highlight w:val="none"/>
              </w:rPr>
              <w:t>递交截止之日起60日历天</w:t>
            </w:r>
          </w:p>
        </w:tc>
      </w:tr>
      <w:tr w14:paraId="189C7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0" w:hRule="atLeast"/>
          <w:jc w:val="center"/>
        </w:trPr>
        <w:tc>
          <w:tcPr>
            <w:tcW w:w="3422" w:type="dxa"/>
            <w:gridSpan w:val="3"/>
            <w:vAlign w:val="center"/>
          </w:tcPr>
          <w:p w14:paraId="15AA1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其他说明</w:t>
            </w:r>
          </w:p>
        </w:tc>
        <w:tc>
          <w:tcPr>
            <w:tcW w:w="5237" w:type="dxa"/>
            <w:gridSpan w:val="4"/>
            <w:vAlign w:val="center"/>
          </w:tcPr>
          <w:p w14:paraId="273E90B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tc>
      </w:tr>
    </w:tbl>
    <w:p w14:paraId="3B84FBD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9A5AAE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1ADFABA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6C649B41">
      <w:pPr>
        <w:pageBreakBefore w:val="0"/>
        <w:kinsoku/>
        <w:overflowPunct/>
        <w:topLinePunct w:val="0"/>
        <w:bidi w:val="0"/>
        <w:adjustRightInd w:val="0"/>
        <w:snapToGrid w:val="0"/>
        <w:spacing w:beforeAutospacing="0" w:afterAutospacing="0" w:line="360" w:lineRule="auto"/>
        <w:ind w:left="0" w:leftChars="0" w:right="0" w:rightChars="0" w:firstLine="3360" w:firstLineChars="1400"/>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41F839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7C7AE9C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（电子签章）</w:t>
      </w:r>
    </w:p>
    <w:p w14:paraId="57AB150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EFD559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sz w:val="24"/>
          <w:highlight w:val="none"/>
        </w:rPr>
        <w:t xml:space="preserve">                                                     年    月    日</w:t>
      </w:r>
    </w:p>
    <w:p w14:paraId="6E6356BF">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82" w:name="_Toc23613"/>
      <w:r>
        <w:rPr>
          <w:rFonts w:hint="eastAsia" w:ascii="宋体" w:hAnsi="宋体" w:eastAsia="宋体" w:cs="宋体"/>
          <w:b/>
          <w:bCs/>
          <w:sz w:val="32"/>
          <w:szCs w:val="32"/>
          <w:highlight w:val="none"/>
        </w:rPr>
        <w:t>二、法定代表人身份证明及授权委托书</w:t>
      </w:r>
      <w:bookmarkEnd w:id="1075"/>
      <w:bookmarkEnd w:id="1076"/>
      <w:bookmarkEnd w:id="1082"/>
      <w:bookmarkStart w:id="1083" w:name="_Toc234382962"/>
      <w:bookmarkEnd w:id="1083"/>
      <w:bookmarkStart w:id="1084" w:name="_Toc387669603"/>
      <w:bookmarkEnd w:id="1084"/>
      <w:bookmarkStart w:id="1085" w:name="_Toc387671317"/>
      <w:bookmarkEnd w:id="1085"/>
      <w:bookmarkStart w:id="1086" w:name="_Toc387671679"/>
      <w:bookmarkEnd w:id="1086"/>
    </w:p>
    <w:p w14:paraId="7AC5951B">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（一）法定代表人身份证明</w:t>
      </w:r>
    </w:p>
    <w:p w14:paraId="73577AA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u w:val="singl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名称：</w:t>
      </w:r>
      <w:r>
        <w:rPr>
          <w:rFonts w:hint="eastAsia" w:ascii="宋体" w:hAnsi="宋体" w:eastAsia="宋体" w:cs="宋体"/>
          <w:sz w:val="24"/>
          <w:highlight w:val="none"/>
          <w:u w:val="single"/>
        </w:rPr>
        <w:t xml:space="preserve">                                 </w:t>
      </w:r>
    </w:p>
    <w:p w14:paraId="29F6FD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单位性质：</w:t>
      </w:r>
      <w:r>
        <w:rPr>
          <w:rFonts w:hint="eastAsia" w:ascii="宋体" w:hAnsi="宋体" w:eastAsia="宋体" w:cs="宋体"/>
          <w:sz w:val="24"/>
          <w:highlight w:val="none"/>
          <w:u w:val="single"/>
        </w:rPr>
        <w:t xml:space="preserve">                                   </w:t>
      </w:r>
    </w:p>
    <w:p w14:paraId="3C521D2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地    址：</w:t>
      </w:r>
      <w:r>
        <w:rPr>
          <w:rFonts w:hint="eastAsia" w:ascii="宋体" w:hAnsi="宋体" w:eastAsia="宋体" w:cs="宋体"/>
          <w:sz w:val="24"/>
          <w:highlight w:val="none"/>
          <w:u w:val="single"/>
        </w:rPr>
        <w:t xml:space="preserve">                                   </w:t>
      </w:r>
    </w:p>
    <w:p w14:paraId="01A1BA6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成立时间：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70C1CF2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经营期限：</w:t>
      </w:r>
      <w:r>
        <w:rPr>
          <w:rFonts w:hint="eastAsia" w:ascii="宋体" w:hAnsi="宋体" w:eastAsia="宋体" w:cs="宋体"/>
          <w:sz w:val="24"/>
          <w:highlight w:val="none"/>
          <w:u w:val="single"/>
        </w:rPr>
        <w:t xml:space="preserve">                                 </w:t>
      </w:r>
    </w:p>
    <w:p w14:paraId="7925748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姓名：</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性别：</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年龄：</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职务：</w:t>
      </w:r>
      <w:r>
        <w:rPr>
          <w:rFonts w:hint="eastAsia" w:ascii="宋体" w:hAnsi="宋体" w:eastAsia="宋体" w:cs="宋体"/>
          <w:sz w:val="24"/>
          <w:highlight w:val="none"/>
          <w:u w:val="single"/>
        </w:rPr>
        <w:t xml:space="preserve">      </w:t>
      </w:r>
    </w:p>
    <w:p w14:paraId="47B74AB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系</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单位名称）的法定代表人。</w:t>
      </w:r>
    </w:p>
    <w:p w14:paraId="147FBE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特此证明。</w:t>
      </w:r>
    </w:p>
    <w:p w14:paraId="41DECBE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ED631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r>
        <w:rPr>
          <w:rFonts w:hint="eastAsia" w:ascii="宋体" w:hAnsi="宋体" w:eastAsia="宋体" w:cs="宋体"/>
          <w:sz w:val="24"/>
          <w:highlight w:val="none"/>
        </w:rPr>
        <w:t>附：法定代表人身份证复印件</w:t>
      </w:r>
    </w:p>
    <w:p w14:paraId="1E26A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241BE06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rPr>
      </w:pPr>
    </w:p>
    <w:p w14:paraId="3D7ABA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outlineLvl w:val="9"/>
        <w:rPr>
          <w:rFonts w:hint="eastAsia" w:ascii="宋体" w:hAnsi="宋体" w:eastAsia="宋体" w:cs="宋体"/>
          <w:sz w:val="24"/>
          <w:highlight w:val="none"/>
        </w:rPr>
      </w:pP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54FFC513">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outlineLvl w:val="9"/>
        <w:rPr>
          <w:rFonts w:hint="eastAsia" w:ascii="宋体" w:hAnsi="宋体" w:eastAsia="宋体" w:cs="宋体"/>
          <w:highlight w:val="none"/>
        </w:rPr>
      </w:pPr>
    </w:p>
    <w:p w14:paraId="4B0570B2">
      <w:pPr>
        <w:pStyle w:val="2"/>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B8E127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B24714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C665C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42D7762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31D078C9">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1AD114C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026663E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7FB96C19">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outlineLvl w:val="9"/>
        <w:rPr>
          <w:rFonts w:hint="eastAsia" w:ascii="宋体" w:hAnsi="宋体" w:eastAsia="宋体" w:cs="宋体"/>
          <w:b/>
          <w:bCs/>
          <w:kern w:val="44"/>
          <w:sz w:val="24"/>
          <w:szCs w:val="24"/>
          <w:highlight w:val="none"/>
        </w:rPr>
      </w:pPr>
      <w:bookmarkStart w:id="1087" w:name="_Toc2342"/>
      <w:bookmarkStart w:id="1088" w:name="_Toc5803"/>
      <w:r>
        <w:rPr>
          <w:rFonts w:hint="eastAsia" w:ascii="宋体" w:hAnsi="宋体" w:eastAsia="宋体" w:cs="宋体"/>
          <w:b/>
          <w:bCs/>
          <w:kern w:val="44"/>
          <w:sz w:val="24"/>
          <w:szCs w:val="24"/>
          <w:highlight w:val="none"/>
        </w:rPr>
        <w:br w:type="page"/>
      </w:r>
    </w:p>
    <w:p w14:paraId="48C1F557">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（二）授权委托书</w:t>
      </w:r>
      <w:bookmarkEnd w:id="1087"/>
      <w:bookmarkEnd w:id="1088"/>
    </w:p>
    <w:p w14:paraId="4EA8647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szCs w:val="24"/>
          <w:highlight w:val="none"/>
        </w:rPr>
      </w:pPr>
    </w:p>
    <w:p w14:paraId="5CEB5719">
      <w:pPr>
        <w:pageBreakBefore w:val="0"/>
        <w:kinsoku/>
        <w:overflowPunct/>
        <w:topLinePunct w:val="0"/>
        <w:bidi w:val="0"/>
        <w:adjustRightInd w:val="0"/>
        <w:snapToGrid w:val="0"/>
        <w:spacing w:beforeAutospacing="0" w:afterAutospacing="0" w:line="360" w:lineRule="auto"/>
        <w:ind w:left="0" w:leftChars="0" w:right="0" w:rightChars="0" w:firstLine="480" w:firstLineChars="200"/>
        <w:outlineLvl w:val="9"/>
        <w:rPr>
          <w:rFonts w:hint="eastAsia" w:ascii="宋体" w:hAnsi="宋体" w:eastAsia="宋体" w:cs="宋体"/>
          <w:bCs/>
          <w:sz w:val="24"/>
          <w:highlight w:val="none"/>
        </w:rPr>
      </w:pPr>
      <w:bookmarkStart w:id="1089" w:name="_Toc69718843"/>
      <w:bookmarkEnd w:id="1089"/>
      <w:bookmarkStart w:id="1090" w:name="_Toc25646"/>
      <w:bookmarkStart w:id="1091" w:name="_Toc21259"/>
      <w:r>
        <w:rPr>
          <w:rFonts w:hint="eastAsia" w:ascii="宋体" w:hAnsi="宋体" w:eastAsia="宋体" w:cs="宋体"/>
          <w:bCs/>
          <w:sz w:val="24"/>
          <w:highlight w:val="none"/>
        </w:rPr>
        <w:t>本人</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（姓名）系</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名称）的法定代表人，现委托</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（姓名）为我方代理人。代理人根据授权，以我方名义签署、澄清、说明、补正、递交、撤回、修改</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（项目名称）</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、签订合同和处理有关事宜，其法律后果由我方承担。</w:t>
      </w:r>
    </w:p>
    <w:p w14:paraId="5FF5E7B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委托期限：</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p>
    <w:p w14:paraId="7A44A87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代理人无转委托权。 </w:t>
      </w:r>
    </w:p>
    <w:p w14:paraId="56F5271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B670BE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C5364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45EDD7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00C96D5F">
      <w:pPr>
        <w:pageBreakBefore w:val="0"/>
        <w:kinsoku/>
        <w:overflowPunct/>
        <w:topLinePunct w:val="0"/>
        <w:bidi w:val="0"/>
        <w:adjustRightInd w:val="0"/>
        <w:snapToGrid w:val="0"/>
        <w:spacing w:beforeAutospacing="0" w:afterAutospacing="0" w:line="360" w:lineRule="auto"/>
        <w:ind w:left="0" w:leftChars="0" w:right="0" w:rightChars="0" w:firstLine="4080" w:firstLineChars="1700"/>
        <w:jc w:val="both"/>
        <w:outlineLvl w:val="9"/>
        <w:rPr>
          <w:rFonts w:hint="eastAsia" w:ascii="宋体" w:hAnsi="宋体" w:eastAsia="宋体" w:cs="宋体"/>
          <w:bCs/>
          <w:sz w:val="24"/>
          <w:highlight w:val="none"/>
        </w:rPr>
      </w:pP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u w:val="single"/>
          <w:lang w:val="en-US" w:eastAsia="zh-CN"/>
        </w:rPr>
        <w:t xml:space="preserve">    </w:t>
      </w:r>
      <w:r>
        <w:rPr>
          <w:rFonts w:hint="eastAsia" w:ascii="宋体" w:hAnsi="宋体" w:eastAsia="宋体" w:cs="宋体"/>
          <w:bCs/>
          <w:sz w:val="24"/>
          <w:highlight w:val="none"/>
          <w:u w:val="single"/>
        </w:rPr>
        <w:t xml:space="preserve">      </w:t>
      </w:r>
      <w:r>
        <w:rPr>
          <w:rFonts w:hint="eastAsia" w:ascii="宋体" w:hAnsi="宋体" w:eastAsia="宋体" w:cs="宋体"/>
          <w:bCs/>
          <w:sz w:val="24"/>
          <w:highlight w:val="none"/>
        </w:rPr>
        <w:t>（</w:t>
      </w:r>
      <w:r>
        <w:rPr>
          <w:rFonts w:hint="eastAsia" w:ascii="宋体" w:hAnsi="宋体" w:eastAsia="宋体" w:cs="宋体"/>
          <w:bCs/>
          <w:sz w:val="24"/>
          <w:highlight w:val="none"/>
          <w:lang w:eastAsia="zh-CN"/>
        </w:rPr>
        <w:t>公章电子签章</w:t>
      </w:r>
      <w:r>
        <w:rPr>
          <w:rFonts w:hint="eastAsia" w:ascii="宋体" w:hAnsi="宋体" w:eastAsia="宋体" w:cs="宋体"/>
          <w:bCs/>
          <w:sz w:val="24"/>
          <w:highlight w:val="none"/>
        </w:rPr>
        <w:t xml:space="preserve">） </w:t>
      </w:r>
    </w:p>
    <w:p w14:paraId="31705BFA">
      <w:pPr>
        <w:pageBreakBefore w:val="0"/>
        <w:kinsoku/>
        <w:overflowPunct/>
        <w:topLinePunct w:val="0"/>
        <w:bidi w:val="0"/>
        <w:adjustRightInd w:val="0"/>
        <w:snapToGrid w:val="0"/>
        <w:spacing w:beforeAutospacing="0" w:afterAutospacing="0" w:line="360" w:lineRule="auto"/>
        <w:ind w:left="0" w:leftChars="0" w:right="0" w:rightChars="0" w:firstLine="4080" w:firstLineChars="1700"/>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（电子签章）</w:t>
      </w:r>
    </w:p>
    <w:p w14:paraId="75B01E75">
      <w:pPr>
        <w:pageBreakBefore w:val="0"/>
        <w:tabs>
          <w:tab w:val="left" w:pos="6510"/>
        </w:tabs>
        <w:kinsoku/>
        <w:overflowPunct/>
        <w:topLinePunct w:val="0"/>
        <w:bidi w:val="0"/>
        <w:adjustRightInd w:val="0"/>
        <w:snapToGrid w:val="0"/>
        <w:spacing w:beforeAutospacing="0" w:afterAutospacing="0" w:line="360" w:lineRule="auto"/>
        <w:ind w:right="0" w:rightChars="0" w:firstLine="4320" w:firstLineChars="1800"/>
        <w:jc w:val="left"/>
        <w:outlineLvl w:val="9"/>
        <w:rPr>
          <w:rFonts w:hint="eastAsia" w:ascii="宋体" w:hAnsi="宋体" w:eastAsia="宋体" w:cs="宋体"/>
          <w:sz w:val="24"/>
          <w:highlight w:val="none"/>
        </w:rPr>
      </w:pPr>
      <w:r>
        <w:rPr>
          <w:rFonts w:hint="eastAsia" w:ascii="宋体" w:hAnsi="宋体" w:eastAsia="宋体" w:cs="宋体"/>
          <w:color w:val="auto"/>
          <w:sz w:val="24"/>
          <w:highlight w:val="none"/>
          <w:lang w:val="en-US" w:eastAsia="zh-CN"/>
        </w:rPr>
        <w:t>时间：</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年     月  </w:t>
      </w:r>
      <w:r>
        <w:rPr>
          <w:rFonts w:hint="eastAsia" w:ascii="宋体" w:hAnsi="宋体" w:eastAsia="宋体" w:cs="宋体"/>
          <w:color w:val="auto"/>
          <w:sz w:val="24"/>
          <w:highlight w:val="none"/>
          <w:u w:val="single"/>
          <w:lang w:val="en-US" w:eastAsia="zh-CN"/>
        </w:rPr>
        <w:t xml:space="preserve">  日</w:t>
      </w:r>
      <w:r>
        <w:rPr>
          <w:rFonts w:hint="eastAsia" w:ascii="宋体" w:hAnsi="宋体" w:eastAsia="宋体" w:cs="宋体"/>
          <w:color w:val="auto"/>
          <w:sz w:val="24"/>
          <w:highlight w:val="none"/>
        </w:rPr>
        <w:t xml:space="preserve"> </w:t>
      </w:r>
    </w:p>
    <w:p w14:paraId="5A72889B">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olor w:val="auto"/>
          <w:sz w:val="24"/>
          <w:highlight w:val="none"/>
          <w:u w:val="single"/>
        </w:rPr>
      </w:pPr>
    </w:p>
    <w:p w14:paraId="36E98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p>
    <w:p w14:paraId="0020E2F7">
      <w:pPr>
        <w:pageBreakBefore w:val="0"/>
        <w:tabs>
          <w:tab w:val="left" w:pos="6510"/>
        </w:tabs>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color w:val="auto"/>
          <w:sz w:val="24"/>
          <w:highlight w:val="none"/>
        </w:rPr>
        <w:t xml:space="preserve"> </w:t>
      </w:r>
    </w:p>
    <w:p w14:paraId="5C2635B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p w14:paraId="44D950FC">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rPr>
      </w:pPr>
      <w:bookmarkStart w:id="1092" w:name="_Toc7558"/>
      <w:r>
        <w:rPr>
          <w:rFonts w:hint="eastAsia" w:ascii="宋体" w:hAnsi="宋体" w:eastAsia="宋体" w:cs="宋体"/>
          <w:b/>
          <w:bCs/>
          <w:sz w:val="32"/>
          <w:szCs w:val="32"/>
          <w:highlight w:val="none"/>
        </w:rPr>
        <w:t>三</w:t>
      </w:r>
      <w:bookmarkEnd w:id="1090"/>
      <w:bookmarkEnd w:id="1091"/>
      <w:r>
        <w:rPr>
          <w:rFonts w:hint="eastAsia" w:ascii="宋体" w:hAnsi="宋体" w:eastAsia="宋体" w:cs="宋体"/>
          <w:b/>
          <w:bCs/>
          <w:sz w:val="32"/>
          <w:szCs w:val="32"/>
          <w:highlight w:val="none"/>
          <w:lang w:eastAsia="zh-CN"/>
        </w:rPr>
        <w:t>、</w:t>
      </w:r>
      <w:r>
        <w:rPr>
          <w:rFonts w:hint="eastAsia" w:ascii="宋体" w:hAnsi="宋体" w:eastAsia="宋体" w:cs="宋体"/>
          <w:b/>
          <w:bCs/>
          <w:sz w:val="32"/>
          <w:szCs w:val="32"/>
          <w:highlight w:val="none"/>
        </w:rPr>
        <w:t>磋商承诺函</w:t>
      </w:r>
      <w:bookmarkEnd w:id="1092"/>
    </w:p>
    <w:p w14:paraId="239B697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致：</w:t>
      </w:r>
      <w:r>
        <w:rPr>
          <w:rFonts w:hint="eastAsia" w:ascii="宋体" w:hAnsi="宋体" w:eastAsia="宋体" w:cs="宋体"/>
          <w:b/>
          <w:sz w:val="24"/>
          <w:highlight w:val="none"/>
          <w:u w:val="single"/>
        </w:rPr>
        <w:t xml:space="preserve"> （</w:t>
      </w:r>
      <w:r>
        <w:rPr>
          <w:rFonts w:hint="eastAsia" w:ascii="宋体" w:hAnsi="宋体" w:eastAsia="宋体" w:cs="宋体"/>
          <w:b/>
          <w:sz w:val="24"/>
          <w:highlight w:val="none"/>
          <w:u w:val="single"/>
          <w:lang w:eastAsia="zh-CN"/>
        </w:rPr>
        <w:t>招标人</w:t>
      </w:r>
      <w:r>
        <w:rPr>
          <w:rFonts w:hint="eastAsia" w:ascii="宋体" w:hAnsi="宋体" w:eastAsia="宋体" w:cs="宋体"/>
          <w:b/>
          <w:sz w:val="24"/>
          <w:highlight w:val="none"/>
          <w:u w:val="single"/>
        </w:rPr>
        <w:t xml:space="preserve">及采购代理机构） </w:t>
      </w:r>
    </w:p>
    <w:p w14:paraId="69FBC57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我公司作为本次采购项目的</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，根据竞争性磋商文件要求，现郑重承诺如下：</w:t>
      </w:r>
    </w:p>
    <w:p w14:paraId="0B0E9ED2">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一、具备《中华人民共和国政府采购法》第二十二条第一款和本项目规定的条件：</w:t>
      </w:r>
    </w:p>
    <w:p w14:paraId="1B7E913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（一）具有独立承担民事责任的能力； </w:t>
      </w:r>
    </w:p>
    <w:p w14:paraId="2811DF3A">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（二）具有良好的商业信誉和健全的财务会计制度； </w:t>
      </w:r>
    </w:p>
    <w:p w14:paraId="7CBE8004">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（三）具有履行合同所必需的设备和专业技术能力； </w:t>
      </w:r>
    </w:p>
    <w:p w14:paraId="5BD94E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（四）有依法缴纳税收和社会保障资金的良好记录； </w:t>
      </w:r>
    </w:p>
    <w:p w14:paraId="2B6E8DA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（五）参加政府采购活动前三年内，在经营活动中没有重大违法记录； </w:t>
      </w:r>
    </w:p>
    <w:p w14:paraId="146A4F0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（六）法律、行政法规规定的其他条件； </w:t>
      </w:r>
    </w:p>
    <w:p w14:paraId="442F91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（七）根据采购项目提出的特殊条件。 </w:t>
      </w:r>
    </w:p>
    <w:p w14:paraId="40FC016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完全接受和满足本项目竞争性磋商文件中规定的实质性要求，如对竞争性磋商文件有异议，已经在磋商截止时间届满前依法进行维权，不存在对竞争性磋商文件有异议的同时又参加竞争性磋商以求侥幸成交或者为实现其他非法目的的行为。</w:t>
      </w:r>
    </w:p>
    <w:p w14:paraId="414D5DA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三、参加本次项目，不存在与单位负责人为同一人或者存在直接控股、管理关系的其他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参与同一合同项下的政府采购活动的行为。 </w:t>
      </w:r>
    </w:p>
    <w:p w14:paraId="3134A12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四、参加本次项目，不存在为本项目提供整体设计、规范编制或者项目管理、监理、检测等服务的行为。</w:t>
      </w:r>
    </w:p>
    <w:p w14:paraId="080CC35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五、参加本次项目，不存在和其他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在同一合同项下的采购项目中，同时委托同一个自然人、同一家庭的人员、同一单位的人员作为代理人的行为。 </w:t>
      </w:r>
    </w:p>
    <w:p w14:paraId="6A92105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六、参加本次政府采购活动要求在近三年内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和其法定代表人没有行贿犯罪行为。 </w:t>
      </w:r>
    </w:p>
    <w:p w14:paraId="1036521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七、参加本次项目，不存在联合体磋商。 </w:t>
      </w:r>
    </w:p>
    <w:p w14:paraId="7552967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
          <w:sz w:val="24"/>
          <w:highlight w:val="none"/>
        </w:rPr>
      </w:pPr>
      <w:r>
        <w:rPr>
          <w:rFonts w:hint="eastAsia" w:ascii="宋体" w:hAnsi="宋体" w:eastAsia="宋体" w:cs="宋体"/>
          <w:b/>
          <w:sz w:val="24"/>
          <w:highlight w:val="none"/>
        </w:rPr>
        <w:t xml:space="preserve">八、存在以下行为之一的愿意接受相关部门的处理： </w:t>
      </w:r>
    </w:p>
    <w:p w14:paraId="07956E9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（一）磋商有效期内撤销</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的； </w:t>
      </w:r>
    </w:p>
    <w:p w14:paraId="2ABCF40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（二）在</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 xml:space="preserve">确定成交人以前放弃成交候选资格的； </w:t>
      </w:r>
    </w:p>
    <w:p w14:paraId="182C802F">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（三）由于成交人的原因未能按照竞争性磋商文件的规定与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签订合同；</w:t>
      </w:r>
    </w:p>
    <w:p w14:paraId="219FA281">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（四）由于成交人的原因未能按照竞争性磋商文件的规定交纳履约担保； </w:t>
      </w:r>
    </w:p>
    <w:p w14:paraId="4B25EA35">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（五）在</w:t>
      </w:r>
      <w:r>
        <w:rPr>
          <w:rFonts w:hint="eastAsia" w:ascii="宋体" w:hAnsi="宋体" w:eastAsia="宋体" w:cs="宋体"/>
          <w:bCs/>
          <w:sz w:val="24"/>
          <w:highlight w:val="none"/>
          <w:lang w:eastAsia="zh-CN"/>
        </w:rPr>
        <w:t>投标文件</w:t>
      </w:r>
      <w:r>
        <w:rPr>
          <w:rFonts w:hint="eastAsia" w:ascii="宋体" w:hAnsi="宋体" w:eastAsia="宋体" w:cs="宋体"/>
          <w:bCs/>
          <w:sz w:val="24"/>
          <w:highlight w:val="none"/>
        </w:rPr>
        <w:t xml:space="preserve">中提供虚假材料谋取成交的； </w:t>
      </w:r>
    </w:p>
    <w:p w14:paraId="7CC84A7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（六）与</w:t>
      </w:r>
      <w:r>
        <w:rPr>
          <w:rFonts w:hint="eastAsia" w:ascii="宋体" w:hAnsi="宋体" w:eastAsia="宋体" w:cs="宋体"/>
          <w:bCs/>
          <w:sz w:val="24"/>
          <w:highlight w:val="none"/>
          <w:lang w:eastAsia="zh-CN"/>
        </w:rPr>
        <w:t>招标人</w:t>
      </w:r>
      <w:r>
        <w:rPr>
          <w:rFonts w:hint="eastAsia" w:ascii="宋体" w:hAnsi="宋体" w:eastAsia="宋体" w:cs="宋体"/>
          <w:bCs/>
          <w:sz w:val="24"/>
          <w:highlight w:val="none"/>
        </w:rPr>
        <w:t>、其他</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或者采购代理机构恶意串通的； </w:t>
      </w:r>
    </w:p>
    <w:p w14:paraId="6A0E860B">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（七）磋商有效期内，</w:t>
      </w:r>
      <w:r>
        <w:rPr>
          <w:rFonts w:hint="eastAsia" w:ascii="宋体" w:hAnsi="宋体" w:eastAsia="宋体" w:cs="宋体"/>
          <w:bCs/>
          <w:sz w:val="24"/>
          <w:highlight w:val="none"/>
          <w:lang w:eastAsia="zh-CN"/>
        </w:rPr>
        <w:t>投标人</w:t>
      </w:r>
      <w:r>
        <w:rPr>
          <w:rFonts w:hint="eastAsia" w:ascii="宋体" w:hAnsi="宋体" w:eastAsia="宋体" w:cs="宋体"/>
          <w:bCs/>
          <w:sz w:val="24"/>
          <w:highlight w:val="none"/>
        </w:rPr>
        <w:t xml:space="preserve">在政府采购活动中有违法、违规、违纪行为。 </w:t>
      </w:r>
    </w:p>
    <w:p w14:paraId="23CF1480">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 xml:space="preserve">由此产生的一切法律后果和责任由我公司承担。我公司声明放弃对此提出任何异议和追索的权利。 </w:t>
      </w:r>
    </w:p>
    <w:p w14:paraId="3A0F343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r>
        <w:rPr>
          <w:rFonts w:hint="eastAsia" w:ascii="宋体" w:hAnsi="宋体" w:eastAsia="宋体" w:cs="宋体"/>
          <w:bCs/>
          <w:sz w:val="24"/>
          <w:highlight w:val="none"/>
        </w:rPr>
        <w:t>本公司对上述承诺的内容事项真实性负责。如经查实上述承诺的内容事项存在虚假，我公司愿意接受以提供虚假材料谋取中标追究法律责任。</w:t>
      </w:r>
    </w:p>
    <w:p w14:paraId="6664872C">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24"/>
          <w:highlight w:val="none"/>
          <w:lang w:eastAsia="zh-CN"/>
        </w:rPr>
      </w:pPr>
    </w:p>
    <w:p w14:paraId="2E2306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6E732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sz w:val="24"/>
          <w:highlight w:val="none"/>
        </w:rPr>
      </w:pP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eastAsia="zh-CN"/>
        </w:rPr>
        <w:t>公章电子签章</w:t>
      </w:r>
      <w:r>
        <w:rPr>
          <w:rFonts w:hint="eastAsia" w:ascii="宋体" w:hAnsi="宋体" w:eastAsia="宋体" w:cs="宋体"/>
          <w:sz w:val="24"/>
          <w:highlight w:val="none"/>
        </w:rPr>
        <w:t>）</w:t>
      </w:r>
    </w:p>
    <w:p w14:paraId="3B560F47">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highlight w:val="none"/>
        </w:rPr>
      </w:pPr>
    </w:p>
    <w:p w14:paraId="50F060FB">
      <w:pPr>
        <w:pStyle w:val="38"/>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center"/>
        <w:outlineLvl w:val="9"/>
        <w:rPr>
          <w:rFonts w:hint="eastAsia" w:ascii="宋体" w:hAnsi="宋体" w:eastAsia="宋体" w:cs="宋体"/>
          <w:highlight w:val="none"/>
        </w:rPr>
      </w:pPr>
      <w:r>
        <w:rPr>
          <w:rFonts w:hint="eastAsia" w:ascii="宋体" w:hAnsi="宋体" w:eastAsia="宋体" w:cs="宋体"/>
          <w:bCs/>
          <w:highlight w:val="none"/>
        </w:rPr>
        <w:t xml:space="preserve">                         法定代表人：</w:t>
      </w:r>
      <w:r>
        <w:rPr>
          <w:rFonts w:hint="eastAsia" w:ascii="宋体" w:hAnsi="宋体" w:eastAsia="宋体" w:cs="宋体"/>
          <w:bCs/>
          <w:highlight w:val="none"/>
          <w:u w:val="single"/>
        </w:rPr>
        <w:t xml:space="preserve">                  </w:t>
      </w:r>
      <w:r>
        <w:rPr>
          <w:rFonts w:hint="eastAsia" w:ascii="宋体" w:hAnsi="宋体" w:eastAsia="宋体" w:cs="宋体"/>
          <w:color w:val="000000"/>
          <w:sz w:val="24"/>
          <w:highlight w:val="none"/>
          <w:lang w:bidi="ar"/>
        </w:rPr>
        <w:t>（</w:t>
      </w:r>
      <w:r>
        <w:rPr>
          <w:rFonts w:hint="eastAsia" w:ascii="宋体" w:hAnsi="宋体" w:eastAsia="宋体" w:cs="宋体"/>
          <w:sz w:val="24"/>
          <w:highlight w:val="none"/>
        </w:rPr>
        <w:t>电子签章</w:t>
      </w:r>
      <w:r>
        <w:rPr>
          <w:rFonts w:hint="eastAsia" w:ascii="宋体" w:hAnsi="宋体" w:eastAsia="宋体" w:cs="宋体"/>
          <w:color w:val="000000"/>
          <w:sz w:val="24"/>
          <w:highlight w:val="none"/>
          <w:lang w:bidi="ar"/>
        </w:rPr>
        <w:t>）</w:t>
      </w:r>
    </w:p>
    <w:p w14:paraId="4BFDC6D8">
      <w:pPr>
        <w:pStyle w:val="2"/>
        <w:pageBreakBefore w:val="0"/>
        <w:kinsoku/>
        <w:overflowPunct/>
        <w:topLinePunct w:val="0"/>
        <w:bidi w:val="0"/>
        <w:adjustRightInd w:val="0"/>
        <w:snapToGrid w:val="0"/>
        <w:spacing w:beforeAutospacing="0" w:after="0" w:afterAutospacing="0" w:line="360" w:lineRule="auto"/>
        <w:ind w:left="0" w:leftChars="0" w:right="0" w:rightChars="0" w:firstLine="0" w:firstLineChars="0"/>
        <w:jc w:val="right"/>
        <w:outlineLvl w:val="9"/>
        <w:rPr>
          <w:rFonts w:hint="eastAsia" w:ascii="宋体" w:hAnsi="宋体" w:eastAsia="宋体" w:cs="宋体"/>
          <w:kern w:val="2"/>
          <w:szCs w:val="22"/>
          <w:highlight w:val="none"/>
        </w:rPr>
      </w:pPr>
      <w:r>
        <w:rPr>
          <w:rFonts w:hint="eastAsia" w:ascii="宋体" w:hAnsi="宋体" w:eastAsia="宋体" w:cs="宋体"/>
          <w:highlight w:val="none"/>
        </w:rPr>
        <w:t xml:space="preserve">     </w:t>
      </w:r>
      <w:r>
        <w:rPr>
          <w:rFonts w:hint="eastAsia" w:ascii="宋体" w:hAnsi="宋体" w:eastAsia="宋体" w:cs="宋体"/>
          <w:highlight w:val="none"/>
          <w:u w:val="single"/>
        </w:rPr>
        <w:t xml:space="preserve"> </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年</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月</w:t>
      </w:r>
      <w:r>
        <w:rPr>
          <w:rFonts w:hint="eastAsia" w:ascii="宋体" w:hAnsi="宋体" w:eastAsia="宋体" w:cs="宋体"/>
          <w:kern w:val="2"/>
          <w:szCs w:val="22"/>
          <w:highlight w:val="none"/>
          <w:u w:val="single"/>
        </w:rPr>
        <w:t xml:space="preserve">     </w:t>
      </w:r>
      <w:r>
        <w:rPr>
          <w:rFonts w:hint="eastAsia" w:ascii="宋体" w:hAnsi="宋体" w:eastAsia="宋体" w:cs="宋体"/>
          <w:kern w:val="2"/>
          <w:szCs w:val="22"/>
          <w:highlight w:val="none"/>
        </w:rPr>
        <w:t>日</w:t>
      </w:r>
    </w:p>
    <w:p w14:paraId="5E6D7FF8">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7409520D">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4F4D3D46">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4A03643">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51DA3EDE">
      <w:pPr>
        <w:pageBreakBefore w:val="0"/>
        <w:kinsoku/>
        <w:overflowPunct/>
        <w:topLinePunct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bCs/>
          <w:sz w:val="24"/>
          <w:highlight w:val="none"/>
        </w:rPr>
      </w:pPr>
    </w:p>
    <w:p w14:paraId="333A0A94">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5BAC9FB5">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6EC4B86">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B8BB04A">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2EB2F49A">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DA95584">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7344D31">
      <w:pPr>
        <w:pStyle w:val="21"/>
        <w:pageBreakBefore w:val="0"/>
        <w:kinsoku/>
        <w:overflowPunct/>
        <w:topLinePunct w:val="0"/>
        <w:bidi w:val="0"/>
        <w:adjustRightInd w:val="0"/>
        <w:snapToGrid w:val="0"/>
        <w:spacing w:after="0" w:line="360" w:lineRule="auto"/>
        <w:rPr>
          <w:rFonts w:hint="eastAsia" w:ascii="宋体" w:hAnsi="宋体" w:eastAsia="宋体" w:cs="宋体"/>
          <w:bCs/>
          <w:sz w:val="24"/>
          <w:highlight w:val="none"/>
        </w:rPr>
      </w:pPr>
    </w:p>
    <w:p w14:paraId="475145D9">
      <w:pPr>
        <w:pStyle w:val="22"/>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6FFD5C23">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12C64ADD">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3047C4EF">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27DEA289">
      <w:pPr>
        <w:pageBreakBefore w:val="0"/>
        <w:kinsoku/>
        <w:overflowPunct/>
        <w:topLinePunct w:val="0"/>
        <w:bidi w:val="0"/>
        <w:adjustRightInd w:val="0"/>
        <w:snapToGrid w:val="0"/>
        <w:spacing w:line="360" w:lineRule="auto"/>
        <w:rPr>
          <w:rFonts w:hint="eastAsia" w:ascii="宋体" w:hAnsi="宋体" w:eastAsia="宋体" w:cs="宋体"/>
          <w:bCs/>
          <w:sz w:val="24"/>
          <w:highlight w:val="none"/>
        </w:rPr>
      </w:pPr>
    </w:p>
    <w:p w14:paraId="7F8899DB">
      <w:pPr>
        <w:pStyle w:val="21"/>
        <w:pageBreakBefore w:val="0"/>
        <w:kinsoku/>
        <w:overflowPunct/>
        <w:topLinePunct w:val="0"/>
        <w:bidi w:val="0"/>
        <w:adjustRightInd w:val="0"/>
        <w:snapToGrid w:val="0"/>
        <w:spacing w:after="0" w:line="360" w:lineRule="auto"/>
        <w:rPr>
          <w:rFonts w:hint="eastAsia" w:ascii="宋体" w:hAnsi="宋体" w:eastAsia="宋体" w:cs="宋体"/>
          <w:highlight w:val="none"/>
        </w:rPr>
      </w:pPr>
    </w:p>
    <w:p w14:paraId="37E7ACA1">
      <w:pPr>
        <w:pStyle w:val="22"/>
        <w:rPr>
          <w:rFonts w:hint="eastAsia" w:ascii="宋体" w:hAnsi="宋体" w:eastAsia="宋体" w:cs="宋体"/>
          <w:highlight w:val="none"/>
        </w:rPr>
      </w:pPr>
    </w:p>
    <w:p w14:paraId="4AC40931">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center"/>
        <w:outlineLvl w:val="9"/>
        <w:rPr>
          <w:rFonts w:hint="eastAsia" w:ascii="宋体" w:hAnsi="宋体" w:eastAsia="宋体" w:cs="宋体"/>
          <w:b/>
          <w:bCs/>
          <w:sz w:val="32"/>
          <w:szCs w:val="32"/>
          <w:highlight w:val="none"/>
        </w:rPr>
      </w:pPr>
      <w:bookmarkStart w:id="1093" w:name="_Toc2430"/>
      <w:bookmarkStart w:id="1094" w:name="_Toc3405"/>
      <w:r>
        <w:rPr>
          <w:rFonts w:hint="eastAsia" w:ascii="宋体" w:hAnsi="宋体" w:eastAsia="宋体" w:cs="宋体"/>
          <w:highlight w:val="none"/>
          <w:lang w:val="en-US" w:eastAsia="zh-CN"/>
        </w:rPr>
        <w:tab/>
      </w:r>
      <w:bookmarkStart w:id="1095" w:name="_Toc8732"/>
      <w:r>
        <w:rPr>
          <w:rFonts w:hint="eastAsia" w:ascii="宋体" w:hAnsi="宋体" w:eastAsia="宋体" w:cs="宋体"/>
          <w:b/>
          <w:bCs/>
          <w:sz w:val="32"/>
          <w:szCs w:val="32"/>
          <w:highlight w:val="none"/>
          <w:lang w:eastAsia="zh-CN"/>
        </w:rPr>
        <w:t>四、</w:t>
      </w:r>
      <w:r>
        <w:rPr>
          <w:rFonts w:hint="eastAsia" w:ascii="宋体" w:hAnsi="宋体" w:eastAsia="宋体" w:cs="宋体"/>
          <w:b/>
          <w:bCs/>
          <w:sz w:val="32"/>
          <w:szCs w:val="32"/>
          <w:highlight w:val="none"/>
        </w:rPr>
        <w:t>已标价工程量清单</w:t>
      </w:r>
      <w:bookmarkEnd w:id="1093"/>
      <w:bookmarkEnd w:id="1094"/>
      <w:bookmarkEnd w:id="1095"/>
    </w:p>
    <w:p w14:paraId="6541FC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2A84A9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9CF16E8">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E1AE3F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BC0E79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AE95046">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3BFBF5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F9F8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07C079">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377C2825">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2388787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00D3385A">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089048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273768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EAD8FC3">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7803682D">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1D819BEE">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460B2F62">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650733A4">
      <w:pPr>
        <w:pageBreakBefore w:val="0"/>
        <w:kinsoku/>
        <w:overflowPunct/>
        <w:topLinePunct w:val="0"/>
        <w:autoSpaceDE w:val="0"/>
        <w:autoSpaceDN w:val="0"/>
        <w:bidi w:val="0"/>
        <w:adjustRightInd w:val="0"/>
        <w:snapToGrid w:val="0"/>
        <w:spacing w:beforeAutospacing="0" w:afterAutospacing="0" w:line="360" w:lineRule="auto"/>
        <w:ind w:left="0" w:leftChars="0" w:right="0" w:rightChars="0" w:firstLine="0" w:firstLineChars="0"/>
        <w:outlineLvl w:val="9"/>
        <w:rPr>
          <w:rFonts w:hint="eastAsia" w:ascii="宋体" w:hAnsi="宋体" w:eastAsia="宋体" w:cs="宋体"/>
          <w:sz w:val="36"/>
          <w:szCs w:val="36"/>
          <w:highlight w:val="none"/>
        </w:rPr>
      </w:pPr>
    </w:p>
    <w:p w14:paraId="5F250DD6">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bookmarkStart w:id="1096" w:name="_Toc1884"/>
      <w:bookmarkStart w:id="1097" w:name="_Toc479320260"/>
      <w:bookmarkStart w:id="1098" w:name="_Toc10314"/>
      <w:bookmarkStart w:id="1099" w:name="_Toc23480"/>
      <w:r>
        <w:rPr>
          <w:rFonts w:hint="eastAsia" w:ascii="宋体" w:hAnsi="宋体" w:eastAsia="宋体" w:cs="宋体"/>
          <w:b/>
          <w:bCs/>
          <w:caps w:val="0"/>
          <w:snapToGrid w:val="0"/>
          <w:color w:val="auto"/>
          <w:sz w:val="32"/>
          <w:szCs w:val="32"/>
          <w:highlight w:val="none"/>
          <w:lang w:val="en-US" w:eastAsia="zh-CN"/>
        </w:rPr>
        <w:t>五</w:t>
      </w:r>
      <w:r>
        <w:rPr>
          <w:rFonts w:hint="eastAsia" w:ascii="宋体" w:hAnsi="宋体" w:eastAsia="宋体" w:cs="宋体"/>
          <w:b/>
          <w:bCs/>
          <w:caps w:val="0"/>
          <w:snapToGrid w:val="0"/>
          <w:color w:val="auto"/>
          <w:sz w:val="32"/>
          <w:szCs w:val="32"/>
          <w:highlight w:val="none"/>
        </w:rPr>
        <w:t>、</w:t>
      </w:r>
      <w:r>
        <w:rPr>
          <w:rFonts w:hint="eastAsia" w:ascii="宋体" w:hAnsi="宋体" w:eastAsia="宋体" w:cs="宋体"/>
          <w:b/>
          <w:bCs/>
          <w:sz w:val="32"/>
          <w:szCs w:val="32"/>
          <w:highlight w:val="none"/>
          <w:lang w:eastAsia="zh-CN"/>
        </w:rPr>
        <w:t>施工组织设计</w:t>
      </w:r>
      <w:bookmarkEnd w:id="1096"/>
      <w:bookmarkEnd w:id="1097"/>
      <w:bookmarkEnd w:id="1098"/>
      <w:bookmarkEnd w:id="1099"/>
    </w:p>
    <w:p w14:paraId="4BF6EDAD">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1．结合工程特点提出切实可行的工程质量、安全生产、文明施工、工程进度、技术组织措施，同时应对关键工序、复杂环节重点提出相应技术措施，如雨季施工技术、减少噪音、降低环境污染、地下管线及其他地上地下设施的保护加固措施等。</w:t>
      </w:r>
    </w:p>
    <w:p w14:paraId="364AE360">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snapToGrid w:val="0"/>
          <w:color w:val="auto"/>
          <w:sz w:val="24"/>
          <w:szCs w:val="24"/>
          <w:highlight w:val="none"/>
        </w:rPr>
      </w:pPr>
      <w:r>
        <w:rPr>
          <w:rFonts w:hint="eastAsia" w:ascii="宋体" w:hAnsi="宋体" w:eastAsia="宋体" w:cs="宋体"/>
          <w:caps w:val="0"/>
          <w:snapToGrid w:val="0"/>
          <w:color w:val="auto"/>
          <w:sz w:val="24"/>
          <w:szCs w:val="24"/>
          <w:highlight w:val="none"/>
        </w:rPr>
        <w:t>2． 投标人应递交施工进度网络图或施工进度表，说明按</w:t>
      </w:r>
      <w:r>
        <w:rPr>
          <w:rFonts w:hint="eastAsia" w:ascii="宋体" w:hAnsi="宋体" w:eastAsia="宋体" w:cs="宋体"/>
          <w:caps w:val="0"/>
          <w:snapToGrid w:val="0"/>
          <w:color w:val="auto"/>
          <w:sz w:val="24"/>
          <w:szCs w:val="24"/>
          <w:highlight w:val="none"/>
          <w:lang w:val="en-US" w:eastAsia="zh-CN"/>
        </w:rPr>
        <w:t>磋商</w:t>
      </w:r>
      <w:r>
        <w:rPr>
          <w:rFonts w:hint="eastAsia" w:ascii="宋体" w:hAnsi="宋体" w:eastAsia="宋体" w:cs="宋体"/>
          <w:caps w:val="0"/>
          <w:snapToGrid w:val="0"/>
          <w:color w:val="auto"/>
          <w:sz w:val="24"/>
          <w:szCs w:val="24"/>
          <w:highlight w:val="none"/>
        </w:rPr>
        <w:t>文件要求的计划工期进行施工的各个关键日期，施工进度表可采用网络图（或横道图）表示。</w:t>
      </w:r>
    </w:p>
    <w:p w14:paraId="4DEB4C2E">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．施工组织设计除采用文字表述外可附下列图表，图表及格式要求附后</w:t>
      </w:r>
    </w:p>
    <w:p w14:paraId="340389A8">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附表一  拟投入本工程的主要施工设备表</w:t>
      </w:r>
    </w:p>
    <w:p w14:paraId="66718B17">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附表二  拟配备本工程的试验和检测仪器设备表</w:t>
      </w:r>
    </w:p>
    <w:p w14:paraId="45C67113">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附表三  劳动力计划表</w:t>
      </w:r>
    </w:p>
    <w:p w14:paraId="0ABE3A96">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附表四  计划开、竣工日期和施工进度网络图</w:t>
      </w:r>
    </w:p>
    <w:p w14:paraId="17C033D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附表五  施工总平面图</w:t>
      </w:r>
    </w:p>
    <w:p w14:paraId="23BB6762">
      <w:pPr>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rPr>
        <w:t>附表六  临时用地表</w:t>
      </w:r>
    </w:p>
    <w:p w14:paraId="628D8F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b/>
          <w:bCs/>
          <w:sz w:val="24"/>
          <w:highlight w:val="none"/>
        </w:rPr>
      </w:pPr>
    </w:p>
    <w:p w14:paraId="57F8F2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713D6E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br w:type="page"/>
      </w:r>
      <w:r>
        <w:rPr>
          <w:rFonts w:hint="eastAsia" w:ascii="宋体" w:hAnsi="宋体" w:eastAsia="宋体" w:cs="宋体"/>
          <w:b/>
          <w:bCs/>
          <w:sz w:val="24"/>
          <w:highlight w:val="none"/>
        </w:rPr>
        <w:t>附表一：拟投入本工程的主要施工设备表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002"/>
        <w:gridCol w:w="841"/>
        <w:gridCol w:w="856"/>
        <w:gridCol w:w="710"/>
        <w:gridCol w:w="711"/>
        <w:gridCol w:w="1178"/>
        <w:gridCol w:w="797"/>
        <w:gridCol w:w="950"/>
        <w:gridCol w:w="766"/>
      </w:tblGrid>
      <w:tr w14:paraId="59A1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F6DFC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002" w:type="dxa"/>
            <w:tcBorders>
              <w:top w:val="single" w:color="auto" w:sz="4" w:space="0"/>
              <w:left w:val="nil"/>
              <w:bottom w:val="single" w:color="auto" w:sz="4" w:space="0"/>
              <w:right w:val="single" w:color="auto" w:sz="4" w:space="0"/>
            </w:tcBorders>
            <w:noWrap w:val="0"/>
            <w:vAlign w:val="center"/>
          </w:tcPr>
          <w:p w14:paraId="22DC07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设备</w:t>
            </w:r>
          </w:p>
          <w:p w14:paraId="61B695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41" w:type="dxa"/>
            <w:tcBorders>
              <w:top w:val="single" w:color="auto" w:sz="4" w:space="0"/>
              <w:left w:val="nil"/>
              <w:bottom w:val="single" w:color="auto" w:sz="4" w:space="0"/>
              <w:right w:val="single" w:color="auto" w:sz="4" w:space="0"/>
            </w:tcBorders>
            <w:noWrap w:val="0"/>
            <w:vAlign w:val="center"/>
          </w:tcPr>
          <w:p w14:paraId="227C88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56F7F7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856" w:type="dxa"/>
            <w:tcBorders>
              <w:top w:val="single" w:color="auto" w:sz="4" w:space="0"/>
              <w:left w:val="nil"/>
              <w:bottom w:val="single" w:color="auto" w:sz="4" w:space="0"/>
              <w:right w:val="single" w:color="auto" w:sz="4" w:space="0"/>
            </w:tcBorders>
            <w:noWrap w:val="0"/>
            <w:vAlign w:val="center"/>
          </w:tcPr>
          <w:p w14:paraId="0E5EE82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10" w:type="dxa"/>
            <w:tcBorders>
              <w:top w:val="single" w:color="auto" w:sz="4" w:space="0"/>
              <w:left w:val="nil"/>
              <w:bottom w:val="single" w:color="auto" w:sz="4" w:space="0"/>
              <w:right w:val="single" w:color="auto" w:sz="4" w:space="0"/>
            </w:tcBorders>
            <w:noWrap w:val="0"/>
            <w:vAlign w:val="center"/>
          </w:tcPr>
          <w:p w14:paraId="0AF0C3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2D4E53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711" w:type="dxa"/>
            <w:tcBorders>
              <w:top w:val="single" w:color="auto" w:sz="4" w:space="0"/>
              <w:left w:val="nil"/>
              <w:bottom w:val="single" w:color="auto" w:sz="4" w:space="0"/>
              <w:right w:val="single" w:color="auto" w:sz="4" w:space="0"/>
            </w:tcBorders>
            <w:noWrap w:val="0"/>
            <w:vAlign w:val="center"/>
          </w:tcPr>
          <w:p w14:paraId="611D5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5408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1178" w:type="dxa"/>
            <w:tcBorders>
              <w:top w:val="single" w:color="auto" w:sz="4" w:space="0"/>
              <w:left w:val="nil"/>
              <w:bottom w:val="single" w:color="auto" w:sz="4" w:space="0"/>
              <w:right w:val="single" w:color="auto" w:sz="4" w:space="0"/>
            </w:tcBorders>
            <w:noWrap w:val="0"/>
            <w:vAlign w:val="center"/>
          </w:tcPr>
          <w:p w14:paraId="4386E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额定功率</w:t>
            </w:r>
          </w:p>
          <w:p w14:paraId="4FD43A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（KW）</w:t>
            </w:r>
          </w:p>
        </w:tc>
        <w:tc>
          <w:tcPr>
            <w:tcW w:w="797" w:type="dxa"/>
            <w:tcBorders>
              <w:top w:val="single" w:color="auto" w:sz="4" w:space="0"/>
              <w:left w:val="nil"/>
              <w:bottom w:val="single" w:color="auto" w:sz="4" w:space="0"/>
              <w:right w:val="single" w:color="auto" w:sz="4" w:space="0"/>
            </w:tcBorders>
            <w:noWrap w:val="0"/>
            <w:vAlign w:val="center"/>
          </w:tcPr>
          <w:p w14:paraId="7CAA8CE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生产</w:t>
            </w:r>
          </w:p>
          <w:p w14:paraId="0B1C3A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能力</w:t>
            </w:r>
          </w:p>
        </w:tc>
        <w:tc>
          <w:tcPr>
            <w:tcW w:w="950" w:type="dxa"/>
            <w:tcBorders>
              <w:top w:val="single" w:color="auto" w:sz="4" w:space="0"/>
              <w:left w:val="nil"/>
              <w:bottom w:val="single" w:color="auto" w:sz="4" w:space="0"/>
              <w:right w:val="single" w:color="auto" w:sz="4" w:space="0"/>
            </w:tcBorders>
            <w:noWrap w:val="0"/>
            <w:vAlign w:val="center"/>
          </w:tcPr>
          <w:p w14:paraId="4F6B4C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用于施</w:t>
            </w:r>
          </w:p>
          <w:p w14:paraId="7D9F1C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工部位</w:t>
            </w:r>
          </w:p>
        </w:tc>
        <w:tc>
          <w:tcPr>
            <w:tcW w:w="766" w:type="dxa"/>
            <w:tcBorders>
              <w:top w:val="single" w:color="auto" w:sz="4" w:space="0"/>
              <w:left w:val="nil"/>
              <w:bottom w:val="single" w:color="auto" w:sz="4" w:space="0"/>
              <w:right w:val="single" w:color="auto" w:sz="4" w:space="0"/>
            </w:tcBorders>
            <w:noWrap w:val="0"/>
            <w:vAlign w:val="center"/>
          </w:tcPr>
          <w:p w14:paraId="58FAFB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0C9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1850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C9DA2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27F5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2BA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D4787C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15EE6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AC9E5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7F8934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311D95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56F115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AE2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EBC88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02E10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CFB50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0E403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6EF6E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8551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A401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2570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06FB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6AF80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83B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721F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B864C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509C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383B0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FF396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1A9F89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AEA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780C6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C0938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07488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E60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727FA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F8748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55C5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1B3CE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4664F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4634F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CE231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D6D5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55DB6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44273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0A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9E45B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5DB5E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D6D460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9147E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DE5F8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4CE40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E3674B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272103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9E02B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D45486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633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D3511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7FD07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D4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ACEB1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8A05A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03822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6EC9B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5A3E8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78D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46518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FDD4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927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785F3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A71BF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FE6A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2F5F7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47D4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838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03291F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6FA49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1F424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9D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34E3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8BE27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B81FD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7EA92B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B59A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0330D0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33D17C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CAC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E47C3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831B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80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9198E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DC3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A97A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A823E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902D5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21A6B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9CAD21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661F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02F11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1C5AD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A0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5716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6043AF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4272E40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E16C9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42C739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728E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6B0681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C90CD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E7009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7BDB3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082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F7485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BF585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5097A0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12022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114ED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6C6342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CDAB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7A33C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3A94D6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3CE75B9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3F8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961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C0305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BB971E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30F77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50758BF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A9F6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16E5E5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20EC7D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48F04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2F049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78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D92AF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6DCF6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1BF3D9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6144B0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B62BE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642E7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0E4A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E5933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47B05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0D1F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F0F8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EB98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71CA6F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783CD9F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57EFF7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0DBE16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2B0CD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59A1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4486D7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6FBF6C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E7F56E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51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08CE5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26B940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BD84D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20ECE5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F160D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3DAAAE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488FE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6FEFEC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52139D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1A15CF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EE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6A39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04A50B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393884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10E2D2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6D953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7CEC2F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771FC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55D809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253E6F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A28D8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07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2B4B2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36AD1F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2FB981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3F07FA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722ED9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4A1B2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21E6F9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1AFF9E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3EF7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4713C8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9B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7FC7E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02" w:type="dxa"/>
            <w:tcBorders>
              <w:top w:val="single" w:color="auto" w:sz="4" w:space="0"/>
              <w:left w:val="nil"/>
              <w:bottom w:val="single" w:color="auto" w:sz="4" w:space="0"/>
              <w:right w:val="single" w:color="auto" w:sz="4" w:space="0"/>
            </w:tcBorders>
            <w:noWrap w:val="0"/>
            <w:vAlign w:val="center"/>
          </w:tcPr>
          <w:p w14:paraId="4DF93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41" w:type="dxa"/>
            <w:tcBorders>
              <w:top w:val="single" w:color="auto" w:sz="4" w:space="0"/>
              <w:left w:val="nil"/>
              <w:bottom w:val="single" w:color="auto" w:sz="4" w:space="0"/>
              <w:right w:val="single" w:color="auto" w:sz="4" w:space="0"/>
            </w:tcBorders>
            <w:noWrap w:val="0"/>
            <w:vAlign w:val="center"/>
          </w:tcPr>
          <w:p w14:paraId="6C9AFD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6" w:type="dxa"/>
            <w:tcBorders>
              <w:top w:val="single" w:color="auto" w:sz="4" w:space="0"/>
              <w:left w:val="nil"/>
              <w:bottom w:val="single" w:color="auto" w:sz="4" w:space="0"/>
              <w:right w:val="single" w:color="auto" w:sz="4" w:space="0"/>
            </w:tcBorders>
            <w:noWrap w:val="0"/>
            <w:vAlign w:val="center"/>
          </w:tcPr>
          <w:p w14:paraId="0D5DA8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0" w:type="dxa"/>
            <w:tcBorders>
              <w:top w:val="single" w:color="auto" w:sz="4" w:space="0"/>
              <w:left w:val="nil"/>
              <w:bottom w:val="single" w:color="auto" w:sz="4" w:space="0"/>
              <w:right w:val="single" w:color="auto" w:sz="4" w:space="0"/>
            </w:tcBorders>
            <w:noWrap w:val="0"/>
            <w:vAlign w:val="center"/>
          </w:tcPr>
          <w:p w14:paraId="36B4A1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11" w:type="dxa"/>
            <w:tcBorders>
              <w:top w:val="single" w:color="auto" w:sz="4" w:space="0"/>
              <w:left w:val="nil"/>
              <w:bottom w:val="single" w:color="auto" w:sz="4" w:space="0"/>
              <w:right w:val="single" w:color="auto" w:sz="4" w:space="0"/>
            </w:tcBorders>
            <w:noWrap w:val="0"/>
            <w:vAlign w:val="center"/>
          </w:tcPr>
          <w:p w14:paraId="53B1EA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78" w:type="dxa"/>
            <w:tcBorders>
              <w:top w:val="single" w:color="auto" w:sz="4" w:space="0"/>
              <w:left w:val="nil"/>
              <w:bottom w:val="single" w:color="auto" w:sz="4" w:space="0"/>
              <w:right w:val="single" w:color="auto" w:sz="4" w:space="0"/>
            </w:tcBorders>
            <w:noWrap w:val="0"/>
            <w:vAlign w:val="center"/>
          </w:tcPr>
          <w:p w14:paraId="7CBB26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97" w:type="dxa"/>
            <w:tcBorders>
              <w:top w:val="single" w:color="auto" w:sz="4" w:space="0"/>
              <w:left w:val="nil"/>
              <w:bottom w:val="single" w:color="auto" w:sz="4" w:space="0"/>
              <w:right w:val="single" w:color="auto" w:sz="4" w:space="0"/>
            </w:tcBorders>
            <w:noWrap w:val="0"/>
            <w:vAlign w:val="center"/>
          </w:tcPr>
          <w:p w14:paraId="0CB19D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50" w:type="dxa"/>
            <w:tcBorders>
              <w:top w:val="single" w:color="auto" w:sz="4" w:space="0"/>
              <w:left w:val="nil"/>
              <w:bottom w:val="single" w:color="auto" w:sz="4" w:space="0"/>
              <w:right w:val="single" w:color="auto" w:sz="4" w:space="0"/>
            </w:tcBorders>
            <w:noWrap w:val="0"/>
            <w:vAlign w:val="center"/>
          </w:tcPr>
          <w:p w14:paraId="71801E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66" w:type="dxa"/>
            <w:tcBorders>
              <w:top w:val="single" w:color="auto" w:sz="4" w:space="0"/>
              <w:left w:val="nil"/>
              <w:bottom w:val="single" w:color="auto" w:sz="4" w:space="0"/>
              <w:right w:val="single" w:color="auto" w:sz="4" w:space="0"/>
            </w:tcBorders>
            <w:noWrap w:val="0"/>
            <w:vAlign w:val="center"/>
          </w:tcPr>
          <w:p w14:paraId="659C9E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27801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48AB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233FA01F">
      <w:pPr>
        <w:pStyle w:val="21"/>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4D8044F5">
      <w:pPr>
        <w:pStyle w:val="22"/>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7B95B8AE">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5942E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321E94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附表二：拟配备本工程的试验和检测仪器设备表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851"/>
        <w:gridCol w:w="992"/>
        <w:gridCol w:w="709"/>
        <w:gridCol w:w="850"/>
        <w:gridCol w:w="992"/>
        <w:gridCol w:w="1418"/>
        <w:gridCol w:w="850"/>
      </w:tblGrid>
      <w:tr w14:paraId="1E85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FDA74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序号</w:t>
            </w:r>
          </w:p>
        </w:tc>
        <w:tc>
          <w:tcPr>
            <w:tcW w:w="1134" w:type="dxa"/>
            <w:tcBorders>
              <w:top w:val="single" w:color="auto" w:sz="4" w:space="0"/>
              <w:left w:val="nil"/>
              <w:bottom w:val="single" w:color="auto" w:sz="4" w:space="0"/>
              <w:right w:val="single" w:color="auto" w:sz="4" w:space="0"/>
            </w:tcBorders>
            <w:noWrap w:val="0"/>
            <w:vAlign w:val="center"/>
          </w:tcPr>
          <w:p w14:paraId="0EEE7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仪器设备</w:t>
            </w:r>
          </w:p>
          <w:p w14:paraId="1F9039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名称</w:t>
            </w:r>
          </w:p>
        </w:tc>
        <w:tc>
          <w:tcPr>
            <w:tcW w:w="851" w:type="dxa"/>
            <w:tcBorders>
              <w:top w:val="single" w:color="auto" w:sz="4" w:space="0"/>
              <w:left w:val="nil"/>
              <w:bottom w:val="single" w:color="auto" w:sz="4" w:space="0"/>
              <w:right w:val="single" w:color="auto" w:sz="4" w:space="0"/>
            </w:tcBorders>
            <w:noWrap w:val="0"/>
            <w:vAlign w:val="center"/>
          </w:tcPr>
          <w:p w14:paraId="7C994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型号</w:t>
            </w:r>
          </w:p>
          <w:p w14:paraId="63AEEC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规格</w:t>
            </w:r>
          </w:p>
        </w:tc>
        <w:tc>
          <w:tcPr>
            <w:tcW w:w="992" w:type="dxa"/>
            <w:tcBorders>
              <w:top w:val="single" w:color="auto" w:sz="4" w:space="0"/>
              <w:left w:val="nil"/>
              <w:bottom w:val="single" w:color="auto" w:sz="4" w:space="0"/>
              <w:right w:val="single" w:color="auto" w:sz="4" w:space="0"/>
            </w:tcBorders>
            <w:noWrap w:val="0"/>
            <w:vAlign w:val="center"/>
          </w:tcPr>
          <w:p w14:paraId="2CA0E3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数量</w:t>
            </w:r>
          </w:p>
        </w:tc>
        <w:tc>
          <w:tcPr>
            <w:tcW w:w="709" w:type="dxa"/>
            <w:tcBorders>
              <w:top w:val="single" w:color="auto" w:sz="4" w:space="0"/>
              <w:left w:val="nil"/>
              <w:bottom w:val="single" w:color="auto" w:sz="4" w:space="0"/>
              <w:right w:val="single" w:color="auto" w:sz="4" w:space="0"/>
            </w:tcBorders>
            <w:noWrap w:val="0"/>
            <w:vAlign w:val="center"/>
          </w:tcPr>
          <w:p w14:paraId="57E68E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国别</w:t>
            </w:r>
          </w:p>
          <w:p w14:paraId="4B6402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产地</w:t>
            </w:r>
          </w:p>
        </w:tc>
        <w:tc>
          <w:tcPr>
            <w:tcW w:w="850" w:type="dxa"/>
            <w:tcBorders>
              <w:top w:val="single" w:color="auto" w:sz="4" w:space="0"/>
              <w:left w:val="nil"/>
              <w:bottom w:val="single" w:color="auto" w:sz="4" w:space="0"/>
              <w:right w:val="single" w:color="auto" w:sz="4" w:space="0"/>
            </w:tcBorders>
            <w:noWrap w:val="0"/>
            <w:vAlign w:val="center"/>
          </w:tcPr>
          <w:p w14:paraId="154126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制造</w:t>
            </w:r>
          </w:p>
          <w:p w14:paraId="47667B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年份</w:t>
            </w:r>
          </w:p>
        </w:tc>
        <w:tc>
          <w:tcPr>
            <w:tcW w:w="992" w:type="dxa"/>
            <w:tcBorders>
              <w:top w:val="single" w:color="auto" w:sz="4" w:space="0"/>
              <w:left w:val="nil"/>
              <w:bottom w:val="single" w:color="auto" w:sz="4" w:space="0"/>
              <w:right w:val="single" w:color="auto" w:sz="4" w:space="0"/>
            </w:tcBorders>
            <w:noWrap w:val="0"/>
            <w:vAlign w:val="center"/>
          </w:tcPr>
          <w:p w14:paraId="17ED52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已使用</w:t>
            </w:r>
          </w:p>
          <w:p w14:paraId="7B88C8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台时数</w:t>
            </w:r>
          </w:p>
        </w:tc>
        <w:tc>
          <w:tcPr>
            <w:tcW w:w="1418" w:type="dxa"/>
            <w:tcBorders>
              <w:top w:val="single" w:color="auto" w:sz="4" w:space="0"/>
              <w:left w:val="nil"/>
              <w:bottom w:val="single" w:color="auto" w:sz="4" w:space="0"/>
              <w:right w:val="single" w:color="auto" w:sz="4" w:space="0"/>
            </w:tcBorders>
            <w:noWrap w:val="0"/>
            <w:vAlign w:val="center"/>
          </w:tcPr>
          <w:p w14:paraId="1319B2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用  途</w:t>
            </w:r>
          </w:p>
        </w:tc>
        <w:tc>
          <w:tcPr>
            <w:tcW w:w="850" w:type="dxa"/>
            <w:tcBorders>
              <w:top w:val="single" w:color="auto" w:sz="4" w:space="0"/>
              <w:left w:val="nil"/>
              <w:bottom w:val="single" w:color="auto" w:sz="4" w:space="0"/>
              <w:right w:val="single" w:color="auto" w:sz="4" w:space="0"/>
            </w:tcBorders>
            <w:noWrap w:val="0"/>
            <w:vAlign w:val="center"/>
          </w:tcPr>
          <w:p w14:paraId="4027D5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03C7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DE09E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9E8E8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C05C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B267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C9FE8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FE91F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286FB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42105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67142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B7A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E0C7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1D519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5D9E5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0D01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236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068BE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C17E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FA721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4E28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3BD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93101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022C6D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05BD8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D120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0958E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438B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CFBC2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81E40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DB245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6BC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35D64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BB52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A9503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EFEE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3570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F350A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59CE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AF334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E6648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A8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42D36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C0B6F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F98C4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7675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DD6C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4086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748B1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1E2F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F228B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385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43D42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563B61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757E4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3B9A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269BD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003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4B3C6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089A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4AEF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3DC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F405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5FECC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8EEF8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E2F4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568E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45AE8B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7300A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9362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23043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1D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17C2F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9ECD4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7095C8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0E9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54B3B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D3EC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AE185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70442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A3D20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C4E6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F2CF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BF55B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E16736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3C2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F4320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CFE64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CB127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8AF9A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B1C81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A3E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2AAF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15413B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AC39D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D65C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DB5F3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48F9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E33C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56EF65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49AE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D92D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B3E1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44644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42BAC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C71CC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3591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D5C96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D58C2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730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CEA6B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574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37337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0D09B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E7D7C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5740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57ED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B07F41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3B6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4AC0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6FFA2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28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B84B4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38FC64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5FE28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49394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33F81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62169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71A6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99547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66B5F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177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D92AD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EA44D7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2704F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DA9B5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98B48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712980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F83F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989D3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6BB25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FD9F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9F8F7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BEF6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18B589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CF7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12EF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0DFE9C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F29BB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9B378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CE8AE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92D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3B6EA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7E3910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41112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7EE1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06B4B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03F63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AF702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013D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145B164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42B1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AE5A7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FE36F5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2BDD14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12AF8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535EA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6E388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F4B3F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D3E99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D5365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C55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BD6B06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52C853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33880A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4CA7C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665E3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50848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8A43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162A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E1F0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225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C9DE2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27706A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6A8EF2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6EC2D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0225A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2B624C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EBE628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6272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5CD336E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CC9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3080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34" w:type="dxa"/>
            <w:tcBorders>
              <w:top w:val="single" w:color="auto" w:sz="4" w:space="0"/>
              <w:left w:val="nil"/>
              <w:bottom w:val="single" w:color="auto" w:sz="4" w:space="0"/>
              <w:right w:val="single" w:color="auto" w:sz="4" w:space="0"/>
            </w:tcBorders>
            <w:noWrap w:val="0"/>
            <w:vAlign w:val="center"/>
          </w:tcPr>
          <w:p w14:paraId="6A5F95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51A02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187AD9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819E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FEE01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CD6574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EDFF8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850" w:type="dxa"/>
            <w:tcBorders>
              <w:top w:val="single" w:color="auto" w:sz="4" w:space="0"/>
              <w:left w:val="nil"/>
              <w:bottom w:val="single" w:color="auto" w:sz="4" w:space="0"/>
              <w:right w:val="single" w:color="auto" w:sz="4" w:space="0"/>
            </w:tcBorders>
            <w:noWrap w:val="0"/>
            <w:vAlign w:val="center"/>
          </w:tcPr>
          <w:p w14:paraId="32C521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3AD743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605B3D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5EECD3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p>
    <w:p w14:paraId="5D0FAD3A">
      <w:pPr>
        <w:pStyle w:val="21"/>
        <w:pageBreakBefore w:val="0"/>
        <w:kinsoku/>
        <w:overflowPunct/>
        <w:topLinePunct w:val="0"/>
        <w:bidi w:val="0"/>
        <w:adjustRightInd w:val="0"/>
        <w:snapToGrid w:val="0"/>
        <w:spacing w:after="0" w:line="360" w:lineRule="auto"/>
        <w:rPr>
          <w:rFonts w:hint="eastAsia" w:ascii="宋体" w:hAnsi="宋体" w:eastAsia="宋体" w:cs="宋体"/>
          <w:b/>
          <w:bCs/>
          <w:sz w:val="24"/>
          <w:highlight w:val="none"/>
        </w:rPr>
      </w:pPr>
    </w:p>
    <w:p w14:paraId="0D12B691">
      <w:pPr>
        <w:pStyle w:val="22"/>
        <w:pageBreakBefore w:val="0"/>
        <w:kinsoku/>
        <w:overflowPunct/>
        <w:topLinePunct w:val="0"/>
        <w:bidi w:val="0"/>
        <w:adjustRightInd w:val="0"/>
        <w:snapToGrid w:val="0"/>
        <w:spacing w:line="360" w:lineRule="auto"/>
        <w:rPr>
          <w:rFonts w:hint="eastAsia" w:ascii="宋体" w:hAnsi="宋体" w:eastAsia="宋体" w:cs="宋体"/>
          <w:b/>
          <w:bCs/>
          <w:sz w:val="24"/>
          <w:highlight w:val="none"/>
        </w:rPr>
      </w:pPr>
    </w:p>
    <w:p w14:paraId="61E41D29">
      <w:pPr>
        <w:rPr>
          <w:rFonts w:hint="eastAsia" w:ascii="宋体" w:hAnsi="宋体" w:eastAsia="宋体" w:cs="宋体"/>
          <w:highlight w:val="none"/>
        </w:rPr>
      </w:pPr>
    </w:p>
    <w:p w14:paraId="584B0122">
      <w:pPr>
        <w:pageBreakBefore w:val="0"/>
        <w:kinsoku/>
        <w:overflowPunct/>
        <w:topLinePunct w:val="0"/>
        <w:bidi w:val="0"/>
        <w:adjustRightInd w:val="0"/>
        <w:snapToGrid w:val="0"/>
        <w:spacing w:line="360" w:lineRule="auto"/>
        <w:rPr>
          <w:rFonts w:hint="eastAsia" w:ascii="宋体" w:hAnsi="宋体" w:eastAsia="宋体" w:cs="宋体"/>
          <w:highlight w:val="none"/>
        </w:rPr>
      </w:pPr>
    </w:p>
    <w:p w14:paraId="00CEA5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附表三：劳动力计划表</w:t>
      </w:r>
    </w:p>
    <w:p w14:paraId="3B8414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right"/>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单位：人   </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4CFC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13AE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工种</w:t>
            </w:r>
          </w:p>
        </w:tc>
        <w:tc>
          <w:tcPr>
            <w:tcW w:w="7796" w:type="dxa"/>
            <w:gridSpan w:val="7"/>
            <w:tcBorders>
              <w:top w:val="single" w:color="auto" w:sz="4" w:space="0"/>
              <w:left w:val="nil"/>
              <w:bottom w:val="single" w:color="auto" w:sz="4" w:space="0"/>
              <w:right w:val="single" w:color="auto" w:sz="4" w:space="0"/>
            </w:tcBorders>
            <w:noWrap w:val="0"/>
            <w:vAlign w:val="center"/>
          </w:tcPr>
          <w:p w14:paraId="0DCA01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按工程施工阶段投入劳动力情况</w:t>
            </w:r>
          </w:p>
        </w:tc>
      </w:tr>
      <w:tr w14:paraId="45E4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5A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ACB20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913D30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8C66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461FA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66BAF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18E7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CB4B2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2F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23DAB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4A4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F7535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B78E8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A40F3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1517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9E3E0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296337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D4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07C08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4906C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7825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9C61EF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35AC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DD971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54F66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AC94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13A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05F8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1CC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9B11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054C0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CE6B1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4483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E9B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E4413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EEDE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FCD02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19F16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18849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B515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A958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AF97D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ACA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C5631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9531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CD41B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5097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01F16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7B35C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D8941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8B7497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63CC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B1D91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6FC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1828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0688C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00DD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6FAE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AFC6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7B834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A163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55BB4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5FC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A7C3F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3F9B12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0938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D8868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30C2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49AC5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8AA7A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110B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81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0703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E46F2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FD1D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A9CE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BE97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F1B5D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F2F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0C4A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B96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B278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3E02B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698A7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4697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287074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1AA8B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3F719F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2798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EB2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AD0F9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4B36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2750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8BA8C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FBEF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1FDBA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FE3CD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CC5D5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D89E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10D821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8F1C9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EC6FB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6462C1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FD6F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A28B04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726A3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208BD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33C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A5349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21DC29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0E946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E67D5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813801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C8A03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8CC5F0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6B37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46C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5F86A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7967D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51C92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12B3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416865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3C759C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D40B6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9B283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1039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EAB1F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4AA3D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DB31BE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CAB17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ACD5C8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3F2F4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C34FC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35BA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F83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6B3FD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97C3C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363575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FDFD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CFE27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CDD03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76FE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16BF4A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96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EC747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FB02D1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E6E9AC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98B1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0C67C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503EC8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0FA0E5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61878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0A0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E101B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240A6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51E19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ADA47B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DE537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A7F6B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D138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0AC3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743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80F328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CF20A1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4382C8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9C9E55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0F93B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DB2F4E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8FBB6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4AFA65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907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597C9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D9A6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9BF5D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113D0C3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1422D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93C91B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7626D9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15278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75A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8E560B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E0264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3274C6D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2FEF2A3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B22D4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520C3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6FF810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063" w:type="dxa"/>
            <w:tcBorders>
              <w:top w:val="single" w:color="auto" w:sz="4" w:space="0"/>
              <w:left w:val="nil"/>
              <w:bottom w:val="single" w:color="auto" w:sz="4" w:space="0"/>
              <w:right w:val="single" w:color="auto" w:sz="4" w:space="0"/>
            </w:tcBorders>
            <w:noWrap w:val="0"/>
            <w:vAlign w:val="center"/>
          </w:tcPr>
          <w:p w14:paraId="57AC67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DEF87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p>
    <w:p w14:paraId="6469D8F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附表四：计划开、竣工日期和施工进度网络图</w:t>
      </w:r>
    </w:p>
    <w:p w14:paraId="782DAC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1．</w:t>
      </w:r>
      <w:r>
        <w:rPr>
          <w:rFonts w:hint="eastAsia" w:ascii="宋体" w:hAnsi="宋体" w:eastAsia="宋体" w:cs="宋体"/>
          <w:sz w:val="24"/>
          <w:highlight w:val="none"/>
          <w:lang w:eastAsia="zh-CN"/>
        </w:rPr>
        <w:t>投标人</w:t>
      </w:r>
      <w:r>
        <w:rPr>
          <w:rFonts w:hint="eastAsia" w:ascii="宋体" w:hAnsi="宋体" w:eastAsia="宋体" w:cs="宋体"/>
          <w:sz w:val="24"/>
          <w:highlight w:val="none"/>
        </w:rPr>
        <w:t>应递交施工进度网络图或施工进度表，说明按磋商文件要求的计划工期进行施工的各个关键日期。</w:t>
      </w:r>
    </w:p>
    <w:p w14:paraId="23C45A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2．施工进度表可采用网络图和（或）横道图表示。</w:t>
      </w:r>
    </w:p>
    <w:p w14:paraId="12F4F7A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附表五：施工总平面图</w:t>
      </w:r>
    </w:p>
    <w:p w14:paraId="3E0A90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br w:type="page"/>
      </w:r>
      <w:r>
        <w:rPr>
          <w:rFonts w:hint="eastAsia" w:ascii="宋体" w:hAnsi="宋体" w:eastAsia="宋体" w:cs="宋体"/>
          <w:b/>
          <w:bCs/>
          <w:sz w:val="24"/>
          <w:highlight w:val="none"/>
        </w:rPr>
        <w:t>附表六：临时用地表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079"/>
        <w:gridCol w:w="2079"/>
        <w:gridCol w:w="2079"/>
      </w:tblGrid>
      <w:tr w14:paraId="2B7B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center"/>
          </w:tcPr>
          <w:p w14:paraId="213F71A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用  途</w:t>
            </w:r>
          </w:p>
        </w:tc>
        <w:tc>
          <w:tcPr>
            <w:tcW w:w="2079" w:type="dxa"/>
            <w:tcBorders>
              <w:top w:val="single" w:color="auto" w:sz="4" w:space="0"/>
              <w:left w:val="nil"/>
              <w:bottom w:val="single" w:color="auto" w:sz="4" w:space="0"/>
              <w:right w:val="single" w:color="auto" w:sz="4" w:space="0"/>
            </w:tcBorders>
            <w:noWrap w:val="0"/>
            <w:vAlign w:val="center"/>
          </w:tcPr>
          <w:p w14:paraId="699541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面 积（平方米）</w:t>
            </w:r>
          </w:p>
        </w:tc>
        <w:tc>
          <w:tcPr>
            <w:tcW w:w="2079" w:type="dxa"/>
            <w:tcBorders>
              <w:top w:val="single" w:color="auto" w:sz="4" w:space="0"/>
              <w:left w:val="nil"/>
              <w:bottom w:val="single" w:color="auto" w:sz="4" w:space="0"/>
              <w:right w:val="single" w:color="auto" w:sz="4" w:space="0"/>
            </w:tcBorders>
            <w:noWrap w:val="0"/>
            <w:vAlign w:val="center"/>
          </w:tcPr>
          <w:p w14:paraId="592E0D7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位  置</w:t>
            </w:r>
          </w:p>
        </w:tc>
        <w:tc>
          <w:tcPr>
            <w:tcW w:w="2079" w:type="dxa"/>
            <w:tcBorders>
              <w:top w:val="single" w:color="auto" w:sz="4" w:space="0"/>
              <w:left w:val="nil"/>
              <w:bottom w:val="single" w:color="auto" w:sz="4" w:space="0"/>
              <w:right w:val="single" w:color="auto" w:sz="4" w:space="0"/>
            </w:tcBorders>
            <w:noWrap w:val="0"/>
            <w:vAlign w:val="center"/>
          </w:tcPr>
          <w:p w14:paraId="488742C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需用时间</w:t>
            </w:r>
          </w:p>
        </w:tc>
      </w:tr>
      <w:tr w14:paraId="74AB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28B6DA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7533DC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031F4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BBE89B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658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D6616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9C9DF5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5B854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4ED857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F3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DD048C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5CD1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DB0240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CB2802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F7F6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E01592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8D11C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67040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0EDAEB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1B0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8D2B8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5E7549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1B312C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94D0E3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8A0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8536CB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BE30AB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337A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EE299D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352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73DB2EE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75D58C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FA667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6D5A1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E966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BB7748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D5664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1172D8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F7410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231AA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09BA77C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09D5E4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A1E842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291865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B5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732668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899B0D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532FA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E585C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36E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689F8BA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EAA18F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AAB904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59B624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75B6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34030A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066304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784A7FB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B3611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13C7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DBB57B4">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82B7A0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3AF908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C7EC007">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62F6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E6FCBC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888D79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7859C3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E2894F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556A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4D13F03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3AE878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21EBB3D">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B647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C00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01090B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2353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51ECC46">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695D13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460E5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57838D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003AE1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9C1DCB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F0FB8F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0E0E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2CD33C5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EB1B80E">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2A84765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0466D9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4F3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E4A4DD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54FA8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15F7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4479B9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6746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3F09005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11C4B598">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E08D1F1">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40BD216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10275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132E6D7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6776536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0C1F3AA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DC5F13B">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r w14:paraId="38460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68" w:type="dxa"/>
            <w:tcBorders>
              <w:top w:val="single" w:color="auto" w:sz="4" w:space="0"/>
              <w:left w:val="single" w:color="auto" w:sz="4" w:space="0"/>
              <w:bottom w:val="single" w:color="auto" w:sz="4" w:space="0"/>
              <w:right w:val="single" w:color="auto" w:sz="4" w:space="0"/>
            </w:tcBorders>
            <w:noWrap w:val="0"/>
            <w:vAlign w:val="top"/>
          </w:tcPr>
          <w:p w14:paraId="5FE5F000">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6D7340A">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55CD0262">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c>
          <w:tcPr>
            <w:tcW w:w="2079" w:type="dxa"/>
            <w:tcBorders>
              <w:top w:val="single" w:color="auto" w:sz="4" w:space="0"/>
              <w:left w:val="nil"/>
              <w:bottom w:val="single" w:color="auto" w:sz="4" w:space="0"/>
              <w:right w:val="single" w:color="auto" w:sz="4" w:space="0"/>
            </w:tcBorders>
            <w:noWrap w:val="0"/>
            <w:vAlign w:val="top"/>
          </w:tcPr>
          <w:p w14:paraId="3170FDEF">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p>
        </w:tc>
      </w:tr>
    </w:tbl>
    <w:p w14:paraId="0317AF69">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E3F31D9">
      <w:pPr>
        <w:pStyle w:val="21"/>
        <w:rPr>
          <w:rFonts w:hint="eastAsia" w:ascii="宋体" w:hAnsi="宋体" w:eastAsia="宋体" w:cs="宋体"/>
          <w:highlight w:val="none"/>
        </w:rPr>
      </w:pPr>
    </w:p>
    <w:p w14:paraId="20B898AC">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9F7BEC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b/>
          <w:bCs/>
          <w:sz w:val="30"/>
          <w:szCs w:val="30"/>
          <w:highlight w:val="none"/>
        </w:rPr>
      </w:pPr>
    </w:p>
    <w:p w14:paraId="4638A42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bookmarkStart w:id="1100" w:name="_Toc6339"/>
      <w:bookmarkStart w:id="1101" w:name="_Toc14989"/>
      <w:bookmarkStart w:id="1102" w:name="_Toc3987"/>
      <w:bookmarkStart w:id="1103" w:name="_Toc13347"/>
      <w:r>
        <w:rPr>
          <w:rFonts w:hint="eastAsia" w:ascii="宋体" w:hAnsi="宋体" w:eastAsia="宋体" w:cs="宋体"/>
          <w:b/>
          <w:bCs/>
          <w:sz w:val="30"/>
          <w:szCs w:val="30"/>
          <w:highlight w:val="none"/>
          <w:lang w:val="en-US" w:eastAsia="zh-CN"/>
        </w:rPr>
        <w:t>六</w:t>
      </w:r>
      <w:r>
        <w:rPr>
          <w:rFonts w:hint="eastAsia" w:ascii="宋体" w:hAnsi="宋体" w:eastAsia="宋体" w:cs="宋体"/>
          <w:b/>
          <w:bCs/>
          <w:sz w:val="30"/>
          <w:szCs w:val="30"/>
          <w:highlight w:val="none"/>
        </w:rPr>
        <w:t>、项目管理机构</w:t>
      </w:r>
      <w:bookmarkEnd w:id="1100"/>
      <w:bookmarkEnd w:id="1101"/>
      <w:bookmarkEnd w:id="1102"/>
      <w:bookmarkEnd w:id="1103"/>
    </w:p>
    <w:p w14:paraId="465637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left"/>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（一）项目管理机构组成表</w:t>
      </w:r>
    </w:p>
    <w:tbl>
      <w:tblPr>
        <w:tblStyle w:val="2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275"/>
        <w:gridCol w:w="993"/>
        <w:gridCol w:w="992"/>
        <w:gridCol w:w="992"/>
        <w:gridCol w:w="1418"/>
        <w:gridCol w:w="708"/>
      </w:tblGrid>
      <w:tr w14:paraId="798C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restart"/>
            <w:tcBorders>
              <w:top w:val="single" w:color="auto" w:sz="4" w:space="0"/>
              <w:left w:val="single" w:color="auto" w:sz="4" w:space="0"/>
              <w:bottom w:val="single" w:color="auto" w:sz="4" w:space="0"/>
              <w:right w:val="single" w:color="auto" w:sz="4" w:space="0"/>
            </w:tcBorders>
            <w:noWrap w:val="0"/>
            <w:vAlign w:val="center"/>
          </w:tcPr>
          <w:p w14:paraId="4F85F0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职务</w:t>
            </w:r>
          </w:p>
        </w:tc>
        <w:tc>
          <w:tcPr>
            <w:tcW w:w="709" w:type="dxa"/>
            <w:vMerge w:val="restart"/>
            <w:tcBorders>
              <w:top w:val="single" w:color="auto" w:sz="4" w:space="0"/>
              <w:left w:val="nil"/>
              <w:bottom w:val="single" w:color="auto" w:sz="4" w:space="0"/>
              <w:right w:val="single" w:color="auto" w:sz="4" w:space="0"/>
            </w:tcBorders>
            <w:noWrap w:val="0"/>
            <w:vAlign w:val="center"/>
          </w:tcPr>
          <w:p w14:paraId="58E975B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姓名</w:t>
            </w:r>
          </w:p>
        </w:tc>
        <w:tc>
          <w:tcPr>
            <w:tcW w:w="709" w:type="dxa"/>
            <w:vMerge w:val="restart"/>
            <w:tcBorders>
              <w:top w:val="single" w:color="auto" w:sz="4" w:space="0"/>
              <w:left w:val="nil"/>
              <w:bottom w:val="single" w:color="auto" w:sz="4" w:space="0"/>
              <w:right w:val="single" w:color="auto" w:sz="4" w:space="0"/>
            </w:tcBorders>
            <w:noWrap w:val="0"/>
            <w:vAlign w:val="center"/>
          </w:tcPr>
          <w:p w14:paraId="069AA5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职称</w:t>
            </w:r>
          </w:p>
        </w:tc>
        <w:tc>
          <w:tcPr>
            <w:tcW w:w="5670" w:type="dxa"/>
            <w:gridSpan w:val="5"/>
            <w:tcBorders>
              <w:top w:val="single" w:color="auto" w:sz="4" w:space="0"/>
              <w:left w:val="nil"/>
              <w:bottom w:val="single" w:color="auto" w:sz="4" w:space="0"/>
              <w:right w:val="single" w:color="auto" w:sz="4" w:space="0"/>
            </w:tcBorders>
            <w:noWrap w:val="0"/>
            <w:vAlign w:val="center"/>
          </w:tcPr>
          <w:p w14:paraId="3BFD4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执业或职业资格证明</w:t>
            </w:r>
          </w:p>
        </w:tc>
        <w:tc>
          <w:tcPr>
            <w:tcW w:w="708" w:type="dxa"/>
            <w:vMerge w:val="restart"/>
            <w:tcBorders>
              <w:top w:val="single" w:color="auto" w:sz="4" w:space="0"/>
              <w:left w:val="nil"/>
              <w:bottom w:val="single" w:color="auto" w:sz="4" w:space="0"/>
              <w:right w:val="single" w:color="auto" w:sz="4" w:space="0"/>
            </w:tcBorders>
            <w:noWrap w:val="0"/>
            <w:vAlign w:val="center"/>
          </w:tcPr>
          <w:p w14:paraId="638BC1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备注</w:t>
            </w:r>
          </w:p>
        </w:tc>
      </w:tr>
      <w:tr w14:paraId="4488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tcBorders>
              <w:top w:val="single" w:color="auto" w:sz="4" w:space="0"/>
              <w:left w:val="single" w:color="auto" w:sz="4" w:space="0"/>
              <w:bottom w:val="single" w:color="auto" w:sz="4" w:space="0"/>
              <w:right w:val="single" w:color="auto" w:sz="4" w:space="0"/>
            </w:tcBorders>
            <w:noWrap w:val="0"/>
            <w:vAlign w:val="center"/>
          </w:tcPr>
          <w:p w14:paraId="1B95101D">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6E8D0AF4">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709" w:type="dxa"/>
            <w:vMerge w:val="continue"/>
            <w:tcBorders>
              <w:top w:val="single" w:color="auto" w:sz="4" w:space="0"/>
              <w:left w:val="nil"/>
              <w:bottom w:val="single" w:color="auto" w:sz="4" w:space="0"/>
              <w:right w:val="single" w:color="auto" w:sz="4" w:space="0"/>
            </w:tcBorders>
            <w:noWrap w:val="0"/>
            <w:vAlign w:val="center"/>
          </w:tcPr>
          <w:p w14:paraId="4B56EBCC">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2E4ACA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证书名称</w:t>
            </w:r>
          </w:p>
        </w:tc>
        <w:tc>
          <w:tcPr>
            <w:tcW w:w="993" w:type="dxa"/>
            <w:tcBorders>
              <w:top w:val="single" w:color="auto" w:sz="4" w:space="0"/>
              <w:left w:val="nil"/>
              <w:bottom w:val="single" w:color="auto" w:sz="4" w:space="0"/>
              <w:right w:val="single" w:color="auto" w:sz="4" w:space="0"/>
            </w:tcBorders>
            <w:noWrap w:val="0"/>
            <w:vAlign w:val="center"/>
          </w:tcPr>
          <w:p w14:paraId="38CC0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级别</w:t>
            </w:r>
          </w:p>
        </w:tc>
        <w:tc>
          <w:tcPr>
            <w:tcW w:w="992" w:type="dxa"/>
            <w:tcBorders>
              <w:top w:val="single" w:color="auto" w:sz="4" w:space="0"/>
              <w:left w:val="nil"/>
              <w:bottom w:val="single" w:color="auto" w:sz="4" w:space="0"/>
              <w:right w:val="single" w:color="auto" w:sz="4" w:space="0"/>
            </w:tcBorders>
            <w:noWrap w:val="0"/>
            <w:vAlign w:val="center"/>
          </w:tcPr>
          <w:p w14:paraId="5E124BD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证号</w:t>
            </w:r>
          </w:p>
        </w:tc>
        <w:tc>
          <w:tcPr>
            <w:tcW w:w="992" w:type="dxa"/>
            <w:tcBorders>
              <w:top w:val="single" w:color="auto" w:sz="4" w:space="0"/>
              <w:left w:val="nil"/>
              <w:bottom w:val="single" w:color="auto" w:sz="4" w:space="0"/>
              <w:right w:val="single" w:color="auto" w:sz="4" w:space="0"/>
            </w:tcBorders>
            <w:noWrap w:val="0"/>
            <w:vAlign w:val="center"/>
          </w:tcPr>
          <w:p w14:paraId="7C6646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专业</w:t>
            </w:r>
          </w:p>
        </w:tc>
        <w:tc>
          <w:tcPr>
            <w:tcW w:w="1418" w:type="dxa"/>
            <w:tcBorders>
              <w:top w:val="single" w:color="auto" w:sz="4" w:space="0"/>
              <w:left w:val="nil"/>
              <w:bottom w:val="single" w:color="auto" w:sz="4" w:space="0"/>
              <w:right w:val="single" w:color="auto" w:sz="4" w:space="0"/>
            </w:tcBorders>
            <w:noWrap w:val="0"/>
            <w:vAlign w:val="center"/>
          </w:tcPr>
          <w:p w14:paraId="2BB3C00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r>
              <w:rPr>
                <w:rFonts w:hint="eastAsia" w:ascii="宋体" w:hAnsi="宋体" w:eastAsia="宋体" w:cs="宋体"/>
                <w:szCs w:val="21"/>
                <w:highlight w:val="none"/>
              </w:rPr>
              <w:t>养老保险</w:t>
            </w:r>
          </w:p>
        </w:tc>
        <w:tc>
          <w:tcPr>
            <w:tcW w:w="708" w:type="dxa"/>
            <w:vMerge w:val="continue"/>
            <w:tcBorders>
              <w:top w:val="single" w:color="auto" w:sz="4" w:space="0"/>
              <w:left w:val="nil"/>
              <w:bottom w:val="single" w:color="auto" w:sz="4" w:space="0"/>
              <w:right w:val="single" w:color="auto" w:sz="4" w:space="0"/>
            </w:tcBorders>
            <w:noWrap w:val="0"/>
            <w:vAlign w:val="center"/>
          </w:tcPr>
          <w:p w14:paraId="1336FE45">
            <w:pPr>
              <w:pageBreakBefore w:val="0"/>
              <w:widowControl/>
              <w:kinsoku/>
              <w:overflowPunct/>
              <w:topLinePunct w:val="0"/>
              <w:bidi w:val="0"/>
              <w:adjustRightInd w:val="0"/>
              <w:snapToGrid w:val="0"/>
              <w:spacing w:beforeAutospacing="0" w:afterAutospacing="0" w:line="360" w:lineRule="auto"/>
              <w:ind w:left="0" w:leftChars="0" w:right="0" w:rightChars="0" w:firstLine="0" w:firstLineChars="0"/>
              <w:jc w:val="left"/>
              <w:rPr>
                <w:rFonts w:hint="eastAsia" w:ascii="宋体" w:hAnsi="宋体" w:eastAsia="宋体" w:cs="宋体"/>
                <w:szCs w:val="21"/>
                <w:highlight w:val="none"/>
              </w:rPr>
            </w:pPr>
          </w:p>
        </w:tc>
      </w:tr>
      <w:tr w14:paraId="1434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296C63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90C0A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5B5026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C00C1D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038A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B76EDC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29A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9BA4D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161EE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Cs w:val="21"/>
                <w:highlight w:val="none"/>
              </w:rPr>
            </w:pPr>
          </w:p>
        </w:tc>
      </w:tr>
      <w:tr w14:paraId="30389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3E82D9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05FA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F996B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33D7C9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0612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DC825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AE572A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41E56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804D3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643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0C2F3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968FC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2B4814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3DBE1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5FB8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901BDB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232F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D6D681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A3F25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8D1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821466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C762E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C2115D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75C26A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D9ADB0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8C282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FE230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6F67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7F994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FA1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7AD61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9AEB4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27678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41E76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89EB7D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0882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8678C5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467263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F2520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9D5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54FB2A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5DF4CE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165849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36A135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9E837D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1F1A6D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D1318C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38BC95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B9E46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E3E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58ED29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F82EC1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9F0A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B24227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2D2A3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FB475C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57B2B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768FE2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57B9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DE45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7DDF9E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6F0B476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624A7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C10A6D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92438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279110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89620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4B95E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7D784EE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D4F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2BBA55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8FAD0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F46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529BF4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1E8304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25A7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3166F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82723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260B9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7EC1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39832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40DA55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3EC2C7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DFBB94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07C7C65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5B9A0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8F4418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A4CFE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43B5F1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F23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8310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A29D3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2588FF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5655B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1E938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6EADE3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2B8067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8E3A64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99C311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1E58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495E721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4C52EF2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58C45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6C7F207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2EBA7D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0B9F80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229F7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571736C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4DF60CE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4CB7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1D66166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5652844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B18CA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09F97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300509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75558F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22318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BF79B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2496C5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661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7D9C4E8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D2FF2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9C9AAB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99296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3AFF8F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F81943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31758C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12C7F2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3B9C5BF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4BF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3993103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0E53A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063C6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0B8C33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B93865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5050B12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722F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72735FE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1700D1F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6BC3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B27564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FB6A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E2179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1180504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16AC99A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5D206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FEC242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1272C62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6A0ED7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ABC1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68D1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1905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1EB5C1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5B21462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908E8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1A0A2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137201F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254A6D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06CACB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3C1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B7DC4C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05C0489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29DD06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21F460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5E6C439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5EB9AF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4CDD34D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824DB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8701B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4B49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noWrap w:val="0"/>
            <w:vAlign w:val="center"/>
          </w:tcPr>
          <w:p w14:paraId="0C7289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7235E58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9" w:type="dxa"/>
            <w:tcBorders>
              <w:top w:val="single" w:color="auto" w:sz="4" w:space="0"/>
              <w:left w:val="nil"/>
              <w:bottom w:val="single" w:color="auto" w:sz="4" w:space="0"/>
              <w:right w:val="single" w:color="auto" w:sz="4" w:space="0"/>
            </w:tcBorders>
            <w:noWrap w:val="0"/>
            <w:vAlign w:val="center"/>
          </w:tcPr>
          <w:p w14:paraId="3DE89C8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275" w:type="dxa"/>
            <w:tcBorders>
              <w:top w:val="single" w:color="auto" w:sz="4" w:space="0"/>
              <w:left w:val="nil"/>
              <w:bottom w:val="single" w:color="auto" w:sz="4" w:space="0"/>
              <w:right w:val="single" w:color="auto" w:sz="4" w:space="0"/>
            </w:tcBorders>
            <w:noWrap w:val="0"/>
            <w:vAlign w:val="center"/>
          </w:tcPr>
          <w:p w14:paraId="4CA4BB9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3" w:type="dxa"/>
            <w:tcBorders>
              <w:top w:val="single" w:color="auto" w:sz="4" w:space="0"/>
              <w:left w:val="nil"/>
              <w:bottom w:val="single" w:color="auto" w:sz="4" w:space="0"/>
              <w:right w:val="single" w:color="auto" w:sz="4" w:space="0"/>
            </w:tcBorders>
            <w:noWrap w:val="0"/>
            <w:vAlign w:val="center"/>
          </w:tcPr>
          <w:p w14:paraId="277272D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6BC99EB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992" w:type="dxa"/>
            <w:tcBorders>
              <w:top w:val="single" w:color="auto" w:sz="4" w:space="0"/>
              <w:left w:val="nil"/>
              <w:bottom w:val="single" w:color="auto" w:sz="4" w:space="0"/>
              <w:right w:val="single" w:color="auto" w:sz="4" w:space="0"/>
            </w:tcBorders>
            <w:noWrap w:val="0"/>
            <w:vAlign w:val="center"/>
          </w:tcPr>
          <w:p w14:paraId="0844AF5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04062A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708" w:type="dxa"/>
            <w:tcBorders>
              <w:top w:val="single" w:color="auto" w:sz="4" w:space="0"/>
              <w:left w:val="nil"/>
              <w:bottom w:val="single" w:color="auto" w:sz="4" w:space="0"/>
              <w:right w:val="single" w:color="auto" w:sz="4" w:space="0"/>
            </w:tcBorders>
            <w:noWrap w:val="0"/>
            <w:vAlign w:val="center"/>
          </w:tcPr>
          <w:p w14:paraId="067DD79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20D6546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74C346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154C2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38D637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0ACCDDB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p w14:paraId="44C9726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028B80A2">
      <w:pPr>
        <w:pageBreakBefore w:val="0"/>
        <w:kinsoku/>
        <w:overflowPunct/>
        <w:topLinePunct w:val="0"/>
        <w:bidi w:val="0"/>
        <w:adjustRightInd w:val="0"/>
        <w:snapToGrid w:val="0"/>
        <w:spacing w:beforeAutospacing="0" w:afterAutospacing="0" w:line="360" w:lineRule="auto"/>
        <w:ind w:left="0" w:leftChars="0" w:right="0" w:rightChars="0" w:firstLine="0" w:firstLineChars="0"/>
        <w:jc w:val="both"/>
        <w:textAlignment w:val="center"/>
        <w:rPr>
          <w:rFonts w:hint="eastAsia" w:ascii="宋体" w:hAnsi="宋体" w:eastAsia="宋体" w:cs="宋体"/>
          <w:b/>
          <w:bCs/>
          <w:sz w:val="24"/>
          <w:highlight w:val="none"/>
        </w:rPr>
      </w:pPr>
      <w:r>
        <w:rPr>
          <w:rFonts w:hint="eastAsia" w:ascii="宋体" w:hAnsi="宋体" w:eastAsia="宋体" w:cs="宋体"/>
          <w:b/>
          <w:bCs/>
          <w:sz w:val="24"/>
          <w:highlight w:val="none"/>
        </w:rPr>
        <w:t>（二）主要人员简历表</w:t>
      </w:r>
    </w:p>
    <w:p w14:paraId="0FA9A758">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caps w:val="0"/>
          <w:color w:val="auto"/>
          <w:sz w:val="24"/>
          <w:szCs w:val="24"/>
          <w:highlight w:val="none"/>
        </w:rPr>
        <w:t>“主要人员简历表”中的项目经理应附注册建造师证、身份证、安全生产考核合格证、养老保险缴费证明</w:t>
      </w:r>
      <w:r>
        <w:rPr>
          <w:rFonts w:hint="eastAsia" w:ascii="宋体" w:hAnsi="宋体" w:eastAsia="宋体" w:cs="宋体"/>
          <w:caps w:val="0"/>
          <w:color w:val="auto"/>
          <w:sz w:val="24"/>
          <w:szCs w:val="24"/>
          <w:highlight w:val="none"/>
          <w:lang w:eastAsia="zh-CN"/>
        </w:rPr>
        <w:t>、无在建工程承诺书</w:t>
      </w:r>
      <w:r>
        <w:rPr>
          <w:rFonts w:hint="eastAsia" w:ascii="宋体" w:hAnsi="宋体" w:eastAsia="宋体" w:cs="宋体"/>
          <w:caps w:val="0"/>
          <w:color w:val="auto"/>
          <w:sz w:val="24"/>
          <w:szCs w:val="24"/>
          <w:highlight w:val="none"/>
        </w:rPr>
        <w:t>等扫描件</w:t>
      </w:r>
      <w:r>
        <w:rPr>
          <w:rFonts w:hint="eastAsia" w:ascii="宋体" w:hAnsi="宋体" w:eastAsia="宋体" w:cs="宋体"/>
          <w:caps w:val="0"/>
          <w:color w:val="auto"/>
          <w:sz w:val="24"/>
          <w:szCs w:val="24"/>
          <w:highlight w:val="none"/>
          <w:lang w:eastAsia="zh-CN"/>
        </w:rPr>
        <w:t>。负责过的项目业绩须附</w:t>
      </w:r>
      <w:r>
        <w:rPr>
          <w:rFonts w:hint="eastAsia" w:ascii="宋体" w:hAnsi="宋体" w:eastAsia="宋体" w:cs="宋体"/>
          <w:caps w:val="0"/>
          <w:color w:val="auto"/>
          <w:sz w:val="24"/>
          <w:szCs w:val="24"/>
          <w:highlight w:val="none"/>
          <w:lang w:val="en-US" w:eastAsia="zh-CN"/>
        </w:rPr>
        <w:t>中标通知书或</w:t>
      </w:r>
      <w:r>
        <w:rPr>
          <w:rFonts w:hint="eastAsia" w:ascii="宋体" w:hAnsi="宋体" w:eastAsia="宋体" w:cs="宋体"/>
          <w:caps w:val="0"/>
          <w:color w:val="auto"/>
          <w:sz w:val="24"/>
          <w:szCs w:val="24"/>
          <w:highlight w:val="none"/>
          <w:lang w:eastAsia="zh-CN"/>
        </w:rPr>
        <w:t>合同协议书扫描件；</w:t>
      </w:r>
      <w:r>
        <w:rPr>
          <w:rFonts w:hint="eastAsia" w:ascii="宋体" w:hAnsi="宋体" w:eastAsia="宋体" w:cs="宋体"/>
          <w:caps w:val="0"/>
          <w:color w:val="auto"/>
          <w:sz w:val="24"/>
          <w:szCs w:val="24"/>
          <w:highlight w:val="none"/>
        </w:rPr>
        <w:t>技术负责人应附身份证、职称证等扫描件，其他主要人员应附职称证（执业证或上岗证书）等扫描件</w:t>
      </w:r>
    </w:p>
    <w:tbl>
      <w:tblPr>
        <w:tblStyle w:val="23"/>
        <w:tblW w:w="87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61"/>
        <w:gridCol w:w="1162"/>
        <w:gridCol w:w="1307"/>
        <w:gridCol w:w="1889"/>
        <w:gridCol w:w="2181"/>
      </w:tblGrid>
      <w:tr w14:paraId="2A35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F740F0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姓  名</w:t>
            </w:r>
          </w:p>
        </w:tc>
        <w:tc>
          <w:tcPr>
            <w:tcW w:w="1061" w:type="dxa"/>
            <w:tcBorders>
              <w:top w:val="single" w:color="auto" w:sz="4" w:space="0"/>
              <w:left w:val="nil"/>
              <w:bottom w:val="single" w:color="auto" w:sz="4" w:space="0"/>
              <w:right w:val="single" w:color="auto" w:sz="4" w:space="0"/>
            </w:tcBorders>
            <w:noWrap w:val="0"/>
            <w:vAlign w:val="center"/>
          </w:tcPr>
          <w:p w14:paraId="50A6D13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B632C2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年  龄</w:t>
            </w:r>
          </w:p>
        </w:tc>
        <w:tc>
          <w:tcPr>
            <w:tcW w:w="1307" w:type="dxa"/>
            <w:tcBorders>
              <w:top w:val="single" w:color="auto" w:sz="4" w:space="0"/>
              <w:left w:val="nil"/>
              <w:bottom w:val="single" w:color="auto" w:sz="4" w:space="0"/>
              <w:right w:val="single" w:color="auto" w:sz="4" w:space="0"/>
            </w:tcBorders>
            <w:noWrap w:val="0"/>
            <w:vAlign w:val="center"/>
          </w:tcPr>
          <w:p w14:paraId="2AA745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9216B6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学历</w:t>
            </w:r>
          </w:p>
        </w:tc>
        <w:tc>
          <w:tcPr>
            <w:tcW w:w="2181" w:type="dxa"/>
            <w:tcBorders>
              <w:top w:val="single" w:color="auto" w:sz="4" w:space="0"/>
              <w:left w:val="nil"/>
              <w:bottom w:val="single" w:color="auto" w:sz="4" w:space="0"/>
              <w:right w:val="single" w:color="auto" w:sz="4" w:space="0"/>
            </w:tcBorders>
            <w:noWrap w:val="0"/>
            <w:vAlign w:val="center"/>
          </w:tcPr>
          <w:p w14:paraId="7F0C944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54F7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307EA2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称</w:t>
            </w:r>
          </w:p>
        </w:tc>
        <w:tc>
          <w:tcPr>
            <w:tcW w:w="1061" w:type="dxa"/>
            <w:tcBorders>
              <w:top w:val="single" w:color="auto" w:sz="4" w:space="0"/>
              <w:left w:val="nil"/>
              <w:bottom w:val="single" w:color="auto" w:sz="4" w:space="0"/>
              <w:right w:val="single" w:color="auto" w:sz="4" w:space="0"/>
            </w:tcBorders>
            <w:noWrap w:val="0"/>
            <w:vAlign w:val="center"/>
          </w:tcPr>
          <w:p w14:paraId="22C9A1B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162" w:type="dxa"/>
            <w:tcBorders>
              <w:top w:val="single" w:color="auto" w:sz="4" w:space="0"/>
              <w:left w:val="nil"/>
              <w:bottom w:val="single" w:color="auto" w:sz="4" w:space="0"/>
              <w:right w:val="single" w:color="auto" w:sz="4" w:space="0"/>
            </w:tcBorders>
            <w:noWrap w:val="0"/>
            <w:vAlign w:val="center"/>
          </w:tcPr>
          <w:p w14:paraId="4E10380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职  务</w:t>
            </w:r>
          </w:p>
        </w:tc>
        <w:tc>
          <w:tcPr>
            <w:tcW w:w="1307" w:type="dxa"/>
            <w:tcBorders>
              <w:top w:val="single" w:color="auto" w:sz="4" w:space="0"/>
              <w:left w:val="nil"/>
              <w:bottom w:val="single" w:color="auto" w:sz="4" w:space="0"/>
              <w:right w:val="single" w:color="auto" w:sz="4" w:space="0"/>
            </w:tcBorders>
            <w:noWrap w:val="0"/>
            <w:vAlign w:val="center"/>
          </w:tcPr>
          <w:p w14:paraId="4D5244A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530ADD0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拟在本工程</w:t>
            </w:r>
          </w:p>
          <w:p w14:paraId="6658979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任职</w:t>
            </w:r>
          </w:p>
        </w:tc>
        <w:tc>
          <w:tcPr>
            <w:tcW w:w="2181" w:type="dxa"/>
            <w:tcBorders>
              <w:top w:val="single" w:color="auto" w:sz="4" w:space="0"/>
              <w:left w:val="nil"/>
              <w:bottom w:val="single" w:color="auto" w:sz="4" w:space="0"/>
              <w:right w:val="single" w:color="auto" w:sz="4" w:space="0"/>
            </w:tcBorders>
            <w:noWrap w:val="0"/>
            <w:vAlign w:val="center"/>
          </w:tcPr>
          <w:p w14:paraId="09F1EBF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50A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6DFE46E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毕业  学校</w:t>
            </w:r>
          </w:p>
        </w:tc>
        <w:tc>
          <w:tcPr>
            <w:tcW w:w="7600" w:type="dxa"/>
            <w:gridSpan w:val="5"/>
            <w:tcBorders>
              <w:top w:val="single" w:color="auto" w:sz="4" w:space="0"/>
              <w:left w:val="nil"/>
              <w:bottom w:val="single" w:color="auto" w:sz="4" w:space="0"/>
              <w:right w:val="single" w:color="auto" w:sz="4" w:space="0"/>
            </w:tcBorders>
            <w:noWrap w:val="0"/>
            <w:vAlign w:val="center"/>
          </w:tcPr>
          <w:p w14:paraId="1D9055D3">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年毕业于                  学校            专业</w:t>
            </w:r>
          </w:p>
        </w:tc>
      </w:tr>
      <w:tr w14:paraId="5766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8719" w:type="dxa"/>
            <w:gridSpan w:val="6"/>
            <w:tcBorders>
              <w:top w:val="single" w:color="auto" w:sz="4" w:space="0"/>
              <w:left w:val="single" w:color="auto" w:sz="4" w:space="0"/>
              <w:bottom w:val="single" w:color="auto" w:sz="4" w:space="0"/>
              <w:right w:val="single" w:color="auto" w:sz="4" w:space="0"/>
            </w:tcBorders>
            <w:noWrap w:val="0"/>
            <w:vAlign w:val="center"/>
          </w:tcPr>
          <w:p w14:paraId="3BDFEF8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主要工作经历</w:t>
            </w:r>
          </w:p>
        </w:tc>
      </w:tr>
      <w:tr w14:paraId="6F19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7B7B140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时  间</w:t>
            </w:r>
          </w:p>
        </w:tc>
        <w:tc>
          <w:tcPr>
            <w:tcW w:w="3530" w:type="dxa"/>
            <w:gridSpan w:val="3"/>
            <w:tcBorders>
              <w:top w:val="single" w:color="auto" w:sz="4" w:space="0"/>
              <w:left w:val="nil"/>
              <w:bottom w:val="single" w:color="auto" w:sz="4" w:space="0"/>
              <w:right w:val="single" w:color="auto" w:sz="4" w:space="0"/>
            </w:tcBorders>
            <w:noWrap w:val="0"/>
            <w:vAlign w:val="center"/>
          </w:tcPr>
          <w:p w14:paraId="6AB2A97F">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参加过的类似项目 </w:t>
            </w:r>
          </w:p>
        </w:tc>
        <w:tc>
          <w:tcPr>
            <w:tcW w:w="1889" w:type="dxa"/>
            <w:tcBorders>
              <w:top w:val="single" w:color="auto" w:sz="4" w:space="0"/>
              <w:left w:val="nil"/>
              <w:bottom w:val="single" w:color="auto" w:sz="4" w:space="0"/>
              <w:right w:val="single" w:color="auto" w:sz="4" w:space="0"/>
            </w:tcBorders>
            <w:noWrap w:val="0"/>
            <w:vAlign w:val="center"/>
          </w:tcPr>
          <w:p w14:paraId="139F8B9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担任职务</w:t>
            </w:r>
          </w:p>
        </w:tc>
        <w:tc>
          <w:tcPr>
            <w:tcW w:w="2181" w:type="dxa"/>
            <w:tcBorders>
              <w:top w:val="single" w:color="auto" w:sz="4" w:space="0"/>
              <w:left w:val="nil"/>
              <w:bottom w:val="single" w:color="auto" w:sz="4" w:space="0"/>
              <w:right w:val="single" w:color="auto" w:sz="4" w:space="0"/>
            </w:tcBorders>
            <w:noWrap w:val="0"/>
            <w:vAlign w:val="center"/>
          </w:tcPr>
          <w:p w14:paraId="49EFB6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发包人及联系</w:t>
            </w:r>
          </w:p>
          <w:p w14:paraId="427F418D">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r>
              <w:rPr>
                <w:rFonts w:hint="eastAsia" w:ascii="宋体" w:hAnsi="宋体" w:eastAsia="宋体" w:cs="宋体"/>
                <w:sz w:val="24"/>
                <w:highlight w:val="none"/>
              </w:rPr>
              <w:t>电话</w:t>
            </w:r>
          </w:p>
        </w:tc>
      </w:tr>
      <w:tr w14:paraId="2D8F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E20183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64E34D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F06E6A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5C28E42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2ECB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550AD1D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B7BC23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13C61A4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41845B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729C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77104B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70DA720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6C434D8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D433C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19B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42967D8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2514D25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3D9B671E">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09FE63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08D06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24A007B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43894CC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ABD96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2523A3A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r w14:paraId="3B97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1119" w:type="dxa"/>
            <w:tcBorders>
              <w:top w:val="single" w:color="auto" w:sz="4" w:space="0"/>
              <w:left w:val="single" w:color="auto" w:sz="4" w:space="0"/>
              <w:bottom w:val="single" w:color="auto" w:sz="4" w:space="0"/>
              <w:right w:val="single" w:color="auto" w:sz="4" w:space="0"/>
            </w:tcBorders>
            <w:noWrap w:val="0"/>
            <w:vAlign w:val="center"/>
          </w:tcPr>
          <w:p w14:paraId="02ADC4A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3530" w:type="dxa"/>
            <w:gridSpan w:val="3"/>
            <w:tcBorders>
              <w:top w:val="single" w:color="auto" w:sz="4" w:space="0"/>
              <w:left w:val="nil"/>
              <w:bottom w:val="single" w:color="auto" w:sz="4" w:space="0"/>
              <w:right w:val="single" w:color="auto" w:sz="4" w:space="0"/>
            </w:tcBorders>
            <w:noWrap w:val="0"/>
            <w:vAlign w:val="center"/>
          </w:tcPr>
          <w:p w14:paraId="3F0E41A3">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1889" w:type="dxa"/>
            <w:tcBorders>
              <w:top w:val="single" w:color="auto" w:sz="4" w:space="0"/>
              <w:left w:val="nil"/>
              <w:bottom w:val="single" w:color="auto" w:sz="4" w:space="0"/>
              <w:right w:val="single" w:color="auto" w:sz="4" w:space="0"/>
            </w:tcBorders>
            <w:noWrap w:val="0"/>
            <w:vAlign w:val="center"/>
          </w:tcPr>
          <w:p w14:paraId="02579B5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c>
          <w:tcPr>
            <w:tcW w:w="2181" w:type="dxa"/>
            <w:tcBorders>
              <w:top w:val="single" w:color="auto" w:sz="4" w:space="0"/>
              <w:left w:val="nil"/>
              <w:bottom w:val="single" w:color="auto" w:sz="4" w:space="0"/>
              <w:right w:val="single" w:color="auto" w:sz="4" w:space="0"/>
            </w:tcBorders>
            <w:noWrap w:val="0"/>
            <w:vAlign w:val="center"/>
          </w:tcPr>
          <w:p w14:paraId="13CC11D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rPr>
                <w:rFonts w:hint="eastAsia" w:ascii="宋体" w:hAnsi="宋体" w:eastAsia="宋体" w:cs="宋体"/>
                <w:sz w:val="24"/>
                <w:highlight w:val="none"/>
              </w:rPr>
            </w:pPr>
          </w:p>
        </w:tc>
      </w:tr>
    </w:tbl>
    <w:p w14:paraId="5FBF8495">
      <w:pPr>
        <w:pageBreakBefore w:val="0"/>
        <w:kinsoku/>
        <w:overflowPunct/>
        <w:topLinePunct w:val="0"/>
        <w:bidi w:val="0"/>
        <w:adjustRightInd w:val="0"/>
        <w:snapToGrid w:val="0"/>
        <w:spacing w:beforeAutospacing="0" w:afterAutospacing="0" w:line="360" w:lineRule="auto"/>
        <w:ind w:left="0" w:leftChars="0" w:right="0" w:rightChars="0" w:firstLine="0" w:firstLineChars="0"/>
        <w:textAlignment w:val="center"/>
        <w:rPr>
          <w:rFonts w:hint="eastAsia" w:ascii="宋体" w:hAnsi="宋体" w:eastAsia="宋体" w:cs="宋体"/>
          <w:sz w:val="24"/>
          <w:highlight w:val="none"/>
        </w:rPr>
      </w:pPr>
      <w:r>
        <w:rPr>
          <w:rFonts w:hint="eastAsia" w:ascii="宋体" w:hAnsi="宋体" w:eastAsia="宋体" w:cs="宋体"/>
          <w:sz w:val="24"/>
          <w:highlight w:val="none"/>
        </w:rPr>
        <w:t xml:space="preserve"> </w:t>
      </w:r>
    </w:p>
    <w:p w14:paraId="4CC899CC">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bookmarkStart w:id="1104" w:name="_Toc13861"/>
      <w:bookmarkStart w:id="1105" w:name="_Toc19060"/>
      <w:bookmarkStart w:id="1106" w:name="_Toc14764"/>
      <w:bookmarkStart w:id="1107" w:name="_Toc17594"/>
    </w:p>
    <w:p w14:paraId="680F3DB2">
      <w:pPr>
        <w:pStyle w:val="37"/>
        <w:pageBreakBefore w:val="0"/>
        <w:kinsoku/>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highlight w:val="none"/>
          <w:lang w:eastAsia="zh-CN"/>
        </w:rPr>
      </w:pPr>
    </w:p>
    <w:p w14:paraId="77CA358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kern w:val="2"/>
          <w:sz w:val="36"/>
          <w:highlight w:val="none"/>
        </w:rPr>
      </w:pPr>
      <w:r>
        <w:rPr>
          <w:rFonts w:hint="eastAsia" w:ascii="宋体" w:hAnsi="宋体" w:eastAsia="宋体" w:cs="宋体"/>
          <w:kern w:val="2"/>
          <w:sz w:val="36"/>
          <w:highlight w:val="none"/>
        </w:rPr>
        <w:t>无在建承诺书</w:t>
      </w:r>
    </w:p>
    <w:p w14:paraId="41CB4DA1">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r>
        <w:rPr>
          <w:rFonts w:hint="eastAsia" w:ascii="宋体" w:hAnsi="宋体" w:eastAsia="宋体" w:cs="宋体"/>
          <w:kern w:val="2"/>
          <w:position w:val="-7"/>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eastAsia="zh-CN"/>
        </w:rPr>
        <w:t>招标人</w:t>
      </w:r>
      <w:r>
        <w:rPr>
          <w:rFonts w:hint="eastAsia" w:ascii="宋体" w:hAnsi="宋体" w:eastAsia="宋体" w:cs="宋体"/>
          <w:kern w:val="2"/>
          <w:sz w:val="24"/>
          <w:highlight w:val="none"/>
        </w:rPr>
        <w:t>名称）：</w:t>
      </w:r>
    </w:p>
    <w:p w14:paraId="3FBCBB73">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我方在此声明，我方拟派往</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（项目名称）（以下简称“本工程”）的项目经理</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（项目经理姓名）现阶段没有担任任何在施建设工程项目的项目经理。</w:t>
      </w:r>
    </w:p>
    <w:p w14:paraId="38D3B098">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我方保证上述信息的真实和准确，并愿意承担因我方就此弄虚作假所引起的一切法律后果。</w:t>
      </w:r>
    </w:p>
    <w:p w14:paraId="67924B2B">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4A691F7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27535D71">
      <w:pPr>
        <w:pageBreakBefore w:val="0"/>
        <w:widowControl w:val="0"/>
        <w:kinsoku/>
        <w:overflowPunct/>
        <w:topLinePunct w:val="0"/>
        <w:bidi w:val="0"/>
        <w:adjustRightInd w:val="0"/>
        <w:snapToGrid w:val="0"/>
        <w:spacing w:beforeAutospacing="0" w:afterAutospacing="0" w:line="360" w:lineRule="auto"/>
        <w:ind w:left="0" w:leftChars="0" w:right="0" w:rightChars="0" w:firstLine="480" w:firstLineChars="200"/>
        <w:jc w:val="both"/>
        <w:rPr>
          <w:rFonts w:hint="eastAsia" w:ascii="宋体" w:hAnsi="宋体" w:eastAsia="宋体" w:cs="宋体"/>
          <w:kern w:val="2"/>
          <w:sz w:val="24"/>
          <w:highlight w:val="none"/>
        </w:rPr>
      </w:pPr>
      <w:r>
        <w:rPr>
          <w:rFonts w:hint="eastAsia" w:ascii="宋体" w:hAnsi="宋体" w:eastAsia="宋体" w:cs="宋体"/>
          <w:kern w:val="2"/>
          <w:sz w:val="24"/>
          <w:highlight w:val="none"/>
        </w:rPr>
        <w:t>特此承诺</w:t>
      </w:r>
    </w:p>
    <w:p w14:paraId="39AB613D">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5795CCFE">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both"/>
        <w:rPr>
          <w:rFonts w:hint="eastAsia" w:ascii="宋体" w:hAnsi="宋体" w:eastAsia="宋体" w:cs="宋体"/>
          <w:kern w:val="2"/>
          <w:sz w:val="24"/>
          <w:highlight w:val="none"/>
        </w:rPr>
      </w:pPr>
    </w:p>
    <w:p w14:paraId="7FAA12B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4859D685">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lang w:eastAsia="zh-CN"/>
        </w:rPr>
        <w:t>投标人</w:t>
      </w:r>
      <w:r>
        <w:rPr>
          <w:rFonts w:hint="eastAsia" w:ascii="宋体" w:hAnsi="宋体" w:eastAsia="宋体" w:cs="宋体"/>
          <w:kern w:val="2"/>
          <w:sz w:val="24"/>
          <w:highlight w:val="none"/>
        </w:rPr>
        <w:t>：</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（盖章）</w:t>
      </w:r>
    </w:p>
    <w:p w14:paraId="7C8C275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r>
        <w:rPr>
          <w:rFonts w:hint="eastAsia" w:ascii="宋体" w:hAnsi="宋体" w:eastAsia="宋体" w:cs="宋体"/>
          <w:kern w:val="2"/>
          <w:sz w:val="24"/>
          <w:highlight w:val="none"/>
        </w:rPr>
        <w:t>法定代表人：</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w:t>
      </w:r>
      <w:r>
        <w:rPr>
          <w:rFonts w:hint="eastAsia" w:ascii="宋体" w:hAnsi="宋体" w:eastAsia="宋体" w:cs="宋体"/>
          <w:kern w:val="2"/>
          <w:sz w:val="24"/>
          <w:highlight w:val="none"/>
          <w:lang w:val="en-US" w:eastAsia="zh-CN"/>
        </w:rPr>
        <w:t>电子签章</w:t>
      </w:r>
      <w:r>
        <w:rPr>
          <w:rFonts w:hint="eastAsia" w:ascii="宋体" w:hAnsi="宋体" w:eastAsia="宋体" w:cs="宋体"/>
          <w:kern w:val="2"/>
          <w:sz w:val="24"/>
          <w:highlight w:val="none"/>
        </w:rPr>
        <w:t>）</w:t>
      </w:r>
    </w:p>
    <w:p w14:paraId="3DA3024F">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pPr>
    </w:p>
    <w:p w14:paraId="4CB43548">
      <w:pPr>
        <w:pageBreakBefore w:val="0"/>
        <w:widowControl w:val="0"/>
        <w:kinsoku/>
        <w:overflowPunct/>
        <w:topLinePunct w:val="0"/>
        <w:bidi w:val="0"/>
        <w:adjustRightInd w:val="0"/>
        <w:snapToGrid w:val="0"/>
        <w:spacing w:beforeAutospacing="0" w:afterAutospacing="0" w:line="360" w:lineRule="auto"/>
        <w:ind w:left="0" w:leftChars="0" w:right="0" w:rightChars="0" w:firstLine="0" w:firstLineChars="0"/>
        <w:jc w:val="right"/>
        <w:rPr>
          <w:rFonts w:hint="eastAsia" w:ascii="宋体" w:hAnsi="宋体" w:eastAsia="宋体" w:cs="宋体"/>
          <w:kern w:val="2"/>
          <w:sz w:val="24"/>
          <w:highlight w:val="none"/>
        </w:rPr>
        <w:sectPr>
          <w:footerReference r:id="rId5"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年</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月</w:t>
      </w:r>
      <w:r>
        <w:rPr>
          <w:rFonts w:hint="eastAsia" w:ascii="宋体" w:hAnsi="宋体" w:eastAsia="宋体" w:cs="宋体"/>
          <w:kern w:val="2"/>
          <w:sz w:val="24"/>
          <w:highlight w:val="none"/>
          <w:u w:val="single"/>
        </w:rPr>
        <w:t xml:space="preserve">        </w:t>
      </w:r>
      <w:r>
        <w:rPr>
          <w:rFonts w:hint="eastAsia" w:ascii="宋体" w:hAnsi="宋体" w:eastAsia="宋体" w:cs="宋体"/>
          <w:kern w:val="2"/>
          <w:sz w:val="24"/>
          <w:highlight w:val="none"/>
        </w:rPr>
        <w:t>日</w:t>
      </w:r>
    </w:p>
    <w:p w14:paraId="2F807E1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r>
        <w:rPr>
          <w:rFonts w:hint="eastAsia" w:ascii="宋体" w:hAnsi="宋体" w:eastAsia="宋体" w:cs="宋体"/>
          <w:b/>
          <w:bCs/>
          <w:sz w:val="30"/>
          <w:szCs w:val="30"/>
          <w:highlight w:val="none"/>
          <w:lang w:val="en-US" w:eastAsia="zh-CN"/>
        </w:rPr>
        <w:t>七</w:t>
      </w:r>
      <w:r>
        <w:rPr>
          <w:rFonts w:hint="eastAsia" w:ascii="宋体" w:hAnsi="宋体" w:eastAsia="宋体" w:cs="宋体"/>
          <w:b/>
          <w:bCs/>
          <w:sz w:val="30"/>
          <w:szCs w:val="30"/>
          <w:highlight w:val="none"/>
        </w:rPr>
        <w:t>、资格审查资料</w:t>
      </w:r>
      <w:bookmarkEnd w:id="1104"/>
      <w:bookmarkEnd w:id="1105"/>
      <w:bookmarkEnd w:id="1106"/>
      <w:bookmarkEnd w:id="1107"/>
    </w:p>
    <w:p w14:paraId="1B256E89">
      <w:pPr>
        <w:pStyle w:val="21"/>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center"/>
        <w:rPr>
          <w:rFonts w:hint="eastAsia" w:ascii="宋体" w:hAnsi="宋体" w:eastAsia="宋体" w:cs="宋体"/>
          <w:caps w:val="0"/>
          <w:color w:val="auto"/>
          <w:highlight w:val="none"/>
          <w:lang w:val="en-US" w:eastAsia="zh-CN"/>
        </w:rPr>
      </w:pPr>
      <w:r>
        <w:rPr>
          <w:rFonts w:hint="eastAsia" w:ascii="宋体" w:hAnsi="宋体" w:eastAsia="宋体" w:cs="宋体"/>
          <w:b/>
          <w:bCs/>
          <w:caps w:val="0"/>
          <w:snapToGrid w:val="0"/>
          <w:color w:val="auto"/>
          <w:kern w:val="0"/>
          <w:sz w:val="32"/>
          <w:szCs w:val="32"/>
          <w:highlight w:val="none"/>
          <w:lang w:eastAsia="zh-CN"/>
        </w:rPr>
        <w:t>（</w:t>
      </w:r>
      <w:r>
        <w:rPr>
          <w:rFonts w:hint="eastAsia" w:ascii="宋体" w:hAnsi="宋体" w:eastAsia="宋体" w:cs="宋体"/>
          <w:b/>
          <w:bCs/>
          <w:caps w:val="0"/>
          <w:snapToGrid w:val="0"/>
          <w:color w:val="auto"/>
          <w:kern w:val="0"/>
          <w:sz w:val="32"/>
          <w:szCs w:val="32"/>
          <w:highlight w:val="none"/>
          <w:lang w:val="en-US" w:eastAsia="zh-CN"/>
        </w:rPr>
        <w:t>一）投标人基本情况表</w:t>
      </w:r>
    </w:p>
    <w:tbl>
      <w:tblPr>
        <w:tblStyle w:val="23"/>
        <w:tblW w:w="0" w:type="auto"/>
        <w:jc w:val="center"/>
        <w:tblLayout w:type="fixed"/>
        <w:tblCellMar>
          <w:top w:w="0" w:type="dxa"/>
          <w:left w:w="108" w:type="dxa"/>
          <w:bottom w:w="0" w:type="dxa"/>
          <w:right w:w="108" w:type="dxa"/>
        </w:tblCellMar>
      </w:tblPr>
      <w:tblGrid>
        <w:gridCol w:w="1596"/>
        <w:gridCol w:w="993"/>
        <w:gridCol w:w="886"/>
        <w:gridCol w:w="1243"/>
        <w:gridCol w:w="1418"/>
        <w:gridCol w:w="929"/>
        <w:gridCol w:w="1334"/>
      </w:tblGrid>
      <w:tr w14:paraId="0CBBAA12">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49482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投标人</w:t>
            </w:r>
          </w:p>
          <w:p w14:paraId="30E689C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名称</w:t>
            </w:r>
          </w:p>
        </w:tc>
        <w:tc>
          <w:tcPr>
            <w:tcW w:w="6803" w:type="dxa"/>
            <w:gridSpan w:val="6"/>
            <w:tcBorders>
              <w:top w:val="single" w:color="auto" w:sz="4" w:space="0"/>
              <w:left w:val="nil"/>
              <w:bottom w:val="single" w:color="auto" w:sz="4" w:space="0"/>
              <w:right w:val="single" w:color="auto" w:sz="4" w:space="0"/>
            </w:tcBorders>
            <w:noWrap w:val="0"/>
            <w:vAlign w:val="center"/>
          </w:tcPr>
          <w:p w14:paraId="0ED1C8A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278DF4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0B25FF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注册地址</w:t>
            </w:r>
          </w:p>
        </w:tc>
        <w:tc>
          <w:tcPr>
            <w:tcW w:w="3122" w:type="dxa"/>
            <w:gridSpan w:val="3"/>
            <w:tcBorders>
              <w:top w:val="single" w:color="auto" w:sz="4" w:space="0"/>
              <w:left w:val="nil"/>
              <w:bottom w:val="single" w:color="auto" w:sz="4" w:space="0"/>
              <w:right w:val="single" w:color="auto" w:sz="4" w:space="0"/>
            </w:tcBorders>
            <w:noWrap w:val="0"/>
            <w:vAlign w:val="center"/>
          </w:tcPr>
          <w:p w14:paraId="292B5912">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6EF5A6A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邮政编码</w:t>
            </w:r>
          </w:p>
        </w:tc>
        <w:tc>
          <w:tcPr>
            <w:tcW w:w="2263" w:type="dxa"/>
            <w:gridSpan w:val="2"/>
            <w:tcBorders>
              <w:top w:val="single" w:color="auto" w:sz="4" w:space="0"/>
              <w:left w:val="nil"/>
              <w:bottom w:val="single" w:color="auto" w:sz="4" w:space="0"/>
              <w:right w:val="single" w:color="auto" w:sz="4" w:space="0"/>
            </w:tcBorders>
            <w:noWrap w:val="0"/>
            <w:vAlign w:val="center"/>
          </w:tcPr>
          <w:p w14:paraId="637ABE2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82CDBB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717C6E2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联系方式</w:t>
            </w:r>
          </w:p>
        </w:tc>
        <w:tc>
          <w:tcPr>
            <w:tcW w:w="993" w:type="dxa"/>
            <w:tcBorders>
              <w:top w:val="single" w:color="auto" w:sz="4" w:space="0"/>
              <w:left w:val="nil"/>
              <w:bottom w:val="single" w:color="auto" w:sz="4" w:space="0"/>
              <w:right w:val="single" w:color="auto" w:sz="4" w:space="0"/>
            </w:tcBorders>
            <w:noWrap w:val="0"/>
            <w:vAlign w:val="center"/>
          </w:tcPr>
          <w:p w14:paraId="445D59B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联系人</w:t>
            </w:r>
          </w:p>
        </w:tc>
        <w:tc>
          <w:tcPr>
            <w:tcW w:w="2129" w:type="dxa"/>
            <w:gridSpan w:val="2"/>
            <w:tcBorders>
              <w:top w:val="single" w:color="auto" w:sz="4" w:space="0"/>
              <w:left w:val="nil"/>
              <w:bottom w:val="single" w:color="auto" w:sz="4" w:space="0"/>
              <w:right w:val="single" w:color="auto" w:sz="4" w:space="0"/>
            </w:tcBorders>
            <w:noWrap w:val="0"/>
            <w:vAlign w:val="center"/>
          </w:tcPr>
          <w:p w14:paraId="6ADA2E9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418" w:type="dxa"/>
            <w:tcBorders>
              <w:top w:val="single" w:color="auto" w:sz="4" w:space="0"/>
              <w:left w:val="nil"/>
              <w:bottom w:val="single" w:color="auto" w:sz="4" w:space="0"/>
              <w:right w:val="single" w:color="auto" w:sz="4" w:space="0"/>
            </w:tcBorders>
            <w:noWrap w:val="0"/>
            <w:vAlign w:val="center"/>
          </w:tcPr>
          <w:p w14:paraId="3EDB01B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2263" w:type="dxa"/>
            <w:gridSpan w:val="2"/>
            <w:tcBorders>
              <w:top w:val="single" w:color="auto" w:sz="4" w:space="0"/>
              <w:left w:val="nil"/>
              <w:bottom w:val="single" w:color="auto" w:sz="4" w:space="0"/>
              <w:right w:val="single" w:color="auto" w:sz="4" w:space="0"/>
            </w:tcBorders>
            <w:noWrap w:val="0"/>
            <w:vAlign w:val="center"/>
          </w:tcPr>
          <w:p w14:paraId="6F04704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31744D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C1DF79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法定代表人</w:t>
            </w:r>
          </w:p>
        </w:tc>
        <w:tc>
          <w:tcPr>
            <w:tcW w:w="993" w:type="dxa"/>
            <w:tcBorders>
              <w:top w:val="single" w:color="auto" w:sz="4" w:space="0"/>
              <w:left w:val="nil"/>
              <w:bottom w:val="single" w:color="auto" w:sz="4" w:space="0"/>
              <w:right w:val="single" w:color="auto" w:sz="4" w:space="0"/>
            </w:tcBorders>
            <w:noWrap w:val="0"/>
            <w:vAlign w:val="center"/>
          </w:tcPr>
          <w:p w14:paraId="09AF998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姓名</w:t>
            </w:r>
          </w:p>
        </w:tc>
        <w:tc>
          <w:tcPr>
            <w:tcW w:w="886" w:type="dxa"/>
            <w:tcBorders>
              <w:top w:val="single" w:color="auto" w:sz="4" w:space="0"/>
              <w:left w:val="nil"/>
              <w:bottom w:val="single" w:color="auto" w:sz="4" w:space="0"/>
              <w:right w:val="single" w:color="auto" w:sz="4" w:space="0"/>
            </w:tcBorders>
            <w:noWrap w:val="0"/>
            <w:vAlign w:val="center"/>
          </w:tcPr>
          <w:p w14:paraId="74FAE65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1243" w:type="dxa"/>
            <w:tcBorders>
              <w:top w:val="single" w:color="auto" w:sz="4" w:space="0"/>
              <w:left w:val="nil"/>
              <w:bottom w:val="single" w:color="auto" w:sz="4" w:space="0"/>
              <w:right w:val="single" w:color="auto" w:sz="4" w:space="0"/>
            </w:tcBorders>
            <w:noWrap w:val="0"/>
            <w:vAlign w:val="center"/>
          </w:tcPr>
          <w:p w14:paraId="4BD15A0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技术职称</w:t>
            </w:r>
          </w:p>
        </w:tc>
        <w:tc>
          <w:tcPr>
            <w:tcW w:w="1418" w:type="dxa"/>
            <w:tcBorders>
              <w:top w:val="single" w:color="auto" w:sz="4" w:space="0"/>
              <w:left w:val="nil"/>
              <w:bottom w:val="single" w:color="auto" w:sz="4" w:space="0"/>
              <w:right w:val="single" w:color="auto" w:sz="4" w:space="0"/>
            </w:tcBorders>
            <w:noWrap w:val="0"/>
            <w:vAlign w:val="center"/>
          </w:tcPr>
          <w:p w14:paraId="5D9619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c>
          <w:tcPr>
            <w:tcW w:w="929" w:type="dxa"/>
            <w:tcBorders>
              <w:top w:val="single" w:color="auto" w:sz="4" w:space="0"/>
              <w:left w:val="nil"/>
              <w:bottom w:val="single" w:color="auto" w:sz="4" w:space="0"/>
              <w:right w:val="single" w:color="auto" w:sz="4" w:space="0"/>
            </w:tcBorders>
            <w:noWrap w:val="0"/>
            <w:vAlign w:val="center"/>
          </w:tcPr>
          <w:p w14:paraId="03C2B1C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电话</w:t>
            </w:r>
          </w:p>
        </w:tc>
        <w:tc>
          <w:tcPr>
            <w:tcW w:w="1334" w:type="dxa"/>
            <w:tcBorders>
              <w:top w:val="single" w:color="auto" w:sz="4" w:space="0"/>
              <w:left w:val="nil"/>
              <w:bottom w:val="single" w:color="auto" w:sz="4" w:space="0"/>
              <w:right w:val="single" w:color="auto" w:sz="4" w:space="0"/>
            </w:tcBorders>
            <w:noWrap w:val="0"/>
            <w:vAlign w:val="center"/>
          </w:tcPr>
          <w:p w14:paraId="39A6D98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3EB33CA8">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74F17B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成立时间</w:t>
            </w:r>
          </w:p>
        </w:tc>
        <w:tc>
          <w:tcPr>
            <w:tcW w:w="6803" w:type="dxa"/>
            <w:gridSpan w:val="6"/>
            <w:tcBorders>
              <w:top w:val="single" w:color="auto" w:sz="4" w:space="0"/>
              <w:left w:val="nil"/>
              <w:bottom w:val="single" w:color="auto" w:sz="4" w:space="0"/>
              <w:right w:val="single" w:color="auto" w:sz="4" w:space="0"/>
            </w:tcBorders>
            <w:noWrap w:val="0"/>
            <w:vAlign w:val="center"/>
          </w:tcPr>
          <w:p w14:paraId="650617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7D8171">
        <w:tblPrEx>
          <w:tblCellMar>
            <w:top w:w="0" w:type="dxa"/>
            <w:left w:w="108" w:type="dxa"/>
            <w:bottom w:w="0" w:type="dxa"/>
            <w:right w:w="108" w:type="dxa"/>
          </w:tblCellMar>
        </w:tblPrEx>
        <w:trPr>
          <w:trHeight w:val="100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ECD2D3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企业资质等级</w:t>
            </w:r>
          </w:p>
        </w:tc>
        <w:tc>
          <w:tcPr>
            <w:tcW w:w="6803" w:type="dxa"/>
            <w:gridSpan w:val="6"/>
            <w:tcBorders>
              <w:top w:val="single" w:color="auto" w:sz="4" w:space="0"/>
              <w:left w:val="nil"/>
              <w:bottom w:val="single" w:color="auto" w:sz="4" w:space="0"/>
              <w:right w:val="single" w:color="auto" w:sz="4" w:space="0"/>
            </w:tcBorders>
            <w:noWrap w:val="0"/>
            <w:vAlign w:val="center"/>
          </w:tcPr>
          <w:p w14:paraId="6758683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B5E418C">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6480A1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营业执照号</w:t>
            </w:r>
          </w:p>
        </w:tc>
        <w:tc>
          <w:tcPr>
            <w:tcW w:w="6803" w:type="dxa"/>
            <w:gridSpan w:val="6"/>
            <w:tcBorders>
              <w:top w:val="single" w:color="auto" w:sz="4" w:space="0"/>
              <w:left w:val="nil"/>
              <w:bottom w:val="single" w:color="auto" w:sz="4" w:space="0"/>
              <w:right w:val="single" w:color="auto" w:sz="4" w:space="0"/>
            </w:tcBorders>
            <w:noWrap w:val="0"/>
            <w:vAlign w:val="center"/>
          </w:tcPr>
          <w:p w14:paraId="521EF09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4E943C3F">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29DE4C3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注册资金</w:t>
            </w:r>
          </w:p>
        </w:tc>
        <w:tc>
          <w:tcPr>
            <w:tcW w:w="6803" w:type="dxa"/>
            <w:gridSpan w:val="6"/>
            <w:tcBorders>
              <w:top w:val="single" w:color="auto" w:sz="4" w:space="0"/>
              <w:left w:val="nil"/>
              <w:bottom w:val="single" w:color="auto" w:sz="4" w:space="0"/>
              <w:right w:val="single" w:color="auto" w:sz="4" w:space="0"/>
            </w:tcBorders>
            <w:noWrap w:val="0"/>
            <w:vAlign w:val="center"/>
          </w:tcPr>
          <w:p w14:paraId="2A5F9F8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79C92AF0">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552077E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开户银行</w:t>
            </w:r>
          </w:p>
        </w:tc>
        <w:tc>
          <w:tcPr>
            <w:tcW w:w="6803" w:type="dxa"/>
            <w:gridSpan w:val="6"/>
            <w:tcBorders>
              <w:top w:val="single" w:color="auto" w:sz="4" w:space="0"/>
              <w:left w:val="nil"/>
              <w:bottom w:val="single" w:color="auto" w:sz="4" w:space="0"/>
              <w:right w:val="single" w:color="auto" w:sz="4" w:space="0"/>
            </w:tcBorders>
            <w:noWrap w:val="0"/>
            <w:vAlign w:val="center"/>
          </w:tcPr>
          <w:p w14:paraId="229AC2C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847BF53">
        <w:tblPrEx>
          <w:tblCellMar>
            <w:top w:w="0" w:type="dxa"/>
            <w:left w:w="108" w:type="dxa"/>
            <w:bottom w:w="0" w:type="dxa"/>
            <w:right w:w="108" w:type="dxa"/>
          </w:tblCellMar>
        </w:tblPrEx>
        <w:trPr>
          <w:trHeight w:val="51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65EBA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账号</w:t>
            </w:r>
          </w:p>
        </w:tc>
        <w:tc>
          <w:tcPr>
            <w:tcW w:w="6803" w:type="dxa"/>
            <w:gridSpan w:val="6"/>
            <w:tcBorders>
              <w:top w:val="single" w:color="auto" w:sz="4" w:space="0"/>
              <w:left w:val="nil"/>
              <w:bottom w:val="single" w:color="auto" w:sz="4" w:space="0"/>
              <w:right w:val="single" w:color="auto" w:sz="4" w:space="0"/>
            </w:tcBorders>
            <w:noWrap w:val="0"/>
            <w:vAlign w:val="center"/>
          </w:tcPr>
          <w:p w14:paraId="4837C0C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176324FE">
        <w:tblPrEx>
          <w:tblCellMar>
            <w:top w:w="0" w:type="dxa"/>
            <w:left w:w="108" w:type="dxa"/>
            <w:bottom w:w="0" w:type="dxa"/>
            <w:right w:w="108" w:type="dxa"/>
          </w:tblCellMar>
        </w:tblPrEx>
        <w:trPr>
          <w:trHeight w:val="3466"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43DC163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r>
              <w:rPr>
                <w:rFonts w:hint="eastAsia" w:ascii="宋体" w:hAnsi="宋体" w:eastAsia="宋体" w:cs="宋体"/>
                <w:caps w:val="0"/>
                <w:snapToGrid w:val="0"/>
                <w:color w:val="auto"/>
                <w:kern w:val="0"/>
                <w:sz w:val="24"/>
                <w:szCs w:val="24"/>
                <w:highlight w:val="none"/>
              </w:rPr>
              <w:t>经营范围</w:t>
            </w:r>
          </w:p>
        </w:tc>
        <w:tc>
          <w:tcPr>
            <w:tcW w:w="6803" w:type="dxa"/>
            <w:gridSpan w:val="6"/>
            <w:tcBorders>
              <w:top w:val="single" w:color="auto" w:sz="4" w:space="0"/>
              <w:left w:val="nil"/>
              <w:bottom w:val="single" w:color="auto" w:sz="4" w:space="0"/>
              <w:right w:val="single" w:color="auto" w:sz="4" w:space="0"/>
            </w:tcBorders>
            <w:noWrap w:val="0"/>
            <w:vAlign w:val="center"/>
          </w:tcPr>
          <w:p w14:paraId="0394E57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snapToGrid w:val="0"/>
                <w:color w:val="auto"/>
                <w:kern w:val="0"/>
                <w:sz w:val="24"/>
                <w:szCs w:val="24"/>
                <w:highlight w:val="none"/>
              </w:rPr>
            </w:pPr>
          </w:p>
        </w:tc>
      </w:tr>
      <w:tr w14:paraId="0A6D6744">
        <w:tblPrEx>
          <w:tblCellMar>
            <w:top w:w="0" w:type="dxa"/>
            <w:left w:w="108" w:type="dxa"/>
            <w:bottom w:w="0" w:type="dxa"/>
            <w:right w:w="108" w:type="dxa"/>
          </w:tblCellMar>
        </w:tblPrEx>
        <w:trPr>
          <w:trHeight w:val="545" w:hRule="atLeast"/>
          <w:jc w:val="center"/>
        </w:trPr>
        <w:tc>
          <w:tcPr>
            <w:tcW w:w="1596" w:type="dxa"/>
            <w:tcBorders>
              <w:top w:val="single" w:color="auto" w:sz="4" w:space="0"/>
              <w:left w:val="single" w:color="auto" w:sz="4" w:space="0"/>
              <w:bottom w:val="single" w:color="auto" w:sz="4" w:space="0"/>
              <w:right w:val="single" w:color="auto" w:sz="4" w:space="0"/>
            </w:tcBorders>
            <w:noWrap w:val="0"/>
            <w:vAlign w:val="center"/>
          </w:tcPr>
          <w:p w14:paraId="318E0A3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r>
              <w:rPr>
                <w:rFonts w:hint="eastAsia" w:ascii="宋体" w:hAnsi="宋体" w:eastAsia="宋体" w:cs="宋体"/>
                <w:b w:val="0"/>
                <w:bCs w:val="0"/>
                <w:caps w:val="0"/>
                <w:snapToGrid w:val="0"/>
                <w:color w:val="auto"/>
                <w:kern w:val="0"/>
                <w:sz w:val="24"/>
                <w:szCs w:val="24"/>
                <w:highlight w:val="none"/>
              </w:rPr>
              <w:t>备注</w:t>
            </w:r>
          </w:p>
        </w:tc>
        <w:tc>
          <w:tcPr>
            <w:tcW w:w="6803" w:type="dxa"/>
            <w:gridSpan w:val="6"/>
            <w:tcBorders>
              <w:top w:val="single" w:color="auto" w:sz="4" w:space="0"/>
              <w:left w:val="nil"/>
              <w:bottom w:val="single" w:color="auto" w:sz="4" w:space="0"/>
              <w:right w:val="single" w:color="auto" w:sz="4" w:space="0"/>
            </w:tcBorders>
            <w:noWrap w:val="0"/>
            <w:vAlign w:val="center"/>
          </w:tcPr>
          <w:p w14:paraId="611997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b w:val="0"/>
                <w:bCs w:val="0"/>
                <w:caps w:val="0"/>
                <w:snapToGrid w:val="0"/>
                <w:color w:val="auto"/>
                <w:kern w:val="0"/>
                <w:sz w:val="24"/>
                <w:szCs w:val="24"/>
                <w:highlight w:val="none"/>
              </w:rPr>
            </w:pPr>
          </w:p>
        </w:tc>
      </w:tr>
    </w:tbl>
    <w:p w14:paraId="01112832">
      <w:pPr>
        <w:pageBreakBefore w:val="0"/>
        <w:kinsoku/>
        <w:wordWrap/>
        <w:overflowPunct/>
        <w:topLinePunct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b w:val="0"/>
          <w:bCs w:val="0"/>
          <w:caps w:val="0"/>
          <w:snapToGrid w:val="0"/>
          <w:color w:val="auto"/>
          <w:sz w:val="24"/>
          <w:szCs w:val="24"/>
          <w:highlight w:val="none"/>
        </w:rPr>
      </w:pPr>
    </w:p>
    <w:p w14:paraId="5BD9AE77">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eastAsia="zh-CN"/>
        </w:rPr>
        <w:t>注：</w:t>
      </w:r>
      <w:r>
        <w:rPr>
          <w:rFonts w:hint="eastAsia" w:ascii="宋体" w:hAnsi="宋体" w:eastAsia="宋体" w:cs="宋体"/>
          <w:b/>
          <w:bCs/>
          <w:caps w:val="0"/>
          <w:color w:val="auto"/>
          <w:kern w:val="0"/>
          <w:sz w:val="24"/>
          <w:szCs w:val="24"/>
          <w:highlight w:val="none"/>
          <w:lang w:val="en-US" w:eastAsia="zh-CN" w:bidi="en-US"/>
        </w:rPr>
        <w:t>附</w:t>
      </w:r>
      <w:r>
        <w:rPr>
          <w:rFonts w:hint="eastAsia" w:ascii="宋体" w:hAnsi="宋体" w:eastAsia="宋体" w:cs="宋体"/>
          <w:b/>
          <w:bCs/>
          <w:caps w:val="0"/>
          <w:snapToGrid w:val="0"/>
          <w:color w:val="auto"/>
          <w:sz w:val="24"/>
          <w:szCs w:val="24"/>
          <w:highlight w:val="none"/>
        </w:rPr>
        <w:t>营业执照</w:t>
      </w:r>
      <w:r>
        <w:rPr>
          <w:rFonts w:hint="eastAsia" w:ascii="宋体" w:hAnsi="宋体" w:eastAsia="宋体" w:cs="宋体"/>
          <w:b/>
          <w:bCs/>
          <w:caps w:val="0"/>
          <w:snapToGrid w:val="0"/>
          <w:color w:val="auto"/>
          <w:sz w:val="24"/>
          <w:szCs w:val="24"/>
          <w:highlight w:val="none"/>
          <w:lang w:eastAsia="zh-CN"/>
        </w:rPr>
        <w:t>、</w:t>
      </w:r>
      <w:r>
        <w:rPr>
          <w:rFonts w:hint="eastAsia" w:ascii="宋体" w:hAnsi="宋体" w:eastAsia="宋体" w:cs="宋体"/>
          <w:b/>
          <w:bCs/>
          <w:caps w:val="0"/>
          <w:snapToGrid w:val="0"/>
          <w:color w:val="auto"/>
          <w:sz w:val="24"/>
          <w:szCs w:val="24"/>
          <w:highlight w:val="none"/>
        </w:rPr>
        <w:t>企业资质证书、安全生产许可证</w:t>
      </w:r>
      <w:bookmarkStart w:id="1108" w:name="_Toc479320265"/>
      <w:r>
        <w:rPr>
          <w:rFonts w:hint="eastAsia" w:ascii="宋体" w:hAnsi="宋体" w:eastAsia="宋体" w:cs="宋体"/>
          <w:b/>
          <w:bCs/>
          <w:caps w:val="0"/>
          <w:snapToGrid w:val="0"/>
          <w:color w:val="auto"/>
          <w:sz w:val="24"/>
          <w:szCs w:val="24"/>
          <w:highlight w:val="none"/>
          <w:lang w:val="en-US" w:eastAsia="zh-CN"/>
        </w:rPr>
        <w:t>等资料的扫描件。</w:t>
      </w:r>
    </w:p>
    <w:p w14:paraId="5EB3D970">
      <w:pPr>
        <w:pStyle w:val="38"/>
        <w:pageBreakBefore w:val="0"/>
        <w:kinsoku/>
        <w:wordWrap/>
        <w:overflowPunct/>
        <w:topLinePunct w:val="0"/>
        <w:bidi w:val="0"/>
        <w:adjustRightInd w:val="0"/>
        <w:snapToGrid w:val="0"/>
        <w:spacing w:beforeAutospacing="0" w:after="0" w:afterAutospacing="0" w:line="360" w:lineRule="auto"/>
        <w:ind w:left="0" w:leftChars="0" w:right="0" w:rightChars="0" w:firstLine="0" w:firstLineChars="0"/>
        <w:jc w:val="left"/>
        <w:rPr>
          <w:rFonts w:hint="eastAsia" w:ascii="宋体" w:hAnsi="宋体" w:eastAsia="宋体" w:cs="宋体"/>
          <w:b/>
          <w:bCs/>
          <w:caps w:val="0"/>
          <w:snapToGrid w:val="0"/>
          <w:color w:val="auto"/>
          <w:sz w:val="24"/>
          <w:szCs w:val="24"/>
          <w:highlight w:val="none"/>
          <w:lang w:val="en-US" w:eastAsia="zh-CN"/>
        </w:rPr>
      </w:pPr>
      <w:r>
        <w:rPr>
          <w:rFonts w:hint="eastAsia" w:ascii="宋体" w:hAnsi="宋体" w:eastAsia="宋体" w:cs="宋体"/>
          <w:b/>
          <w:bCs/>
          <w:caps w:val="0"/>
          <w:snapToGrid w:val="0"/>
          <w:color w:val="auto"/>
          <w:sz w:val="24"/>
          <w:szCs w:val="24"/>
          <w:highlight w:val="none"/>
          <w:lang w:val="en-US" w:eastAsia="zh-CN"/>
        </w:rPr>
        <w:br w:type="page"/>
      </w:r>
    </w:p>
    <w:p w14:paraId="1CDD385C">
      <w:pPr>
        <w:pageBreakBefore w:val="0"/>
        <w:numPr>
          <w:ilvl w:val="0"/>
          <w:numId w:val="0"/>
        </w:numPr>
        <w:kinsoku/>
        <w:wordWrap/>
        <w:overflowPunct/>
        <w:topLinePunct w:val="0"/>
        <w:bidi w:val="0"/>
        <w:adjustRightInd w:val="0"/>
        <w:snapToGrid w:val="0"/>
        <w:spacing w:beforeAutospacing="0" w:afterAutospacing="0" w:line="360" w:lineRule="auto"/>
        <w:ind w:left="0" w:leftChars="0" w:right="0" w:rightChars="0" w:firstLine="0" w:firstLineChars="0"/>
        <w:jc w:val="center"/>
        <w:outlineLvl w:val="1"/>
        <w:rPr>
          <w:rFonts w:hint="eastAsia" w:ascii="宋体" w:hAnsi="宋体" w:eastAsia="宋体" w:cs="宋体"/>
          <w:b/>
          <w:bCs/>
          <w:caps w:val="0"/>
          <w:color w:val="auto"/>
          <w:sz w:val="32"/>
          <w:szCs w:val="32"/>
          <w:highlight w:val="none"/>
          <w:lang w:val="en-US" w:eastAsia="zh-CN"/>
        </w:rPr>
      </w:pPr>
      <w:r>
        <w:rPr>
          <w:rFonts w:hint="eastAsia" w:ascii="宋体" w:hAnsi="宋体" w:eastAsia="宋体" w:cs="宋体"/>
          <w:b/>
          <w:bCs/>
          <w:caps w:val="0"/>
          <w:color w:val="auto"/>
          <w:sz w:val="32"/>
          <w:szCs w:val="32"/>
          <w:highlight w:val="none"/>
          <w:lang w:val="zh-CN"/>
        </w:rPr>
        <w:t>（</w:t>
      </w:r>
      <w:r>
        <w:rPr>
          <w:rFonts w:hint="eastAsia" w:ascii="宋体" w:hAnsi="宋体" w:eastAsia="宋体" w:cs="宋体"/>
          <w:b/>
          <w:bCs/>
          <w:caps w:val="0"/>
          <w:color w:val="auto"/>
          <w:sz w:val="32"/>
          <w:szCs w:val="32"/>
          <w:highlight w:val="none"/>
          <w:lang w:val="en-US" w:eastAsia="zh-CN"/>
        </w:rPr>
        <w:t>二</w:t>
      </w:r>
      <w:r>
        <w:rPr>
          <w:rFonts w:hint="eastAsia" w:ascii="宋体" w:hAnsi="宋体" w:eastAsia="宋体" w:cs="宋体"/>
          <w:b/>
          <w:bCs/>
          <w:caps w:val="0"/>
          <w:color w:val="auto"/>
          <w:sz w:val="32"/>
          <w:szCs w:val="32"/>
          <w:highlight w:val="none"/>
          <w:lang w:val="zh-CN"/>
        </w:rPr>
        <w:t>）近三年内类似项目业绩表</w:t>
      </w:r>
      <w:bookmarkEnd w:id="1108"/>
    </w:p>
    <w:p w14:paraId="75179EAF">
      <w:pPr>
        <w:pStyle w:val="21"/>
        <w:pageBreakBefore w:val="0"/>
        <w:numPr>
          <w:ilvl w:val="0"/>
          <w:numId w:val="0"/>
        </w:numPr>
        <w:kinsoku/>
        <w:wordWrap/>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caps w:val="0"/>
          <w:color w:val="auto"/>
          <w:sz w:val="24"/>
          <w:szCs w:val="24"/>
          <w:highlight w:val="none"/>
          <w:lang w:val="zh-CN"/>
        </w:rPr>
      </w:pPr>
    </w:p>
    <w:tbl>
      <w:tblPr>
        <w:tblStyle w:val="23"/>
        <w:tblW w:w="0" w:type="auto"/>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5783"/>
      </w:tblGrid>
      <w:tr w14:paraId="0A1A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842" w:type="dxa"/>
            <w:noWrap w:val="0"/>
            <w:vAlign w:val="center"/>
          </w:tcPr>
          <w:p w14:paraId="7994E0A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项目名称</w:t>
            </w:r>
          </w:p>
        </w:tc>
        <w:tc>
          <w:tcPr>
            <w:tcW w:w="5783" w:type="dxa"/>
            <w:noWrap w:val="0"/>
            <w:vAlign w:val="top"/>
          </w:tcPr>
          <w:p w14:paraId="7D31E92A">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2070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842" w:type="dxa"/>
            <w:noWrap w:val="0"/>
            <w:vAlign w:val="center"/>
          </w:tcPr>
          <w:p w14:paraId="6E91A4F8">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项目所在地</w:t>
            </w:r>
          </w:p>
        </w:tc>
        <w:tc>
          <w:tcPr>
            <w:tcW w:w="5783" w:type="dxa"/>
            <w:noWrap w:val="0"/>
            <w:vAlign w:val="top"/>
          </w:tcPr>
          <w:p w14:paraId="4B4BC45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20D9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260D34A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发包人名称</w:t>
            </w:r>
          </w:p>
        </w:tc>
        <w:tc>
          <w:tcPr>
            <w:tcW w:w="5783" w:type="dxa"/>
            <w:noWrap w:val="0"/>
            <w:vAlign w:val="top"/>
          </w:tcPr>
          <w:p w14:paraId="682FBA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63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842" w:type="dxa"/>
            <w:noWrap w:val="0"/>
            <w:vAlign w:val="center"/>
          </w:tcPr>
          <w:p w14:paraId="643C53B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发包人地址</w:t>
            </w:r>
          </w:p>
        </w:tc>
        <w:tc>
          <w:tcPr>
            <w:tcW w:w="5783" w:type="dxa"/>
            <w:noWrap w:val="0"/>
            <w:vAlign w:val="top"/>
          </w:tcPr>
          <w:p w14:paraId="152C4D6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BC8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842" w:type="dxa"/>
            <w:noWrap w:val="0"/>
            <w:vAlign w:val="center"/>
          </w:tcPr>
          <w:p w14:paraId="2357EB7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发包人联系人及电话</w:t>
            </w:r>
          </w:p>
        </w:tc>
        <w:tc>
          <w:tcPr>
            <w:tcW w:w="5783" w:type="dxa"/>
            <w:noWrap w:val="0"/>
            <w:vAlign w:val="top"/>
          </w:tcPr>
          <w:p w14:paraId="34A203AE">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636C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2842" w:type="dxa"/>
            <w:noWrap w:val="0"/>
            <w:vAlign w:val="center"/>
          </w:tcPr>
          <w:p w14:paraId="6A168DC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合同价格</w:t>
            </w:r>
          </w:p>
        </w:tc>
        <w:tc>
          <w:tcPr>
            <w:tcW w:w="5783" w:type="dxa"/>
            <w:noWrap w:val="0"/>
            <w:vAlign w:val="top"/>
          </w:tcPr>
          <w:p w14:paraId="198898E6">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3A9D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2842" w:type="dxa"/>
            <w:noWrap w:val="0"/>
            <w:vAlign w:val="center"/>
          </w:tcPr>
          <w:p w14:paraId="26F931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开工日期</w:t>
            </w:r>
          </w:p>
        </w:tc>
        <w:tc>
          <w:tcPr>
            <w:tcW w:w="5783" w:type="dxa"/>
            <w:noWrap w:val="0"/>
            <w:vAlign w:val="top"/>
          </w:tcPr>
          <w:p w14:paraId="4C7414F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6A5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2842" w:type="dxa"/>
            <w:noWrap w:val="0"/>
            <w:vAlign w:val="center"/>
          </w:tcPr>
          <w:p w14:paraId="16A0638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竣工日期</w:t>
            </w:r>
          </w:p>
        </w:tc>
        <w:tc>
          <w:tcPr>
            <w:tcW w:w="5783" w:type="dxa"/>
            <w:noWrap w:val="0"/>
            <w:vAlign w:val="top"/>
          </w:tcPr>
          <w:p w14:paraId="34E1CC8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BCF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842" w:type="dxa"/>
            <w:noWrap w:val="0"/>
            <w:vAlign w:val="center"/>
          </w:tcPr>
          <w:p w14:paraId="2F933E95">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承担的工作</w:t>
            </w:r>
          </w:p>
        </w:tc>
        <w:tc>
          <w:tcPr>
            <w:tcW w:w="5783" w:type="dxa"/>
            <w:noWrap w:val="0"/>
            <w:vAlign w:val="top"/>
          </w:tcPr>
          <w:p w14:paraId="32AE416B">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D0C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842" w:type="dxa"/>
            <w:noWrap w:val="0"/>
            <w:vAlign w:val="center"/>
          </w:tcPr>
          <w:p w14:paraId="25720E4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工程质量</w:t>
            </w:r>
          </w:p>
        </w:tc>
        <w:tc>
          <w:tcPr>
            <w:tcW w:w="5783" w:type="dxa"/>
            <w:noWrap w:val="0"/>
            <w:vAlign w:val="top"/>
          </w:tcPr>
          <w:p w14:paraId="51178443">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05D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842" w:type="dxa"/>
            <w:noWrap w:val="0"/>
            <w:vAlign w:val="center"/>
          </w:tcPr>
          <w:p w14:paraId="19A7F28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项目经理</w:t>
            </w:r>
          </w:p>
        </w:tc>
        <w:tc>
          <w:tcPr>
            <w:tcW w:w="5783" w:type="dxa"/>
            <w:noWrap w:val="0"/>
            <w:vAlign w:val="top"/>
          </w:tcPr>
          <w:p w14:paraId="7E5DDFB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3318A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842" w:type="dxa"/>
            <w:noWrap w:val="0"/>
            <w:vAlign w:val="center"/>
          </w:tcPr>
          <w:p w14:paraId="5B8AAA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技术负责人</w:t>
            </w:r>
          </w:p>
        </w:tc>
        <w:tc>
          <w:tcPr>
            <w:tcW w:w="5783" w:type="dxa"/>
            <w:noWrap w:val="0"/>
            <w:vAlign w:val="top"/>
          </w:tcPr>
          <w:p w14:paraId="47212A79">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41FC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2842" w:type="dxa"/>
            <w:noWrap w:val="0"/>
            <w:vAlign w:val="center"/>
          </w:tcPr>
          <w:p w14:paraId="6E6F278F">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总监理工程师及电话</w:t>
            </w:r>
          </w:p>
        </w:tc>
        <w:tc>
          <w:tcPr>
            <w:tcW w:w="5783" w:type="dxa"/>
            <w:noWrap w:val="0"/>
            <w:vAlign w:val="top"/>
          </w:tcPr>
          <w:p w14:paraId="6DEE09DC">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5C6C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2842" w:type="dxa"/>
            <w:noWrap w:val="0"/>
            <w:vAlign w:val="center"/>
          </w:tcPr>
          <w:p w14:paraId="5F3FAB01">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项目描述</w:t>
            </w:r>
          </w:p>
        </w:tc>
        <w:tc>
          <w:tcPr>
            <w:tcW w:w="5783" w:type="dxa"/>
            <w:noWrap w:val="0"/>
            <w:vAlign w:val="top"/>
          </w:tcPr>
          <w:p w14:paraId="2DD74E0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p w14:paraId="2D9FAF4D">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r w14:paraId="1592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842" w:type="dxa"/>
            <w:noWrap w:val="0"/>
            <w:vAlign w:val="center"/>
          </w:tcPr>
          <w:p w14:paraId="5CD61924">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caps w:val="0"/>
                <w:color w:val="auto"/>
                <w:kern w:val="0"/>
                <w:sz w:val="24"/>
                <w:szCs w:val="24"/>
                <w:highlight w:val="none"/>
              </w:rPr>
            </w:pPr>
            <w:r>
              <w:rPr>
                <w:rFonts w:hint="eastAsia" w:ascii="宋体" w:hAnsi="宋体" w:eastAsia="宋体" w:cs="宋体"/>
                <w:caps w:val="0"/>
                <w:color w:val="auto"/>
                <w:kern w:val="0"/>
                <w:sz w:val="24"/>
                <w:szCs w:val="24"/>
                <w:highlight w:val="none"/>
              </w:rPr>
              <w:t>备注</w:t>
            </w:r>
          </w:p>
        </w:tc>
        <w:tc>
          <w:tcPr>
            <w:tcW w:w="5783" w:type="dxa"/>
            <w:noWrap w:val="0"/>
            <w:vAlign w:val="top"/>
          </w:tcPr>
          <w:p w14:paraId="1F1C0F70">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kern w:val="0"/>
                <w:sz w:val="24"/>
                <w:szCs w:val="24"/>
                <w:highlight w:val="none"/>
              </w:rPr>
            </w:pPr>
          </w:p>
        </w:tc>
      </w:tr>
    </w:tbl>
    <w:p w14:paraId="39CD65F7">
      <w:pPr>
        <w:pageBreakBefore w:val="0"/>
        <w:kinsoku/>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rPr>
          <w:rFonts w:hint="eastAsia" w:ascii="宋体" w:hAnsi="宋体" w:eastAsia="宋体" w:cs="宋体"/>
          <w:caps w:val="0"/>
          <w:color w:val="auto"/>
          <w:sz w:val="24"/>
          <w:szCs w:val="24"/>
          <w:highlight w:val="none"/>
        </w:rPr>
      </w:pPr>
      <w:r>
        <w:rPr>
          <w:rFonts w:hint="eastAsia" w:ascii="宋体" w:hAnsi="宋体" w:eastAsia="宋体" w:cs="宋体"/>
          <w:b/>
          <w:bCs/>
          <w:caps w:val="0"/>
          <w:color w:val="auto"/>
          <w:kern w:val="0"/>
          <w:sz w:val="24"/>
          <w:szCs w:val="24"/>
          <w:highlight w:val="none"/>
        </w:rPr>
        <w:t>注：1、本表后附中标通知书</w:t>
      </w:r>
      <w:r>
        <w:rPr>
          <w:rFonts w:hint="eastAsia" w:ascii="宋体" w:hAnsi="宋体" w:eastAsia="宋体" w:cs="宋体"/>
          <w:b/>
          <w:bCs/>
          <w:caps w:val="0"/>
          <w:color w:val="auto"/>
          <w:kern w:val="0"/>
          <w:sz w:val="24"/>
          <w:szCs w:val="24"/>
          <w:highlight w:val="none"/>
          <w:lang w:val="en-US" w:eastAsia="zh-CN"/>
        </w:rPr>
        <w:t>及</w:t>
      </w:r>
      <w:r>
        <w:rPr>
          <w:rFonts w:hint="eastAsia" w:ascii="宋体" w:hAnsi="宋体" w:eastAsia="宋体" w:cs="宋体"/>
          <w:b/>
          <w:bCs/>
          <w:caps w:val="0"/>
          <w:color w:val="auto"/>
          <w:kern w:val="0"/>
          <w:sz w:val="24"/>
          <w:szCs w:val="24"/>
          <w:highlight w:val="none"/>
        </w:rPr>
        <w:t>合同协议书</w:t>
      </w:r>
      <w:r>
        <w:rPr>
          <w:rFonts w:hint="eastAsia" w:ascii="宋体" w:hAnsi="宋体" w:eastAsia="宋体" w:cs="宋体"/>
          <w:b/>
          <w:bCs/>
          <w:caps w:val="0"/>
          <w:color w:val="auto"/>
          <w:kern w:val="0"/>
          <w:sz w:val="24"/>
          <w:szCs w:val="24"/>
          <w:highlight w:val="none"/>
          <w:lang w:val="en-US" w:eastAsia="zh-CN"/>
        </w:rPr>
        <w:t>扫描件</w:t>
      </w:r>
      <w:r>
        <w:rPr>
          <w:rFonts w:hint="eastAsia" w:ascii="宋体" w:hAnsi="宋体" w:eastAsia="宋体" w:cs="宋体"/>
          <w:b/>
          <w:bCs/>
          <w:caps w:val="0"/>
          <w:color w:val="auto"/>
          <w:kern w:val="0"/>
          <w:sz w:val="24"/>
          <w:szCs w:val="24"/>
          <w:highlight w:val="none"/>
        </w:rPr>
        <w:t>，具体年份要求20</w:t>
      </w:r>
      <w:r>
        <w:rPr>
          <w:rFonts w:hint="eastAsia" w:ascii="宋体" w:hAnsi="宋体" w:eastAsia="宋体" w:cs="宋体"/>
          <w:b/>
          <w:bCs/>
          <w:caps w:val="0"/>
          <w:color w:val="auto"/>
          <w:kern w:val="0"/>
          <w:sz w:val="24"/>
          <w:szCs w:val="24"/>
          <w:highlight w:val="none"/>
          <w:lang w:val="en-US" w:eastAsia="zh-CN"/>
        </w:rPr>
        <w:t>22</w:t>
      </w:r>
      <w:r>
        <w:rPr>
          <w:rFonts w:hint="eastAsia" w:ascii="宋体" w:hAnsi="宋体" w:eastAsia="宋体" w:cs="宋体"/>
          <w:b/>
          <w:bCs/>
          <w:caps w:val="0"/>
          <w:color w:val="auto"/>
          <w:kern w:val="0"/>
          <w:sz w:val="24"/>
          <w:szCs w:val="24"/>
          <w:highlight w:val="none"/>
        </w:rPr>
        <w:t>年1月1日以来</w:t>
      </w:r>
      <w:r>
        <w:rPr>
          <w:rFonts w:hint="eastAsia" w:ascii="宋体" w:hAnsi="宋体" w:eastAsia="宋体" w:cs="宋体"/>
          <w:b/>
          <w:bCs/>
          <w:caps w:val="0"/>
          <w:color w:val="auto"/>
          <w:kern w:val="0"/>
          <w:sz w:val="24"/>
          <w:szCs w:val="24"/>
          <w:highlight w:val="none"/>
          <w:lang w:eastAsia="zh-CN"/>
        </w:rPr>
        <w:t>，</w:t>
      </w:r>
      <w:r>
        <w:rPr>
          <w:rFonts w:hint="eastAsia" w:ascii="宋体" w:hAnsi="宋体" w:eastAsia="宋体" w:cs="宋体"/>
          <w:b/>
          <w:bCs/>
          <w:caps w:val="0"/>
          <w:color w:val="auto"/>
          <w:kern w:val="0"/>
          <w:sz w:val="24"/>
          <w:szCs w:val="24"/>
          <w:highlight w:val="none"/>
          <w:lang w:val="en-US" w:eastAsia="zh-CN"/>
        </w:rPr>
        <w:t>以合同签订日期为准</w:t>
      </w:r>
      <w:r>
        <w:rPr>
          <w:rFonts w:hint="eastAsia" w:ascii="宋体" w:hAnsi="宋体" w:eastAsia="宋体" w:cs="宋体"/>
          <w:b/>
          <w:bCs/>
          <w:caps w:val="0"/>
          <w:color w:val="auto"/>
          <w:kern w:val="0"/>
          <w:sz w:val="24"/>
          <w:szCs w:val="24"/>
          <w:highlight w:val="none"/>
        </w:rPr>
        <w:t>。每张表格只填写一个项目。</w:t>
      </w:r>
    </w:p>
    <w:p w14:paraId="0424867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0" w:firstLineChars="0"/>
        <w:jc w:val="center"/>
        <w:textAlignment w:val="auto"/>
        <w:outlineLvl w:val="9"/>
        <w:rPr>
          <w:rFonts w:hint="eastAsia" w:ascii="宋体" w:hAnsi="宋体" w:eastAsia="宋体" w:cs="宋体"/>
          <w:b/>
          <w:bCs/>
          <w:sz w:val="32"/>
          <w:szCs w:val="32"/>
          <w:highlight w:val="none"/>
          <w:lang w:eastAsia="zh-CN"/>
        </w:rPr>
      </w:pPr>
    </w:p>
    <w:p w14:paraId="43463D9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rPr>
          <w:rFonts w:hint="eastAsia" w:ascii="宋体" w:hAnsi="宋体" w:eastAsia="宋体" w:cs="宋体"/>
          <w:highlight w:val="none"/>
        </w:rPr>
      </w:pPr>
      <w:r>
        <w:rPr>
          <w:rFonts w:hint="eastAsia" w:ascii="宋体" w:hAnsi="宋体" w:eastAsia="宋体" w:cs="宋体"/>
          <w:highlight w:val="none"/>
        </w:rPr>
        <w:br w:type="page"/>
      </w:r>
    </w:p>
    <w:p w14:paraId="153AE872">
      <w:pPr>
        <w:keepNext/>
        <w:keepLines/>
        <w:pageBreakBefore w:val="0"/>
        <w:numPr>
          <w:ilvl w:val="0"/>
          <w:numId w:val="3"/>
        </w:numPr>
        <w:kinsoku/>
        <w:overflowPunct/>
        <w:topLinePunct w:val="0"/>
        <w:bidi w:val="0"/>
        <w:adjustRightInd w:val="0"/>
        <w:snapToGrid w:val="0"/>
        <w:spacing w:beforeAutospacing="0" w:afterAutospacing="0" w:line="360" w:lineRule="auto"/>
        <w:ind w:left="0" w:leftChars="0" w:right="0" w:rightChars="0" w:firstLine="0" w:firstLineChars="0"/>
        <w:jc w:val="center"/>
        <w:outlineLvl w:val="3"/>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其他资格审查资料</w:t>
      </w:r>
    </w:p>
    <w:p w14:paraId="6B6AC0A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EA0BC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D8D9DE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C64108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73F37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AFD36A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3035E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68B931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88B35C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9FC39D4">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551AB0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43F84A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905278A">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09A602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B34FAB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A74EE81">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DEF13C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3CFC9429">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FB5AAF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DE19FE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5928F8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02BBF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6BF4C45E">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A2D16C7">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C9F32B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08CECF5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1</w:t>
      </w:r>
      <w:r>
        <w:rPr>
          <w:rFonts w:hint="eastAsia" w:ascii="宋体" w:hAnsi="宋体" w:eastAsia="宋体" w:cs="宋体"/>
          <w:b/>
          <w:kern w:val="0"/>
          <w:sz w:val="28"/>
          <w:szCs w:val="28"/>
          <w:highlight w:val="none"/>
        </w:rPr>
        <w:t>：</w:t>
      </w:r>
    </w:p>
    <w:p w14:paraId="37B51FF3">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满足《中华人民共和国政府采购法》第二十二条规定的承诺书</w:t>
      </w:r>
    </w:p>
    <w:p w14:paraId="2D22E488">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6D5FE500">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我单位自愿参加本次采购活动，严格遵守《中华人民共和国政府采购法》及相关法律法规，依法诚信经营，依法遵守本次政府采购活动的各项规定。我单位郑重承诺声明如下：</w:t>
      </w:r>
    </w:p>
    <w:p w14:paraId="5E0D7C6D">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一、我单位全称为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，注册地点为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，统一社会信用代码为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法定代表人（主要负责人）为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联系方式为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4D3AEC2">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二、我单位具有独立承担民事责任的能力(如分公司参加投标的，其民事责任由总公司承担)。</w:t>
      </w:r>
    </w:p>
    <w:p w14:paraId="05C5FD13">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三、我单位具有良好的商业信誉和健全的财务会计制度。 </w:t>
      </w:r>
    </w:p>
    <w:p w14:paraId="62250E5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四、我单位具有履行合同所必需的设备和专业技术能力。 </w:t>
      </w:r>
    </w:p>
    <w:p w14:paraId="30D4782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五、我单位有依法缴纳税收和社会保障资金的良好记录。</w:t>
      </w:r>
    </w:p>
    <w:p w14:paraId="73FFD91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237FA151">
      <w:pPr>
        <w:pageBreakBefore w:val="0"/>
        <w:bidi w:val="0"/>
        <w:adjustRightInd w:val="0"/>
        <w:snapToGrid w:val="0"/>
        <w:spacing w:beforeAutospacing="0" w:afterAutospacing="0" w:line="360" w:lineRule="auto"/>
        <w:ind w:left="0" w:leftChars="0" w:right="0" w:firstLine="480" w:firstLineChars="200"/>
        <w:outlineLvl w:val="1"/>
        <w:rPr>
          <w:rFonts w:hint="eastAsia" w:ascii="宋体" w:hAnsi="宋体" w:eastAsia="宋体" w:cs="宋体"/>
          <w:sz w:val="24"/>
          <w:szCs w:val="24"/>
          <w:highlight w:val="none"/>
        </w:rPr>
      </w:pPr>
      <w:bookmarkStart w:id="1109" w:name="_Toc12051"/>
      <w:bookmarkStart w:id="1110" w:name="_Toc27798"/>
      <w:bookmarkStart w:id="1111" w:name="_Toc4968"/>
      <w:r>
        <w:rPr>
          <w:rFonts w:hint="eastAsia" w:ascii="宋体" w:hAnsi="宋体" w:eastAsia="宋体" w:cs="宋体"/>
          <w:sz w:val="24"/>
          <w:szCs w:val="24"/>
          <w:highlight w:val="none"/>
        </w:rPr>
        <w:t>七、我单位具备法律、行政法规规定的其他条件。</w:t>
      </w:r>
      <w:bookmarkEnd w:id="1109"/>
      <w:bookmarkEnd w:id="1110"/>
      <w:bookmarkEnd w:id="1111"/>
    </w:p>
    <w:p w14:paraId="279D9199">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保证上述声明的事项都是真实的，符合《中华人民共和国政府采购法》规定的供应商资格条件。如有弄虚作假，我单位愿意按照“提供虚假材料谋取中标”承担相应的法律责任，同意将违背承诺行为作为失信行为记录到社会信用信息平台，并承担因此所造成的一切损失。</w:t>
      </w:r>
    </w:p>
    <w:p w14:paraId="47E4E511">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026814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EBC65C8">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391E7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B6C530F">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237229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13BABBF0">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453DF343">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 xml:space="preserve">附件2： </w:t>
      </w:r>
    </w:p>
    <w:p w14:paraId="00C17DCD">
      <w:pPr>
        <w:pageBreakBefore w:val="0"/>
        <w:widowControl/>
        <w:shd w:val="clear" w:color="auto" w:fill="FFFFFF"/>
        <w:bidi w:val="0"/>
        <w:adjustRightInd w:val="0"/>
        <w:snapToGrid w:val="0"/>
        <w:spacing w:beforeAutospacing="0" w:afterAutospacing="0" w:line="360" w:lineRule="auto"/>
        <w:ind w:left="0" w:leftChars="0" w:right="0" w:firstLine="482" w:firstLineChars="200"/>
        <w:jc w:val="center"/>
        <w:textAlignment w:val="baseline"/>
        <w:rPr>
          <w:rFonts w:hint="eastAsia" w:ascii="宋体" w:hAnsi="宋体" w:eastAsia="宋体" w:cs="宋体"/>
          <w:b/>
          <w:kern w:val="0"/>
          <w:sz w:val="24"/>
          <w:highlight w:val="none"/>
          <w:lang w:val="zh-CN"/>
        </w:rPr>
      </w:pPr>
      <w:r>
        <w:rPr>
          <w:rFonts w:hint="eastAsia" w:ascii="宋体" w:hAnsi="宋体" w:eastAsia="宋体" w:cs="宋体"/>
          <w:b/>
          <w:kern w:val="0"/>
          <w:sz w:val="24"/>
          <w:highlight w:val="none"/>
          <w:lang w:val="zh-CN"/>
        </w:rPr>
        <w:t>无商业贿赂</w:t>
      </w:r>
      <w:r>
        <w:rPr>
          <w:rFonts w:hint="eastAsia" w:ascii="宋体" w:hAnsi="宋体" w:eastAsia="宋体" w:cs="宋体"/>
          <w:b/>
          <w:kern w:val="0"/>
          <w:sz w:val="24"/>
          <w:highlight w:val="none"/>
          <w:lang w:val="en-US" w:eastAsia="zh-CN"/>
        </w:rPr>
        <w:t>及</w:t>
      </w:r>
      <w:r>
        <w:rPr>
          <w:rFonts w:hint="eastAsia" w:ascii="宋体" w:hAnsi="宋体" w:eastAsia="宋体" w:cs="宋体"/>
          <w:b/>
          <w:kern w:val="0"/>
          <w:sz w:val="24"/>
          <w:highlight w:val="none"/>
          <w:lang w:val="zh-CN"/>
        </w:rPr>
        <w:t>无不正当竞争行为的承诺书</w:t>
      </w:r>
    </w:p>
    <w:p w14:paraId="164B7416">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p>
    <w:p w14:paraId="1CE25922">
      <w:pPr>
        <w:pageBreakBefore w:val="0"/>
        <w:widowControl/>
        <w:bidi w:val="0"/>
        <w:adjustRightInd w:val="0"/>
        <w:snapToGrid w:val="0"/>
        <w:spacing w:beforeAutospacing="0" w:afterAutospacing="0" w:line="360" w:lineRule="auto"/>
        <w:ind w:left="0" w:leftChars="0" w:right="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我公司承诺：</w:t>
      </w:r>
    </w:p>
    <w:p w14:paraId="63CFEFB2">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一、我公司</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及法人</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自成立以来，在参与政府采购活动中，从无商业贿赂及不正当竞争行为。</w:t>
      </w:r>
    </w:p>
    <w:p w14:paraId="39D93E9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二、公平竞争参加本次采购活动。</w:t>
      </w:r>
    </w:p>
    <w:p w14:paraId="61C298C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三、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 </w:t>
      </w:r>
    </w:p>
    <w:p w14:paraId="0B410DE1">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四、坚持投标独立性，保证不以任何手段了解或意图了解其他投标参与人情况及其报价信息。除公开渠道获取相关信息外，保证不以其它方式刺探或意图刺探贵司评标、议标信息及其进展。</w:t>
      </w:r>
    </w:p>
    <w:p w14:paraId="31F3CB7B">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五、若出现上述行为，与投标的工作人员愿意接受按照国家法律法规等有关规定给子的处罚。</w:t>
      </w:r>
    </w:p>
    <w:p w14:paraId="5531B410">
      <w:pPr>
        <w:pageBreakBefore w:val="0"/>
        <w:widowControl/>
        <w:bidi w:val="0"/>
        <w:adjustRightInd w:val="0"/>
        <w:snapToGrid w:val="0"/>
        <w:spacing w:beforeAutospacing="0" w:afterAutospacing="0" w:line="360" w:lineRule="auto"/>
        <w:ind w:left="0" w:leftChars="0" w:right="0" w:firstLine="465"/>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14:paraId="07FD1B9D">
      <w:pPr>
        <w:pStyle w:val="21"/>
        <w:pageBreakBefore w:val="0"/>
        <w:bidi w:val="0"/>
        <w:adjustRightInd w:val="0"/>
        <w:snapToGrid w:val="0"/>
        <w:spacing w:beforeAutospacing="0" w:afterAutospacing="0" w:line="360" w:lineRule="auto"/>
        <w:ind w:left="0" w:leftChars="0" w:right="0" w:firstLine="200"/>
        <w:rPr>
          <w:rFonts w:hint="eastAsia" w:ascii="宋体" w:hAnsi="宋体" w:eastAsia="宋体" w:cs="宋体"/>
          <w:highlight w:val="none"/>
        </w:rPr>
      </w:pPr>
    </w:p>
    <w:p w14:paraId="49EAD194">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6B85391">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4CC1BDF1">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376F48C5">
      <w:pPr>
        <w:pageBreakBefore w:val="0"/>
        <w:bidi w:val="0"/>
        <w:adjustRightInd w:val="0"/>
        <w:snapToGrid w:val="0"/>
        <w:spacing w:beforeAutospacing="0" w:afterAutospacing="0" w:line="360" w:lineRule="auto"/>
        <w:ind w:left="0" w:leftChars="0" w:right="0"/>
        <w:jc w:val="right"/>
        <w:rPr>
          <w:rFonts w:hint="eastAsia" w:ascii="宋体" w:hAnsi="宋体" w:eastAsia="宋体" w:cs="宋体"/>
          <w:color w:val="auto"/>
          <w:sz w:val="30"/>
          <w:szCs w:val="30"/>
          <w:highlight w:val="none"/>
        </w:rPr>
      </w:pPr>
    </w:p>
    <w:p w14:paraId="12F2A7D1">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p>
    <w:p w14:paraId="55F8E018">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073DB9D">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22244605">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5F9ACB26">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79EB46C">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p>
    <w:p w14:paraId="76ABA882">
      <w:pPr>
        <w:pageBreakBefore w:val="0"/>
        <w:widowControl/>
        <w:shd w:val="clear" w:color="auto" w:fill="FFFFFF"/>
        <w:bidi w:val="0"/>
        <w:adjustRightInd w:val="0"/>
        <w:snapToGrid w:val="0"/>
        <w:spacing w:beforeAutospacing="0" w:afterAutospacing="0" w:line="360" w:lineRule="auto"/>
        <w:ind w:left="0" w:leftChars="0" w:right="0"/>
        <w:jc w:val="left"/>
        <w:textAlignment w:val="baseline"/>
        <w:rPr>
          <w:rFonts w:hint="eastAsia" w:ascii="宋体" w:hAnsi="宋体" w:eastAsia="宋体" w:cs="宋体"/>
          <w:b/>
          <w:kern w:val="0"/>
          <w:sz w:val="28"/>
          <w:szCs w:val="28"/>
          <w:highlight w:val="none"/>
        </w:rPr>
      </w:pPr>
      <w:r>
        <w:rPr>
          <w:rFonts w:hint="eastAsia" w:ascii="宋体" w:hAnsi="宋体" w:eastAsia="宋体" w:cs="宋体"/>
          <w:b/>
          <w:kern w:val="0"/>
          <w:sz w:val="28"/>
          <w:szCs w:val="28"/>
          <w:highlight w:val="none"/>
        </w:rPr>
        <w:t>附件</w:t>
      </w:r>
      <w:r>
        <w:rPr>
          <w:rFonts w:hint="eastAsia" w:ascii="宋体" w:hAnsi="宋体" w:eastAsia="宋体" w:cs="宋体"/>
          <w:b/>
          <w:kern w:val="0"/>
          <w:sz w:val="28"/>
          <w:szCs w:val="28"/>
          <w:highlight w:val="none"/>
          <w:lang w:val="en-US" w:eastAsia="zh-CN"/>
        </w:rPr>
        <w:t>3</w:t>
      </w:r>
      <w:r>
        <w:rPr>
          <w:rFonts w:hint="eastAsia" w:ascii="宋体" w:hAnsi="宋体" w:eastAsia="宋体" w:cs="宋体"/>
          <w:b/>
          <w:kern w:val="0"/>
          <w:sz w:val="28"/>
          <w:szCs w:val="28"/>
          <w:highlight w:val="none"/>
        </w:rPr>
        <w:t>：</w:t>
      </w:r>
    </w:p>
    <w:p w14:paraId="69BA3218">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en-US" w:eastAsia="zh-CN"/>
        </w:rPr>
      </w:pPr>
      <w:r>
        <w:rPr>
          <w:rFonts w:hint="eastAsia" w:ascii="宋体" w:hAnsi="宋体" w:eastAsia="宋体" w:cs="宋体"/>
          <w:b/>
          <w:kern w:val="0"/>
          <w:sz w:val="24"/>
          <w:highlight w:val="none"/>
          <w:lang w:val="en-US" w:eastAsia="zh-CN"/>
        </w:rPr>
        <w:t>非联合体投标承诺书</w:t>
      </w:r>
    </w:p>
    <w:p w14:paraId="7D2B225B">
      <w:pPr>
        <w:pageBreakBefore w:val="0"/>
        <w:widowControl/>
        <w:shd w:val="clear" w:color="auto" w:fill="FFFFFF"/>
        <w:bidi w:val="0"/>
        <w:adjustRightInd w:val="0"/>
        <w:snapToGrid w:val="0"/>
        <w:spacing w:beforeAutospacing="0" w:afterAutospacing="0" w:line="360" w:lineRule="auto"/>
        <w:ind w:left="0" w:leftChars="0" w:right="0"/>
        <w:jc w:val="center"/>
        <w:textAlignment w:val="baseline"/>
        <w:rPr>
          <w:rFonts w:hint="eastAsia" w:ascii="宋体" w:hAnsi="宋体" w:eastAsia="宋体" w:cs="宋体"/>
          <w:b/>
          <w:kern w:val="0"/>
          <w:sz w:val="24"/>
          <w:highlight w:val="none"/>
          <w:lang w:val="zh-CN" w:eastAsia="zh-CN"/>
        </w:rPr>
      </w:pPr>
    </w:p>
    <w:p w14:paraId="5299DFE0">
      <w:pPr>
        <w:pageBreakBefore w:val="0"/>
        <w:bidi w:val="0"/>
        <w:adjustRightInd w:val="0"/>
        <w:snapToGrid w:val="0"/>
        <w:spacing w:beforeAutospacing="0" w:afterAutospacing="0" w:line="360" w:lineRule="auto"/>
        <w:ind w:left="0" w:leftChars="0" w:right="0"/>
        <w:rPr>
          <w:rFonts w:hint="eastAsia" w:ascii="宋体" w:hAnsi="宋体" w:eastAsia="宋体" w:cs="宋体"/>
          <w:sz w:val="24"/>
          <w:szCs w:val="24"/>
          <w:highlight w:val="none"/>
        </w:rPr>
      </w:pPr>
      <w:r>
        <w:rPr>
          <w:rFonts w:hint="eastAsia" w:ascii="宋体" w:hAnsi="宋体" w:eastAsia="宋体" w:cs="宋体"/>
          <w:sz w:val="24"/>
          <w:szCs w:val="24"/>
          <w:highlight w:val="none"/>
        </w:rPr>
        <w:t>致（采购单位）：</w:t>
      </w:r>
    </w:p>
    <w:p w14:paraId="0D381187">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我单位参与本次采购活动中，非联合体投标，特此承诺。 </w:t>
      </w:r>
    </w:p>
    <w:p w14:paraId="5AD418CA">
      <w:pPr>
        <w:pageBreakBefore w:val="0"/>
        <w:bidi w:val="0"/>
        <w:adjustRightInd w:val="0"/>
        <w:snapToGrid w:val="0"/>
        <w:spacing w:beforeAutospacing="0" w:afterAutospacing="0" w:line="360" w:lineRule="auto"/>
        <w:ind w:left="0" w:leftChars="0" w:right="0"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若承诺不实，同意取消投标资格，接受相关处理。</w:t>
      </w:r>
    </w:p>
    <w:p w14:paraId="4E59099E">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7CC32D65">
      <w:pPr>
        <w:pageBreakBefore w:val="0"/>
        <w:bidi w:val="0"/>
        <w:adjustRightInd w:val="0"/>
        <w:snapToGrid w:val="0"/>
        <w:spacing w:beforeAutospacing="0" w:afterAutospacing="0" w:line="360" w:lineRule="auto"/>
        <w:ind w:left="0" w:leftChars="0" w:right="0"/>
        <w:jc w:val="right"/>
        <w:rPr>
          <w:rFonts w:hint="eastAsia" w:ascii="宋体" w:hAnsi="宋体" w:eastAsia="宋体" w:cs="宋体"/>
          <w:sz w:val="24"/>
          <w:szCs w:val="24"/>
          <w:highlight w:val="none"/>
        </w:rPr>
      </w:pPr>
    </w:p>
    <w:p w14:paraId="4C9FC07D">
      <w:pPr>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 xml:space="preserve"> </w:t>
      </w:r>
      <w:r>
        <w:rPr>
          <w:rFonts w:hint="eastAsia" w:ascii="宋体" w:hAnsi="宋体" w:eastAsia="宋体" w:cs="宋体"/>
          <w:kern w:val="0"/>
          <w:sz w:val="24"/>
          <w:highlight w:val="none"/>
        </w:rPr>
        <w:t>供应商：</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9BBB2B6">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法定代表人：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电子签章</w:t>
      </w:r>
      <w:r>
        <w:rPr>
          <w:rFonts w:hint="eastAsia" w:ascii="宋体" w:hAnsi="宋体" w:eastAsia="宋体" w:cs="宋体"/>
          <w:kern w:val="0"/>
          <w:sz w:val="24"/>
          <w:szCs w:val="24"/>
          <w:highlight w:val="none"/>
        </w:rPr>
        <w:t>）</w:t>
      </w:r>
    </w:p>
    <w:p w14:paraId="784B4638">
      <w:pPr>
        <w:pStyle w:val="9"/>
        <w:pageBreakBefore w:val="0"/>
        <w:bidi w:val="0"/>
        <w:adjustRightInd w:val="0"/>
        <w:snapToGrid w:val="0"/>
        <w:spacing w:beforeAutospacing="0" w:afterAutospacing="0" w:line="360" w:lineRule="auto"/>
        <w:ind w:left="0" w:leftChars="0" w:right="0"/>
        <w:jc w:val="right"/>
        <w:rPr>
          <w:rFonts w:hint="eastAsia" w:ascii="宋体" w:hAnsi="宋体" w:eastAsia="宋体" w:cs="宋体"/>
          <w:kern w:val="0"/>
          <w:szCs w:val="24"/>
          <w:highlight w:val="none"/>
          <w:lang w:val="en-US" w:eastAsia="zh-CN"/>
        </w:rPr>
      </w:pPr>
      <w:r>
        <w:rPr>
          <w:rFonts w:hint="eastAsia" w:ascii="宋体" w:hAnsi="宋体" w:eastAsia="宋体" w:cs="宋体"/>
          <w:kern w:val="0"/>
          <w:szCs w:val="24"/>
          <w:highlight w:val="none"/>
          <w:lang w:val="en-US" w:eastAsia="zh-CN"/>
        </w:rPr>
        <w:t xml:space="preserve">                             年     月     日</w:t>
      </w:r>
    </w:p>
    <w:p w14:paraId="76707D84">
      <w:pPr>
        <w:pStyle w:val="4"/>
        <w:pageBreakBefore w:val="0"/>
        <w:bidi w:val="0"/>
        <w:adjustRightInd w:val="0"/>
        <w:snapToGrid w:val="0"/>
        <w:spacing w:before="0" w:beforeAutospacing="0" w:afterAutospacing="0" w:line="360" w:lineRule="auto"/>
        <w:ind w:left="0" w:leftChars="0" w:right="0"/>
        <w:rPr>
          <w:rFonts w:hint="eastAsia" w:ascii="宋体" w:hAnsi="宋体" w:eastAsia="宋体" w:cs="宋体"/>
          <w:highlight w:val="none"/>
        </w:rPr>
      </w:pPr>
    </w:p>
    <w:p w14:paraId="2BAE22AA">
      <w:pPr>
        <w:pStyle w:val="10"/>
        <w:pageBreakBefore w:val="0"/>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rPr>
      </w:pPr>
      <w:r>
        <w:rPr>
          <w:rFonts w:hint="eastAsia" w:ascii="宋体" w:hAnsi="宋体" w:eastAsia="宋体" w:cs="宋体"/>
          <w:highlight w:val="none"/>
        </w:rPr>
        <w:br w:type="page"/>
      </w:r>
    </w:p>
    <w:p w14:paraId="25813513">
      <w:pPr>
        <w:pageBreakBefore w:val="0"/>
        <w:numPr>
          <w:ilvl w:val="0"/>
          <w:numId w:val="0"/>
        </w:numPr>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en-US" w:eastAsia="zh-CN"/>
        </w:rPr>
        <w:t>八、服务承诺</w:t>
      </w:r>
    </w:p>
    <w:p w14:paraId="281FFCC4">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highlight w:val="none"/>
          <w:lang w:val="en-US" w:eastAsia="zh-CN"/>
        </w:rPr>
      </w:pPr>
    </w:p>
    <w:p w14:paraId="43A00F57">
      <w:pPr>
        <w:pStyle w:val="21"/>
        <w:pageBreakBefore w:val="0"/>
        <w:numPr>
          <w:ilvl w:val="0"/>
          <w:numId w:val="0"/>
        </w:numPr>
        <w:kinsoku/>
        <w:overflowPunct/>
        <w:topLinePunct w:val="0"/>
        <w:bidi w:val="0"/>
        <w:adjustRightInd w:val="0"/>
        <w:snapToGrid w:val="0"/>
        <w:spacing w:beforeAutospacing="0" w:after="0" w:afterAutospacing="0" w:line="360" w:lineRule="auto"/>
        <w:ind w:left="0" w:leftChars="0" w:right="0" w:rightChars="0" w:firstLine="0" w:firstLineChars="0"/>
        <w:rPr>
          <w:rFonts w:hint="eastAsia" w:ascii="宋体" w:hAnsi="宋体" w:eastAsia="宋体" w:cs="宋体"/>
          <w:sz w:val="30"/>
          <w:szCs w:val="30"/>
          <w:highlight w:val="none"/>
          <w:lang w:val="en-US" w:eastAsia="zh-CN"/>
        </w:rPr>
      </w:pPr>
      <w:r>
        <w:rPr>
          <w:rFonts w:hint="eastAsia" w:ascii="宋体" w:hAnsi="宋体" w:eastAsia="宋体" w:cs="宋体"/>
          <w:sz w:val="30"/>
          <w:szCs w:val="30"/>
          <w:highlight w:val="none"/>
          <w:lang w:val="en-US" w:eastAsia="zh-CN"/>
        </w:rPr>
        <w:t>格式自拟</w:t>
      </w:r>
    </w:p>
    <w:p w14:paraId="561D7C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33C1731">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BABED8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01817E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3165D72">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E90B575">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51EC816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47A90CC">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0A3E4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4BFA04C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F57AA9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69BBE4D4">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D099539">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3CEBCB06">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284A49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B9FF277">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0A40BDFA">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24AEE83B">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2EAC2F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773E6E60">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textAlignment w:val="center"/>
        <w:outlineLvl w:val="1"/>
        <w:rPr>
          <w:rFonts w:hint="eastAsia" w:ascii="宋体" w:hAnsi="宋体" w:eastAsia="宋体" w:cs="宋体"/>
          <w:b/>
          <w:bCs/>
          <w:sz w:val="30"/>
          <w:szCs w:val="30"/>
          <w:highlight w:val="none"/>
        </w:rPr>
      </w:pPr>
    </w:p>
    <w:p w14:paraId="12262EA2">
      <w:pPr>
        <w:pStyle w:val="22"/>
        <w:pageBreakBefore w:val="0"/>
        <w:kinsoku/>
        <w:overflowPunct/>
        <w:topLinePunct w:val="0"/>
        <w:bidi w:val="0"/>
        <w:adjustRightInd w:val="0"/>
        <w:snapToGrid w:val="0"/>
        <w:spacing w:line="360" w:lineRule="auto"/>
        <w:ind w:left="0" w:leftChars="0" w:firstLine="0" w:firstLineChars="0"/>
        <w:rPr>
          <w:rFonts w:hint="eastAsia" w:ascii="宋体" w:hAnsi="宋体" w:eastAsia="宋体" w:cs="宋体"/>
          <w:highlight w:val="none"/>
        </w:rPr>
      </w:pPr>
      <w:bookmarkStart w:id="1112" w:name="_Toc10242"/>
      <w:bookmarkStart w:id="1113" w:name="_Toc23639"/>
      <w:bookmarkStart w:id="1114" w:name="_Toc23724"/>
    </w:p>
    <w:p w14:paraId="057866D8">
      <w:pPr>
        <w:pageBreakBefore w:val="0"/>
        <w:kinsoku/>
        <w:overflowPunct/>
        <w:topLinePunct w:val="0"/>
        <w:bidi w:val="0"/>
        <w:adjustRightInd w:val="0"/>
        <w:snapToGrid w:val="0"/>
        <w:spacing w:beforeAutospacing="0" w:afterAutospacing="0" w:line="360" w:lineRule="auto"/>
        <w:ind w:left="0" w:leftChars="0" w:right="0" w:rightChars="0" w:firstLine="0" w:firstLineChars="0"/>
        <w:jc w:val="center"/>
        <w:outlineLvl w:val="0"/>
        <w:rPr>
          <w:rFonts w:hint="eastAsia" w:ascii="宋体" w:hAnsi="宋体" w:eastAsia="宋体" w:cs="宋体"/>
          <w:b/>
          <w:bCs/>
          <w:color w:val="auto"/>
          <w:sz w:val="30"/>
          <w:szCs w:val="30"/>
          <w:highlight w:val="none"/>
          <w:lang w:val="en-US" w:eastAsia="zh-CN"/>
        </w:rPr>
      </w:pPr>
      <w:r>
        <w:rPr>
          <w:rFonts w:hint="eastAsia" w:ascii="宋体" w:hAnsi="宋体" w:eastAsia="宋体" w:cs="宋体"/>
          <w:b/>
          <w:bCs/>
          <w:sz w:val="32"/>
          <w:szCs w:val="32"/>
          <w:highlight w:val="none"/>
          <w:lang w:val="en-US" w:eastAsia="zh-CN"/>
        </w:rPr>
        <w:t>九</w:t>
      </w:r>
      <w:r>
        <w:rPr>
          <w:rFonts w:hint="eastAsia" w:ascii="宋体" w:hAnsi="宋体" w:eastAsia="宋体" w:cs="宋体"/>
          <w:b/>
          <w:bCs/>
          <w:sz w:val="32"/>
          <w:szCs w:val="32"/>
          <w:highlight w:val="none"/>
        </w:rPr>
        <w:t>、</w:t>
      </w:r>
      <w:bookmarkEnd w:id="1112"/>
      <w:bookmarkEnd w:id="1113"/>
      <w:bookmarkEnd w:id="1114"/>
      <w:bookmarkStart w:id="1115" w:name="_Toc15896"/>
      <w:bookmarkStart w:id="1116" w:name="_Toc26236"/>
      <w:r>
        <w:rPr>
          <w:rFonts w:hint="eastAsia" w:ascii="宋体" w:hAnsi="宋体" w:eastAsia="宋体" w:cs="宋体"/>
          <w:b/>
          <w:bCs/>
          <w:color w:val="auto"/>
          <w:sz w:val="30"/>
          <w:szCs w:val="30"/>
          <w:highlight w:val="none"/>
          <w:lang w:val="en-US" w:eastAsia="zh-CN"/>
        </w:rPr>
        <w:t>其他材料</w:t>
      </w:r>
    </w:p>
    <w:bookmarkEnd w:id="1115"/>
    <w:bookmarkEnd w:id="1116"/>
    <w:p w14:paraId="6FC35A60">
      <w:pPr>
        <w:spacing w:line="312" w:lineRule="auto"/>
        <w:ind w:right="-334" w:rightChars="-159"/>
        <w:jc w:val="center"/>
        <w:rPr>
          <w:rFonts w:hint="eastAsia" w:ascii="宋体" w:hAnsi="宋体" w:eastAsia="宋体" w:cs="宋体"/>
          <w:b/>
          <w:bCs/>
          <w:color w:val="auto"/>
          <w:sz w:val="28"/>
          <w:szCs w:val="28"/>
          <w:highlight w:val="none"/>
          <w:lang w:val="en-US" w:eastAsia="zh-CN"/>
        </w:rPr>
      </w:pPr>
      <w:bookmarkStart w:id="1117" w:name="_Toc11842"/>
      <w:bookmarkStart w:id="1118" w:name="_Toc22169"/>
      <w:r>
        <w:rPr>
          <w:rFonts w:hint="eastAsia" w:ascii="宋体" w:hAnsi="宋体" w:eastAsia="宋体" w:cs="宋体"/>
          <w:b/>
          <w:bCs/>
          <w:color w:val="auto"/>
          <w:sz w:val="28"/>
          <w:szCs w:val="28"/>
          <w:highlight w:val="none"/>
          <w:lang w:val="en-US" w:eastAsia="zh-CN"/>
        </w:rPr>
        <w:t>投标人认为可提交的其他资料</w:t>
      </w:r>
    </w:p>
    <w:p w14:paraId="60D222E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888658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629F34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08141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62F2167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2C5DC2E">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6BDF4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D4D800A">
      <w:pPr>
        <w:spacing w:line="312" w:lineRule="auto"/>
        <w:ind w:right="-334" w:rightChars="-159"/>
        <w:jc w:val="both"/>
        <w:rPr>
          <w:rFonts w:hint="eastAsia" w:ascii="宋体" w:hAnsi="宋体" w:eastAsia="宋体" w:cs="宋体"/>
          <w:b/>
          <w:bCs/>
          <w:kern w:val="10"/>
          <w:sz w:val="28"/>
          <w:szCs w:val="28"/>
          <w:highlight w:val="none"/>
          <w:lang w:val="en-US" w:eastAsia="zh-CN"/>
        </w:rPr>
      </w:pPr>
    </w:p>
    <w:p w14:paraId="51C743E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054F97BB">
      <w:pPr>
        <w:spacing w:line="312" w:lineRule="auto"/>
        <w:ind w:right="-334" w:rightChars="-159"/>
        <w:jc w:val="both"/>
        <w:rPr>
          <w:rFonts w:hint="eastAsia" w:ascii="宋体" w:hAnsi="宋体" w:eastAsia="宋体" w:cs="宋体"/>
          <w:b/>
          <w:bCs/>
          <w:kern w:val="10"/>
          <w:sz w:val="28"/>
          <w:szCs w:val="28"/>
          <w:highlight w:val="none"/>
          <w:lang w:val="en-US" w:eastAsia="zh-CN"/>
        </w:rPr>
      </w:pPr>
    </w:p>
    <w:p w14:paraId="71170874">
      <w:pPr>
        <w:spacing w:line="312" w:lineRule="auto"/>
        <w:ind w:right="-334" w:rightChars="-159"/>
        <w:jc w:val="both"/>
        <w:rPr>
          <w:rFonts w:hint="eastAsia" w:ascii="宋体" w:hAnsi="宋体" w:eastAsia="宋体" w:cs="宋体"/>
          <w:b/>
          <w:bCs/>
          <w:kern w:val="10"/>
          <w:sz w:val="28"/>
          <w:szCs w:val="28"/>
          <w:highlight w:val="none"/>
          <w:lang w:val="en-US" w:eastAsia="zh-CN"/>
        </w:rPr>
      </w:pPr>
    </w:p>
    <w:p w14:paraId="4BBDAC8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8AE0436">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EE5422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2CC3767">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82D4413">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AD701D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13DFE180">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4777E5C">
      <w:pPr>
        <w:spacing w:line="312" w:lineRule="auto"/>
        <w:ind w:right="-334" w:rightChars="-159"/>
        <w:jc w:val="both"/>
        <w:rPr>
          <w:rFonts w:hint="eastAsia" w:ascii="宋体" w:hAnsi="宋体" w:eastAsia="宋体" w:cs="宋体"/>
          <w:b/>
          <w:bCs/>
          <w:kern w:val="10"/>
          <w:sz w:val="28"/>
          <w:szCs w:val="28"/>
          <w:highlight w:val="none"/>
          <w:lang w:val="en-US" w:eastAsia="zh-CN"/>
        </w:rPr>
      </w:pPr>
    </w:p>
    <w:p w14:paraId="2F20C8CD">
      <w:pPr>
        <w:spacing w:line="312" w:lineRule="auto"/>
        <w:ind w:right="-334" w:rightChars="-159"/>
        <w:jc w:val="both"/>
        <w:rPr>
          <w:rFonts w:hint="eastAsia" w:ascii="宋体" w:hAnsi="宋体" w:eastAsia="宋体" w:cs="宋体"/>
          <w:b/>
          <w:bCs/>
          <w:kern w:val="10"/>
          <w:sz w:val="28"/>
          <w:szCs w:val="28"/>
          <w:highlight w:val="none"/>
          <w:lang w:val="en-US" w:eastAsia="zh-CN"/>
        </w:rPr>
      </w:pPr>
    </w:p>
    <w:bookmarkEnd w:id="1117"/>
    <w:bookmarkEnd w:id="1118"/>
    <w:p w14:paraId="2E5FE203">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附件1</w:t>
      </w:r>
    </w:p>
    <w:p w14:paraId="47D961CF">
      <w:pPr>
        <w:spacing w:line="312" w:lineRule="auto"/>
        <w:ind w:right="-334" w:rightChars="-159"/>
        <w:jc w:val="both"/>
        <w:rPr>
          <w:rFonts w:hint="eastAsia" w:ascii="宋体" w:hAnsi="宋体" w:eastAsia="宋体" w:cs="宋体"/>
          <w:b/>
          <w:bCs/>
          <w:kern w:val="10"/>
          <w:sz w:val="28"/>
          <w:szCs w:val="28"/>
          <w:highlight w:val="none"/>
          <w:lang w:val="en-US" w:eastAsia="zh-CN"/>
        </w:rPr>
      </w:pPr>
    </w:p>
    <w:p w14:paraId="3D8E8E96">
      <w:pPr>
        <w:spacing w:line="312" w:lineRule="auto"/>
        <w:ind w:right="-334" w:rightChars="-159"/>
        <w:jc w:val="center"/>
        <w:rPr>
          <w:rFonts w:hint="eastAsia" w:ascii="宋体" w:hAnsi="宋体" w:eastAsia="宋体" w:cs="宋体"/>
          <w:b/>
          <w:bCs/>
          <w:kern w:val="10"/>
          <w:sz w:val="28"/>
          <w:szCs w:val="28"/>
          <w:highlight w:val="none"/>
        </w:rPr>
      </w:pPr>
      <w:r>
        <w:rPr>
          <w:rFonts w:hint="eastAsia" w:ascii="宋体" w:hAnsi="宋体" w:eastAsia="宋体" w:cs="宋体"/>
          <w:b/>
          <w:bCs/>
          <w:kern w:val="10"/>
          <w:sz w:val="28"/>
          <w:szCs w:val="28"/>
          <w:highlight w:val="none"/>
        </w:rPr>
        <w:t>1、中小企业声明函（工程）</w:t>
      </w:r>
    </w:p>
    <w:p w14:paraId="4BF6D788">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本公司（联合体）郑重声明，根据《政府采购促进中小企业发展管理办法》（财库﹝2020﹞46 号）的规定，本公司（联合体）参加</w:t>
      </w:r>
      <w:r>
        <w:rPr>
          <w:rFonts w:hint="eastAsia" w:ascii="宋体" w:hAnsi="宋体" w:eastAsia="宋体" w:cs="宋体"/>
          <w:kern w:val="0"/>
          <w:sz w:val="24"/>
          <w:szCs w:val="24"/>
          <w:highlight w:val="none"/>
          <w:u w:val="single"/>
        </w:rPr>
        <w:t>（单位名称）</w:t>
      </w:r>
      <w:r>
        <w:rPr>
          <w:rFonts w:hint="eastAsia" w:ascii="宋体" w:hAnsi="宋体" w:eastAsia="宋体" w:cs="宋体"/>
          <w:kern w:val="0"/>
          <w:sz w:val="24"/>
          <w:szCs w:val="24"/>
          <w:highlight w:val="none"/>
        </w:rPr>
        <w:t>的</w:t>
      </w:r>
      <w:r>
        <w:rPr>
          <w:rFonts w:hint="eastAsia" w:ascii="宋体" w:hAnsi="宋体" w:eastAsia="宋体" w:cs="宋体"/>
          <w:kern w:val="0"/>
          <w:sz w:val="24"/>
          <w:szCs w:val="24"/>
          <w:highlight w:val="none"/>
          <w:u w:val="single"/>
        </w:rPr>
        <w:t>（项目名称）</w:t>
      </w:r>
      <w:r>
        <w:rPr>
          <w:rFonts w:hint="eastAsia" w:ascii="宋体" w:hAnsi="宋体" w:eastAsia="宋体" w:cs="宋体"/>
          <w:kern w:val="0"/>
          <w:sz w:val="24"/>
          <w:szCs w:val="24"/>
          <w:highlight w:val="none"/>
        </w:rPr>
        <w:t>采购活动，工程的施工单位全部为符合政策要求的中小企业（或者：服务全部由符合政策要求的中小企业承接）。相关企业（含联合 体中的中小企业、签订分包意向协议的中小企业）的具体情况如下：</w:t>
      </w:r>
    </w:p>
    <w:p w14:paraId="18836016">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r>
        <w:rPr>
          <w:rFonts w:hint="eastAsia" w:ascii="宋体" w:hAnsi="宋体" w:eastAsia="宋体" w:cs="宋体"/>
          <w:kern w:val="0"/>
          <w:sz w:val="24"/>
          <w:szCs w:val="24"/>
          <w:highlight w:val="none"/>
          <w:u w:val="single"/>
        </w:rPr>
        <w:t>（标的名称）</w:t>
      </w:r>
      <w:r>
        <w:rPr>
          <w:rFonts w:hint="eastAsia" w:ascii="宋体" w:hAnsi="宋体" w:eastAsia="宋体" w:cs="宋体"/>
          <w:kern w:val="0"/>
          <w:sz w:val="24"/>
          <w:szCs w:val="24"/>
          <w:highlight w:val="none"/>
        </w:rPr>
        <w:t>，属于</w:t>
      </w:r>
      <w:r>
        <w:rPr>
          <w:rFonts w:hint="eastAsia" w:ascii="宋体" w:hAnsi="宋体" w:eastAsia="宋体" w:cs="宋体"/>
          <w:kern w:val="0"/>
          <w:sz w:val="24"/>
          <w:szCs w:val="24"/>
          <w:highlight w:val="none"/>
          <w:u w:val="single"/>
        </w:rPr>
        <w:t>建筑业（采购文件中明确的所属行业）</w:t>
      </w:r>
      <w:r>
        <w:rPr>
          <w:rFonts w:hint="eastAsia" w:ascii="宋体" w:hAnsi="宋体" w:eastAsia="宋体" w:cs="宋体"/>
          <w:kern w:val="0"/>
          <w:sz w:val="24"/>
          <w:szCs w:val="24"/>
          <w:highlight w:val="none"/>
        </w:rPr>
        <w:t>；承建（承接）企业为</w:t>
      </w:r>
      <w:r>
        <w:rPr>
          <w:rFonts w:hint="eastAsia" w:ascii="宋体" w:hAnsi="宋体" w:eastAsia="宋体" w:cs="宋体"/>
          <w:kern w:val="0"/>
          <w:sz w:val="24"/>
          <w:szCs w:val="24"/>
          <w:highlight w:val="none"/>
          <w:u w:val="single"/>
        </w:rPr>
        <w:t>（企业名称）</w:t>
      </w:r>
      <w:r>
        <w:rPr>
          <w:rFonts w:hint="eastAsia" w:ascii="宋体" w:hAnsi="宋体" w:eastAsia="宋体" w:cs="宋体"/>
          <w:kern w:val="0"/>
          <w:sz w:val="24"/>
          <w:szCs w:val="24"/>
          <w:highlight w:val="none"/>
        </w:rPr>
        <w:t>，从业人员</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人，营业收入为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万元，资产总额为</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u w:val="single"/>
        </w:rPr>
        <w:tab/>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万元，属于</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（中型企业、 小型企业、微型企业）；</w:t>
      </w:r>
    </w:p>
    <w:p w14:paraId="07DF57C0">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以上企业，不属于大企业的分支机构，不存在控股股东为大企业的情形，也不存在与大企业的负责人为同一人的情形。</w:t>
      </w:r>
    </w:p>
    <w:p w14:paraId="50BC6603">
      <w:pPr>
        <w:spacing w:line="360" w:lineRule="auto"/>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本企业对上述声明内容的真实性负责。如有虚假，将依 法承担相应责任。</w:t>
      </w:r>
    </w:p>
    <w:p w14:paraId="4AD9B0FA">
      <w:pPr>
        <w:spacing w:line="312" w:lineRule="auto"/>
        <w:ind w:firstLine="480" w:firstLineChars="200"/>
        <w:jc w:val="left"/>
        <w:rPr>
          <w:rFonts w:hint="eastAsia" w:ascii="宋体" w:hAnsi="宋体" w:eastAsia="宋体" w:cs="宋体"/>
          <w:kern w:val="0"/>
          <w:sz w:val="24"/>
          <w:szCs w:val="24"/>
          <w:highlight w:val="none"/>
        </w:rPr>
      </w:pPr>
    </w:p>
    <w:p w14:paraId="63D0D525">
      <w:pPr>
        <w:pageBreakBefore w:val="0"/>
        <w:bidi w:val="0"/>
        <w:adjustRightInd w:val="0"/>
        <w:snapToGrid w:val="0"/>
        <w:spacing w:beforeAutospacing="0" w:afterAutospacing="0" w:line="360" w:lineRule="auto"/>
        <w:ind w:left="0" w:leftChars="0" w:right="0" w:firstLine="422" w:firstLineChars="200"/>
        <w:rPr>
          <w:rFonts w:hint="eastAsia" w:ascii="宋体" w:hAnsi="宋体" w:eastAsia="宋体" w:cs="宋体"/>
          <w:b/>
          <w:bCs/>
          <w:szCs w:val="24"/>
          <w:highlight w:val="none"/>
          <w:lang w:eastAsia="zh-CN"/>
        </w:rPr>
      </w:pPr>
      <w:r>
        <w:rPr>
          <w:rFonts w:hint="eastAsia" w:ascii="宋体" w:hAnsi="宋体" w:eastAsia="宋体" w:cs="宋体"/>
          <w:b/>
          <w:bCs/>
          <w:szCs w:val="24"/>
          <w:highlight w:val="none"/>
        </w:rPr>
        <w:t>注：（根据《政府采购促进中小企业发展管理办法》（财库〔2020〕46号）规定，本项目专门面向中小企业采购,同时供应商须提供《中小企业声明函》</w:t>
      </w:r>
      <w:r>
        <w:rPr>
          <w:rFonts w:hint="eastAsia" w:ascii="宋体" w:hAnsi="宋体" w:eastAsia="宋体" w:cs="宋体"/>
          <w:b/>
          <w:bCs/>
          <w:szCs w:val="24"/>
          <w:highlight w:val="none"/>
          <w:lang w:eastAsia="zh-CN"/>
        </w:rPr>
        <w:t>。</w:t>
      </w:r>
    </w:p>
    <w:p w14:paraId="6008323A">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1F98F28F">
      <w:pPr>
        <w:pageBreakBefore w:val="0"/>
        <w:bidi w:val="0"/>
        <w:adjustRightInd w:val="0"/>
        <w:snapToGrid w:val="0"/>
        <w:spacing w:beforeAutospacing="0" w:afterAutospacing="0" w:line="360" w:lineRule="auto"/>
        <w:ind w:left="0" w:leftChars="0" w:right="0"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759C420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103744FB">
      <w:pPr>
        <w:pageBreakBefore w:val="0"/>
        <w:bidi w:val="0"/>
        <w:adjustRightInd w:val="0"/>
        <w:snapToGrid w:val="0"/>
        <w:spacing w:beforeAutospacing="0" w:afterAutospacing="0" w:line="360" w:lineRule="auto"/>
        <w:ind w:right="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注：①从业人员、营业收入、资产总额填报上一年度数据，无上一年度数据的新成立企业可不填报。</w:t>
      </w:r>
    </w:p>
    <w:p w14:paraId="5A62FF18">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②供应商提供的货物既有中小企业制造货物，也有大型企业制造货物的，不享受《政府采购促进中小企业发展管理办法》规定的中小企业扶持政策。</w:t>
      </w:r>
    </w:p>
    <w:p w14:paraId="2A3B91B3">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 xml:space="preserve">③以联合体形式参加政府采购活动，联合体各方均为中小企业的，联合体视同中小企业。其中，联合体各方均为小微企业的，联合体视同小微企业。 </w:t>
      </w:r>
    </w:p>
    <w:p w14:paraId="779F8F9A">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④在政府采购活动中，供应商提供的所有货物由小微企业制造，即货物由小微企业生产且使用该小微企业商号或者注册商标的，才能享受《政府采购促进中小企业发展管理办法》规定的价格扣减。</w:t>
      </w:r>
    </w:p>
    <w:p w14:paraId="58ECA39E">
      <w:pPr>
        <w:pageBreakBefore w:val="0"/>
        <w:bidi w:val="0"/>
        <w:adjustRightInd w:val="0"/>
        <w:snapToGrid w:val="0"/>
        <w:spacing w:beforeAutospacing="0" w:afterAutospacing="0" w:line="360" w:lineRule="auto"/>
        <w:ind w:left="0" w:leftChars="0" w:right="0" w:firstLine="440" w:firstLineChars="20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⑤中小企业声明函格式应严格按照磋商文件提供的格式填写。非单一产品采购的，设备制造商不止一家时，中小企业声明函中须列出所有的设备及制造商，罗列不全的中小企业声明函不予认可。</w:t>
      </w:r>
    </w:p>
    <w:p w14:paraId="7E609DD8">
      <w:pPr>
        <w:pStyle w:val="10"/>
        <w:pageBreakBefore w:val="0"/>
        <w:tabs>
          <w:tab w:val="left" w:pos="219"/>
        </w:tabs>
        <w:bidi w:val="0"/>
        <w:adjustRightInd w:val="0"/>
        <w:snapToGrid w:val="0"/>
        <w:spacing w:after="0" w:line="360" w:lineRule="auto"/>
        <w:ind w:left="0" w:leftChars="0" w:right="0" w:rightChars="0"/>
        <w:rPr>
          <w:rFonts w:hint="eastAsia" w:ascii="宋体" w:hAnsi="宋体" w:eastAsia="宋体" w:cs="宋体"/>
          <w:color w:val="000000"/>
          <w:kern w:val="10"/>
          <w:sz w:val="22"/>
          <w:szCs w:val="22"/>
          <w:highlight w:val="none"/>
          <w:shd w:val="clear" w:color="auto" w:fill="FFFFFF"/>
        </w:rPr>
      </w:pPr>
      <w:r>
        <w:rPr>
          <w:rFonts w:hint="eastAsia" w:ascii="宋体" w:hAnsi="宋体" w:eastAsia="宋体" w:cs="宋体"/>
          <w:color w:val="000000"/>
          <w:kern w:val="10"/>
          <w:sz w:val="22"/>
          <w:szCs w:val="22"/>
          <w:highlight w:val="none"/>
          <w:shd w:val="clear" w:color="auto" w:fill="FFFFFF"/>
        </w:rPr>
        <w:t>⑥在货物采购项目中，货物应当由中小企业制造，不对其中涉及的服务的承接商作出要求。</w:t>
      </w:r>
    </w:p>
    <w:p w14:paraId="33735232">
      <w:pPr>
        <w:pStyle w:val="10"/>
        <w:pageBreakBefore w:val="0"/>
        <w:tabs>
          <w:tab w:val="left" w:pos="219"/>
        </w:tabs>
        <w:bidi w:val="0"/>
        <w:adjustRightInd w:val="0"/>
        <w:snapToGrid w:val="0"/>
        <w:spacing w:after="0" w:line="360" w:lineRule="auto"/>
        <w:ind w:left="0" w:leftChars="0" w:right="0" w:rightChars="0"/>
        <w:rPr>
          <w:spacing w:val="-14"/>
          <w:sz w:val="31"/>
          <w:szCs w:val="31"/>
          <w:highlight w:val="none"/>
        </w:rPr>
      </w:pPr>
    </w:p>
    <w:p w14:paraId="7DEA3C6B">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5A7BD07">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2A496659">
      <w:pPr>
        <w:pageBreakBefore w:val="0"/>
        <w:bidi w:val="0"/>
        <w:adjustRightInd w:val="0"/>
        <w:snapToGrid w:val="0"/>
        <w:spacing w:beforeAutospacing="0" w:afterAutospacing="0" w:line="360" w:lineRule="auto"/>
        <w:ind w:left="0" w:leftChars="0" w:right="0" w:rightChars="0"/>
        <w:jc w:val="center"/>
        <w:outlineLvl w:val="1"/>
        <w:rPr>
          <w:rFonts w:hint="eastAsia" w:ascii="宋体" w:hAnsi="宋体" w:eastAsia="宋体" w:cs="宋体"/>
          <w:b/>
          <w:bCs/>
          <w:color w:val="000000"/>
          <w:kern w:val="10"/>
          <w:sz w:val="28"/>
          <w:szCs w:val="28"/>
          <w:highlight w:val="none"/>
          <w:shd w:val="clear" w:color="auto" w:fill="FFFFFF"/>
        </w:rPr>
      </w:pPr>
    </w:p>
    <w:p w14:paraId="6FCC238D">
      <w:pPr>
        <w:pStyle w:val="37"/>
        <w:rPr>
          <w:rFonts w:hint="eastAsia" w:ascii="宋体" w:hAnsi="宋体" w:eastAsia="宋体" w:cs="宋体"/>
          <w:b/>
          <w:bCs/>
          <w:color w:val="000000"/>
          <w:kern w:val="10"/>
          <w:sz w:val="28"/>
          <w:szCs w:val="28"/>
          <w:highlight w:val="none"/>
          <w:shd w:val="clear" w:color="auto" w:fill="FFFFFF"/>
        </w:rPr>
      </w:pPr>
    </w:p>
    <w:p w14:paraId="2FB5D13B">
      <w:pPr>
        <w:pStyle w:val="37"/>
        <w:rPr>
          <w:rFonts w:hint="eastAsia" w:ascii="宋体" w:hAnsi="宋体" w:eastAsia="宋体" w:cs="宋体"/>
          <w:b/>
          <w:bCs/>
          <w:color w:val="000000"/>
          <w:kern w:val="10"/>
          <w:sz w:val="28"/>
          <w:szCs w:val="28"/>
          <w:highlight w:val="none"/>
          <w:shd w:val="clear" w:color="auto" w:fill="FFFFFF"/>
        </w:rPr>
      </w:pPr>
    </w:p>
    <w:p w14:paraId="6B330100">
      <w:pPr>
        <w:pStyle w:val="37"/>
        <w:rPr>
          <w:rFonts w:hint="eastAsia" w:ascii="宋体" w:hAnsi="宋体" w:eastAsia="宋体" w:cs="宋体"/>
          <w:b/>
          <w:bCs/>
          <w:color w:val="000000"/>
          <w:kern w:val="10"/>
          <w:sz w:val="28"/>
          <w:szCs w:val="28"/>
          <w:highlight w:val="none"/>
          <w:shd w:val="clear" w:color="auto" w:fill="FFFFFF"/>
        </w:rPr>
      </w:pPr>
    </w:p>
    <w:p w14:paraId="22CC913A">
      <w:pPr>
        <w:pStyle w:val="37"/>
        <w:rPr>
          <w:rFonts w:hint="eastAsia" w:ascii="宋体" w:hAnsi="宋体" w:eastAsia="宋体" w:cs="宋体"/>
          <w:b/>
          <w:bCs/>
          <w:color w:val="000000"/>
          <w:kern w:val="10"/>
          <w:sz w:val="28"/>
          <w:szCs w:val="28"/>
          <w:highlight w:val="none"/>
          <w:shd w:val="clear" w:color="auto" w:fill="FFFFFF"/>
        </w:rPr>
      </w:pPr>
    </w:p>
    <w:p w14:paraId="2F2DC9BB">
      <w:pPr>
        <w:pStyle w:val="37"/>
        <w:rPr>
          <w:rFonts w:hint="eastAsia" w:ascii="宋体" w:hAnsi="宋体" w:eastAsia="宋体" w:cs="宋体"/>
          <w:b/>
          <w:bCs/>
          <w:color w:val="000000"/>
          <w:kern w:val="10"/>
          <w:sz w:val="28"/>
          <w:szCs w:val="28"/>
          <w:highlight w:val="none"/>
          <w:shd w:val="clear" w:color="auto" w:fill="FFFFFF"/>
        </w:rPr>
      </w:pPr>
    </w:p>
    <w:p w14:paraId="36E51069">
      <w:pPr>
        <w:pStyle w:val="37"/>
        <w:rPr>
          <w:rFonts w:hint="eastAsia" w:ascii="宋体" w:hAnsi="宋体" w:eastAsia="宋体" w:cs="宋体"/>
          <w:b/>
          <w:bCs/>
          <w:color w:val="000000"/>
          <w:kern w:val="10"/>
          <w:sz w:val="28"/>
          <w:szCs w:val="28"/>
          <w:highlight w:val="none"/>
          <w:shd w:val="clear" w:color="auto" w:fill="FFFFFF"/>
        </w:rPr>
      </w:pPr>
    </w:p>
    <w:p w14:paraId="01386257">
      <w:pPr>
        <w:pStyle w:val="37"/>
        <w:rPr>
          <w:rFonts w:hint="eastAsia" w:ascii="宋体" w:hAnsi="宋体" w:eastAsia="宋体" w:cs="宋体"/>
          <w:b/>
          <w:bCs/>
          <w:color w:val="000000"/>
          <w:kern w:val="10"/>
          <w:sz w:val="28"/>
          <w:szCs w:val="28"/>
          <w:highlight w:val="none"/>
          <w:shd w:val="clear" w:color="auto" w:fill="FFFFFF"/>
        </w:rPr>
      </w:pPr>
    </w:p>
    <w:p w14:paraId="5B354A73">
      <w:pPr>
        <w:pStyle w:val="37"/>
        <w:rPr>
          <w:rFonts w:hint="eastAsia" w:ascii="宋体" w:hAnsi="宋体" w:eastAsia="宋体" w:cs="宋体"/>
          <w:b/>
          <w:bCs/>
          <w:color w:val="000000"/>
          <w:kern w:val="10"/>
          <w:sz w:val="28"/>
          <w:szCs w:val="28"/>
          <w:highlight w:val="none"/>
          <w:shd w:val="clear" w:color="auto" w:fill="FFFFFF"/>
        </w:rPr>
      </w:pPr>
    </w:p>
    <w:p w14:paraId="529590C5">
      <w:pPr>
        <w:pStyle w:val="37"/>
        <w:rPr>
          <w:rFonts w:hint="eastAsia" w:ascii="宋体" w:hAnsi="宋体" w:eastAsia="宋体" w:cs="宋体"/>
          <w:b/>
          <w:bCs/>
          <w:color w:val="000000"/>
          <w:kern w:val="10"/>
          <w:sz w:val="28"/>
          <w:szCs w:val="28"/>
          <w:highlight w:val="none"/>
          <w:shd w:val="clear" w:color="auto" w:fill="FFFFFF"/>
        </w:rPr>
      </w:pPr>
    </w:p>
    <w:p w14:paraId="72D8F52E">
      <w:pPr>
        <w:pStyle w:val="37"/>
        <w:rPr>
          <w:rFonts w:hint="eastAsia" w:ascii="宋体" w:hAnsi="宋体" w:eastAsia="宋体" w:cs="宋体"/>
          <w:b/>
          <w:bCs/>
          <w:color w:val="000000"/>
          <w:kern w:val="10"/>
          <w:sz w:val="28"/>
          <w:szCs w:val="28"/>
          <w:highlight w:val="none"/>
          <w:shd w:val="clear" w:color="auto" w:fill="FFFFFF"/>
        </w:rPr>
      </w:pPr>
    </w:p>
    <w:p w14:paraId="605C455A">
      <w:pPr>
        <w:pStyle w:val="37"/>
        <w:rPr>
          <w:rFonts w:hint="eastAsia" w:ascii="宋体" w:hAnsi="宋体" w:eastAsia="宋体" w:cs="宋体"/>
          <w:b/>
          <w:bCs/>
          <w:color w:val="000000"/>
          <w:kern w:val="10"/>
          <w:sz w:val="28"/>
          <w:szCs w:val="28"/>
          <w:highlight w:val="none"/>
          <w:shd w:val="clear" w:color="auto" w:fill="FFFFFF"/>
        </w:rPr>
      </w:pPr>
    </w:p>
    <w:p w14:paraId="2EFFC651">
      <w:pPr>
        <w:pStyle w:val="37"/>
        <w:rPr>
          <w:rFonts w:hint="eastAsia" w:ascii="宋体" w:hAnsi="宋体" w:eastAsia="宋体" w:cs="宋体"/>
          <w:b/>
          <w:bCs/>
          <w:color w:val="000000"/>
          <w:kern w:val="10"/>
          <w:sz w:val="28"/>
          <w:szCs w:val="28"/>
          <w:highlight w:val="none"/>
          <w:shd w:val="clear" w:color="auto" w:fill="FFFFFF"/>
        </w:rPr>
      </w:pPr>
    </w:p>
    <w:p w14:paraId="2BB3B1E0">
      <w:pPr>
        <w:pStyle w:val="37"/>
        <w:rPr>
          <w:rFonts w:hint="eastAsia" w:ascii="宋体" w:hAnsi="宋体" w:eastAsia="宋体" w:cs="宋体"/>
          <w:b/>
          <w:bCs/>
          <w:color w:val="000000"/>
          <w:kern w:val="10"/>
          <w:sz w:val="28"/>
          <w:szCs w:val="28"/>
          <w:highlight w:val="none"/>
          <w:shd w:val="clear" w:color="auto" w:fill="FFFFFF"/>
        </w:rPr>
      </w:pPr>
    </w:p>
    <w:p w14:paraId="4269F07E">
      <w:pPr>
        <w:pStyle w:val="37"/>
        <w:rPr>
          <w:rFonts w:hint="eastAsia" w:ascii="宋体" w:hAnsi="宋体" w:eastAsia="宋体" w:cs="宋体"/>
          <w:b/>
          <w:bCs/>
          <w:color w:val="000000"/>
          <w:kern w:val="10"/>
          <w:sz w:val="28"/>
          <w:szCs w:val="28"/>
          <w:highlight w:val="none"/>
          <w:shd w:val="clear" w:color="auto" w:fill="FFFFFF"/>
        </w:rPr>
      </w:pPr>
    </w:p>
    <w:p w14:paraId="1DEA5597">
      <w:pPr>
        <w:pStyle w:val="37"/>
        <w:rPr>
          <w:rFonts w:hint="eastAsia" w:ascii="宋体" w:hAnsi="宋体" w:eastAsia="宋体" w:cs="宋体"/>
          <w:b/>
          <w:bCs/>
          <w:color w:val="000000"/>
          <w:kern w:val="10"/>
          <w:sz w:val="28"/>
          <w:szCs w:val="28"/>
          <w:highlight w:val="none"/>
          <w:shd w:val="clear" w:color="auto" w:fill="FFFFFF"/>
        </w:rPr>
      </w:pPr>
    </w:p>
    <w:p w14:paraId="44308DA0">
      <w:pPr>
        <w:pStyle w:val="37"/>
        <w:rPr>
          <w:rFonts w:hint="eastAsia" w:ascii="宋体" w:hAnsi="宋体" w:eastAsia="宋体" w:cs="宋体"/>
          <w:b/>
          <w:bCs/>
          <w:color w:val="000000"/>
          <w:kern w:val="10"/>
          <w:sz w:val="28"/>
          <w:szCs w:val="28"/>
          <w:highlight w:val="none"/>
          <w:shd w:val="clear" w:color="auto" w:fill="FFFFFF"/>
        </w:rPr>
      </w:pPr>
    </w:p>
    <w:p w14:paraId="12F1C26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19" w:name="_Toc121749381"/>
      <w:bookmarkStart w:id="1120" w:name="_Toc122004270"/>
      <w:bookmarkStart w:id="1121" w:name="_Toc141079824"/>
      <w:r>
        <w:rPr>
          <w:rFonts w:hint="eastAsia" w:ascii="宋体" w:hAnsi="宋体" w:eastAsia="宋体" w:cs="宋体"/>
          <w:b/>
          <w:bCs/>
          <w:color w:val="000000"/>
          <w:kern w:val="10"/>
          <w:sz w:val="28"/>
          <w:szCs w:val="28"/>
          <w:highlight w:val="none"/>
          <w:shd w:val="clear" w:color="auto" w:fill="FFFFFF"/>
        </w:rPr>
        <w:t>（二）监狱企业证明材料</w:t>
      </w:r>
      <w:bookmarkEnd w:id="1119"/>
      <w:bookmarkEnd w:id="1120"/>
      <w:bookmarkEnd w:id="1121"/>
    </w:p>
    <w:p w14:paraId="799D71A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10732DE4">
      <w:pPr>
        <w:pageBreakBefore w:val="0"/>
        <w:bidi w:val="0"/>
        <w:adjustRightInd w:val="0"/>
        <w:snapToGrid w:val="0"/>
        <w:spacing w:beforeAutospacing="0" w:afterAutospacing="0" w:line="360" w:lineRule="auto"/>
        <w:ind w:left="0" w:leftChars="0" w:right="0" w:firstLine="504" w:firstLineChars="200"/>
        <w:jc w:val="left"/>
        <w:outlineLvl w:val="1"/>
        <w:rPr>
          <w:rFonts w:hint="eastAsia" w:ascii="宋体" w:hAnsi="宋体" w:eastAsia="宋体" w:cs="宋体"/>
          <w:spacing w:val="6"/>
          <w:sz w:val="24"/>
          <w:highlight w:val="none"/>
          <w:shd w:val="clear" w:color="auto" w:fill="FFFFFF"/>
        </w:rPr>
      </w:pPr>
      <w:bookmarkStart w:id="1122" w:name="_Toc141079825"/>
      <w:bookmarkStart w:id="1123" w:name="_Toc121749382"/>
      <w:bookmarkStart w:id="1124" w:name="_Toc122004271"/>
      <w:r>
        <w:rPr>
          <w:rFonts w:hint="eastAsia" w:ascii="宋体" w:hAnsi="宋体" w:eastAsia="宋体" w:cs="宋体"/>
          <w:spacing w:val="6"/>
          <w:sz w:val="24"/>
          <w:highlight w:val="none"/>
          <w:shd w:val="clear" w:color="auto" w:fill="FFFFFF"/>
        </w:rPr>
        <w:t>监狱企业参加政府采购活动时，应当提供由省级以上监狱管理局、戒毒管理局（含新疆生产建设兵团）出具的属于监狱企业的证明文件。</w:t>
      </w:r>
      <w:bookmarkEnd w:id="1122"/>
      <w:bookmarkEnd w:id="1123"/>
      <w:bookmarkEnd w:id="1124"/>
    </w:p>
    <w:p w14:paraId="1A6B3A59">
      <w:pPr>
        <w:pageBreakBefore w:val="0"/>
        <w:bidi w:val="0"/>
        <w:adjustRightInd w:val="0"/>
        <w:snapToGrid w:val="0"/>
        <w:spacing w:beforeAutospacing="0" w:afterAutospacing="0" w:line="360" w:lineRule="auto"/>
        <w:ind w:left="0" w:leftChars="0" w:right="0" w:firstLine="562" w:firstLineChars="200"/>
        <w:jc w:val="left"/>
        <w:outlineLvl w:val="1"/>
        <w:rPr>
          <w:rFonts w:hint="eastAsia" w:ascii="宋体" w:hAnsi="宋体" w:eastAsia="宋体" w:cs="宋体"/>
          <w:b/>
          <w:bCs/>
          <w:color w:val="000000"/>
          <w:kern w:val="10"/>
          <w:sz w:val="28"/>
          <w:szCs w:val="28"/>
          <w:highlight w:val="none"/>
          <w:shd w:val="clear" w:color="auto" w:fill="FFFFFF"/>
          <w:lang w:val="en-GB"/>
        </w:rPr>
      </w:pPr>
    </w:p>
    <w:p w14:paraId="579960F5">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color w:val="000000"/>
          <w:sz w:val="24"/>
          <w:highlight w:val="none"/>
        </w:rPr>
        <w:t>（提醒：如果投标人</w:t>
      </w:r>
      <w:r>
        <w:rPr>
          <w:rFonts w:hint="eastAsia" w:ascii="宋体" w:hAnsi="宋体" w:eastAsia="宋体" w:cs="宋体"/>
          <w:b/>
          <w:color w:val="000000"/>
          <w:spacing w:val="10"/>
          <w:kern w:val="0"/>
          <w:sz w:val="24"/>
          <w:highlight w:val="none"/>
        </w:rPr>
        <w:t>不是</w:t>
      </w:r>
      <w:r>
        <w:rPr>
          <w:rFonts w:hint="eastAsia" w:ascii="宋体" w:hAnsi="宋体" w:eastAsia="宋体" w:cs="宋体"/>
          <w:b/>
          <w:bCs/>
          <w:color w:val="000000"/>
          <w:sz w:val="24"/>
          <w:highlight w:val="none"/>
          <w:lang w:val="en-GB"/>
        </w:rPr>
        <w:t>监狱企业</w:t>
      </w:r>
      <w:r>
        <w:rPr>
          <w:rFonts w:hint="eastAsia" w:ascii="宋体" w:hAnsi="宋体" w:eastAsia="宋体" w:cs="宋体"/>
          <w:b/>
          <w:color w:val="000000"/>
          <w:sz w:val="24"/>
          <w:highlight w:val="none"/>
        </w:rPr>
        <w:t>，则不需要提供</w:t>
      </w:r>
      <w:r>
        <w:rPr>
          <w:rFonts w:hint="eastAsia" w:ascii="宋体" w:hAnsi="宋体" w:eastAsia="宋体" w:cs="宋体"/>
          <w:b/>
          <w:color w:val="000000"/>
          <w:sz w:val="24"/>
          <w:highlight w:val="none"/>
          <w:lang w:val="en-GB"/>
        </w:rPr>
        <w:t>证明材料</w:t>
      </w:r>
      <w:r>
        <w:rPr>
          <w:rFonts w:hint="eastAsia" w:ascii="宋体" w:hAnsi="宋体" w:cs="宋体"/>
          <w:b/>
          <w:color w:val="000000"/>
          <w:sz w:val="24"/>
          <w:highlight w:val="none"/>
          <w:lang w:val="en-GB" w:eastAsia="zh-CN"/>
        </w:rPr>
        <w:t>，</w:t>
      </w:r>
      <w:r>
        <w:rPr>
          <w:rFonts w:hint="eastAsia" w:ascii="宋体" w:hAnsi="宋体" w:cs="宋体"/>
          <w:b/>
          <w:color w:val="000000"/>
          <w:sz w:val="24"/>
          <w:highlight w:val="none"/>
          <w:lang w:val="en-US" w:eastAsia="zh-CN"/>
        </w:rPr>
        <w:t>不删除本项，标明不属于监狱企业</w:t>
      </w:r>
      <w:r>
        <w:rPr>
          <w:rFonts w:hint="eastAsia" w:ascii="宋体" w:hAnsi="宋体" w:eastAsia="宋体" w:cs="宋体"/>
          <w:b/>
          <w:color w:val="000000"/>
          <w:sz w:val="24"/>
          <w:highlight w:val="none"/>
        </w:rPr>
        <w:t>）</w:t>
      </w:r>
    </w:p>
    <w:p w14:paraId="1DC3F82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92E05E4">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40807BC">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53DE86D5">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350903BA">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FD0A4F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0D63F0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164BED5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721AE5F">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bookmarkStart w:id="1125" w:name="_Toc121749383"/>
      <w:bookmarkStart w:id="1126" w:name="_Toc141079826"/>
      <w:bookmarkStart w:id="1127" w:name="_Toc122004272"/>
    </w:p>
    <w:p w14:paraId="60B01F3B">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0E995FC">
      <w:pPr>
        <w:pageBreakBefore w:val="0"/>
        <w:bidi w:val="0"/>
        <w:adjustRightInd w:val="0"/>
        <w:snapToGrid w:val="0"/>
        <w:spacing w:beforeAutospacing="0" w:afterAutospacing="0" w:line="360" w:lineRule="auto"/>
        <w:ind w:left="0" w:leftChars="0" w:right="0"/>
        <w:jc w:val="both"/>
        <w:outlineLvl w:val="1"/>
        <w:rPr>
          <w:rFonts w:hint="eastAsia" w:ascii="宋体" w:hAnsi="宋体" w:eastAsia="宋体" w:cs="宋体"/>
          <w:b/>
          <w:bCs/>
          <w:color w:val="000000"/>
          <w:kern w:val="10"/>
          <w:sz w:val="28"/>
          <w:szCs w:val="28"/>
          <w:highlight w:val="none"/>
          <w:shd w:val="clear" w:color="auto" w:fill="FFFFFF"/>
        </w:rPr>
      </w:pPr>
    </w:p>
    <w:p w14:paraId="43FD2B2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0F28DDE3">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2103A1A7">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B2A9508">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75EC747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439E809E">
      <w:pPr>
        <w:pStyle w:val="38"/>
        <w:rPr>
          <w:rFonts w:hint="eastAsia"/>
          <w:highlight w:val="none"/>
        </w:rPr>
      </w:pPr>
    </w:p>
    <w:p w14:paraId="5879E7A5">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619F1A56">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p>
    <w:p w14:paraId="5C02A692">
      <w:pPr>
        <w:pageBreakBefore w:val="0"/>
        <w:bidi w:val="0"/>
        <w:adjustRightInd w:val="0"/>
        <w:snapToGrid w:val="0"/>
        <w:spacing w:beforeAutospacing="0" w:afterAutospacing="0" w:line="360" w:lineRule="auto"/>
        <w:ind w:left="0" w:leftChars="0" w:right="0"/>
        <w:jc w:val="center"/>
        <w:outlineLvl w:val="1"/>
        <w:rPr>
          <w:rFonts w:hint="eastAsia" w:ascii="宋体" w:hAnsi="宋体" w:eastAsia="宋体" w:cs="宋体"/>
          <w:b/>
          <w:bCs/>
          <w:color w:val="000000"/>
          <w:kern w:val="10"/>
          <w:sz w:val="28"/>
          <w:szCs w:val="28"/>
          <w:highlight w:val="none"/>
          <w:shd w:val="clear" w:color="auto" w:fill="FFFFFF"/>
        </w:rPr>
      </w:pPr>
      <w:r>
        <w:rPr>
          <w:rFonts w:hint="eastAsia" w:ascii="宋体" w:hAnsi="宋体" w:eastAsia="宋体" w:cs="宋体"/>
          <w:b/>
          <w:bCs/>
          <w:color w:val="000000"/>
          <w:kern w:val="10"/>
          <w:sz w:val="28"/>
          <w:szCs w:val="28"/>
          <w:highlight w:val="none"/>
          <w:shd w:val="clear" w:color="auto" w:fill="FFFFFF"/>
        </w:rPr>
        <w:t>（三）残疾人福利性单位声明函</w:t>
      </w:r>
      <w:bookmarkEnd w:id="1125"/>
      <w:bookmarkEnd w:id="1126"/>
      <w:bookmarkEnd w:id="1127"/>
    </w:p>
    <w:p w14:paraId="2BBD7E6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单位的</w:t>
      </w:r>
      <w:r>
        <w:rPr>
          <w:rFonts w:hint="eastAsia" w:ascii="宋体" w:hAnsi="宋体" w:eastAsia="宋体" w:cs="宋体"/>
          <w:spacing w:val="6"/>
          <w:sz w:val="24"/>
          <w:highlight w:val="none"/>
          <w:u w:val="single"/>
          <w:shd w:val="clear" w:color="auto" w:fill="FFFFFF"/>
        </w:rPr>
        <w:t xml:space="preserve">      </w:t>
      </w:r>
      <w:r>
        <w:rPr>
          <w:rFonts w:hint="eastAsia" w:ascii="宋体" w:hAnsi="宋体" w:eastAsia="宋体" w:cs="宋体"/>
          <w:spacing w:val="6"/>
          <w:sz w:val="24"/>
          <w:highlight w:val="none"/>
          <w:shd w:val="clear" w:color="auto" w:fill="FFFFFF"/>
        </w:rPr>
        <w:t>项目采购活动提供本单位制造的货物（由本单位承担工程/提供服务），或者提供其他残疾人福利性单位制造的货物（不包括使用非残疾人福利性单位注册商标的货物）。</w:t>
      </w:r>
    </w:p>
    <w:p w14:paraId="7044CD9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本单位对上述声明的真实性负责。如有虚假，将依法承担相应责任。</w:t>
      </w:r>
    </w:p>
    <w:p w14:paraId="3E8212F4">
      <w:pPr>
        <w:pageBreakBefore w:val="0"/>
        <w:widowControl/>
        <w:bidi w:val="0"/>
        <w:adjustRightInd w:val="0"/>
        <w:snapToGrid w:val="0"/>
        <w:spacing w:beforeAutospacing="0" w:afterAutospacing="0" w:line="360" w:lineRule="auto"/>
        <w:ind w:left="0" w:leftChars="0" w:right="0"/>
        <w:rPr>
          <w:rFonts w:hint="eastAsia" w:ascii="宋体" w:hAnsi="宋体" w:eastAsia="宋体" w:cs="宋体"/>
          <w:b/>
          <w:color w:val="000000"/>
          <w:sz w:val="24"/>
          <w:highlight w:val="none"/>
        </w:rPr>
      </w:pPr>
      <w:r>
        <w:rPr>
          <w:rFonts w:hint="eastAsia" w:ascii="宋体" w:hAnsi="宋体" w:eastAsia="宋体" w:cs="宋体"/>
          <w:b/>
          <w:spacing w:val="6"/>
          <w:sz w:val="24"/>
          <w:highlight w:val="none"/>
          <w:shd w:val="clear" w:color="auto" w:fill="FFFFFF"/>
        </w:rPr>
        <w:t>（提醒：如果投标人不是残疾人福利性单位，则不需要提供</w:t>
      </w:r>
      <w:r>
        <w:rPr>
          <w:rFonts w:hint="eastAsia" w:ascii="宋体" w:hAnsi="宋体" w:cs="宋体"/>
          <w:b/>
          <w:spacing w:val="6"/>
          <w:sz w:val="24"/>
          <w:highlight w:val="none"/>
          <w:shd w:val="clear" w:color="auto" w:fill="FFFFFF"/>
          <w:lang w:val="en-US" w:eastAsia="zh-CN"/>
        </w:rPr>
        <w:t>证明材料，</w:t>
      </w:r>
      <w:r>
        <w:rPr>
          <w:rFonts w:hint="eastAsia" w:ascii="宋体" w:hAnsi="宋体" w:cs="宋体"/>
          <w:b/>
          <w:color w:val="000000"/>
          <w:sz w:val="24"/>
          <w:highlight w:val="none"/>
          <w:lang w:val="en-US" w:eastAsia="zh-CN"/>
        </w:rPr>
        <w:t>不删除本项，标明不属于残疾人福利性单位</w:t>
      </w:r>
      <w:r>
        <w:rPr>
          <w:rFonts w:hint="eastAsia" w:ascii="宋体" w:hAnsi="宋体" w:eastAsia="宋体" w:cs="宋体"/>
          <w:b/>
          <w:color w:val="000000"/>
          <w:sz w:val="24"/>
          <w:highlight w:val="none"/>
        </w:rPr>
        <w:t>）</w:t>
      </w:r>
    </w:p>
    <w:p w14:paraId="6BB2BDA6">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p>
    <w:p w14:paraId="6C86C153">
      <w:pPr>
        <w:pageBreakBefore w:val="0"/>
        <w:wordWrap w:val="0"/>
        <w:bidi w:val="0"/>
        <w:adjustRightInd w:val="0"/>
        <w:snapToGrid w:val="0"/>
        <w:spacing w:beforeAutospacing="0" w:afterAutospacing="0" w:line="360" w:lineRule="auto"/>
        <w:ind w:left="0" w:leftChars="0" w:right="0"/>
        <w:jc w:val="right"/>
        <w:rPr>
          <w:rFonts w:hint="eastAsia" w:ascii="宋体" w:hAnsi="宋体" w:eastAsia="宋体" w:cs="宋体"/>
          <w:sz w:val="24"/>
          <w:highlight w:val="none"/>
        </w:rPr>
      </w:pPr>
      <w:r>
        <w:rPr>
          <w:rFonts w:hint="eastAsia" w:ascii="宋体" w:hAnsi="宋体" w:eastAsia="宋体" w:cs="宋体"/>
          <w:spacing w:val="6"/>
          <w:sz w:val="24"/>
          <w:highlight w:val="none"/>
          <w:shd w:val="clear" w:color="auto" w:fill="FFFFFF"/>
        </w:rPr>
        <w:t xml:space="preserve">        </w:t>
      </w:r>
      <w:r>
        <w:rPr>
          <w:rFonts w:hint="eastAsia" w:ascii="宋体" w:hAnsi="宋体" w:eastAsia="宋体" w:cs="宋体"/>
          <w:sz w:val="24"/>
          <w:highlight w:val="none"/>
          <w:lang w:val="en-US" w:eastAsia="zh-CN"/>
        </w:rPr>
        <w:t>投标人</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电子签章</w:t>
      </w:r>
      <w:r>
        <w:rPr>
          <w:rFonts w:hint="eastAsia" w:ascii="宋体" w:hAnsi="宋体" w:eastAsia="宋体" w:cs="宋体"/>
          <w:sz w:val="24"/>
          <w:highlight w:val="none"/>
        </w:rPr>
        <w:t>）</w:t>
      </w:r>
    </w:p>
    <w:p w14:paraId="02B85F09">
      <w:pPr>
        <w:pageBreakBefore w:val="0"/>
        <w:bidi w:val="0"/>
        <w:adjustRightInd w:val="0"/>
        <w:snapToGrid w:val="0"/>
        <w:spacing w:beforeAutospacing="0" w:afterAutospacing="0" w:line="360" w:lineRule="auto"/>
        <w:ind w:left="0" w:leftChars="0" w:right="0"/>
        <w:rPr>
          <w:rFonts w:hint="eastAsia" w:ascii="宋体" w:hAnsi="宋体" w:eastAsia="宋体" w:cs="宋体"/>
          <w:color w:val="000000"/>
          <w:kern w:val="10"/>
          <w:sz w:val="24"/>
          <w:highlight w:val="none"/>
        </w:rPr>
      </w:pPr>
      <w:r>
        <w:rPr>
          <w:rFonts w:hint="eastAsia" w:ascii="宋体" w:hAnsi="宋体" w:eastAsia="宋体" w:cs="宋体"/>
          <w:sz w:val="24"/>
          <w:highlight w:val="none"/>
        </w:rPr>
        <w:t xml:space="preserve">                                </w:t>
      </w:r>
      <w:r>
        <w:rPr>
          <w:rFonts w:hint="eastAsia" w:ascii="宋体" w:hAnsi="宋体" w:eastAsia="宋体" w:cs="宋体"/>
          <w:spacing w:val="6"/>
          <w:sz w:val="24"/>
          <w:highlight w:val="none"/>
          <w:shd w:val="clear" w:color="auto" w:fill="FFFFFF"/>
        </w:rPr>
        <w:t>日</w:t>
      </w:r>
      <w:r>
        <w:rPr>
          <w:rFonts w:hint="eastAsia" w:ascii="宋体" w:hAnsi="宋体" w:eastAsia="宋体" w:cs="宋体"/>
          <w:spacing w:val="6"/>
          <w:sz w:val="24"/>
          <w:highlight w:val="none"/>
          <w:shd w:val="clear" w:color="auto" w:fill="FFFFFF"/>
          <w:lang w:val="en-US" w:eastAsia="zh-CN"/>
        </w:rPr>
        <w:t xml:space="preserve"> </w:t>
      </w:r>
      <w:r>
        <w:rPr>
          <w:rFonts w:hint="eastAsia" w:ascii="宋体" w:hAnsi="宋体" w:eastAsia="宋体" w:cs="宋体"/>
          <w:spacing w:val="6"/>
          <w:sz w:val="24"/>
          <w:highlight w:val="none"/>
          <w:shd w:val="clear" w:color="auto" w:fill="FFFFFF"/>
        </w:rPr>
        <w:t xml:space="preserve">  期</w:t>
      </w:r>
      <w:r>
        <w:rPr>
          <w:rFonts w:hint="eastAsia" w:ascii="宋体" w:hAnsi="宋体" w:eastAsia="宋体" w:cs="宋体"/>
          <w:spacing w:val="6"/>
          <w:sz w:val="24"/>
          <w:highlight w:val="none"/>
          <w:shd w:val="clear" w:color="auto" w:fill="FFFFFF"/>
          <w:lang w:val="en-US" w:eastAsia="zh-CN"/>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623FD4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《财政部民政部中国残疾人联合会关于促进残疾人就业政府采购政策的通知》（财库（2017〔141〕号）的规定：</w:t>
      </w:r>
    </w:p>
    <w:p w14:paraId="34C3423A">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 享受政府采购支持政策的残疾人福利性单位应当同时满足以下条件：</w:t>
      </w:r>
    </w:p>
    <w:p w14:paraId="5E3B266D">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（1）安置的残疾人占本单位在职职工人数的比例不低于25%（含25%），并且安置的残疾人人数不少于10人（含10人）；</w:t>
      </w:r>
    </w:p>
    <w:p w14:paraId="6181B89F">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（2）依法与安置的每位残疾人签订了一年以上（含一年）的劳动合同或服务协议；</w:t>
      </w:r>
    </w:p>
    <w:p w14:paraId="202B85C2">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（3）为安置的每位残疾人按月足额缴纳了基本养老保险、基本医疗保险、失业保险、工伤保险和生育保险等社会保险费；</w:t>
      </w:r>
    </w:p>
    <w:p w14:paraId="56F8F570">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（4）通过银行等金融机构向安置的每位残疾人，按月支付了不低于单位所在区县适用的经省级人民政府批准的月最低工资标准的工资；</w:t>
      </w:r>
    </w:p>
    <w:p w14:paraId="3904036E">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spacing w:val="6"/>
          <w:sz w:val="24"/>
          <w:highlight w:val="none"/>
          <w:shd w:val="clear" w:color="auto" w:fill="FFFFFF"/>
        </w:rPr>
      </w:pPr>
      <w:r>
        <w:rPr>
          <w:rFonts w:hint="eastAsia" w:ascii="宋体" w:hAnsi="宋体" w:eastAsia="宋体" w:cs="宋体"/>
          <w:spacing w:val="6"/>
          <w:sz w:val="24"/>
          <w:highlight w:val="none"/>
          <w:shd w:val="clear" w:color="auto" w:fill="FFFFFF"/>
        </w:rPr>
        <w:t>（5）提供本单位制造的货物、承担的工程或者服务（以下简称产品），或者提供其他残疾人福利性单位制造的货物（不包括使用非残疾人福利性单位注册商标的货物）。</w:t>
      </w:r>
    </w:p>
    <w:p w14:paraId="3816D187">
      <w:pPr>
        <w:pageBreakBefore w:val="0"/>
        <w:bidi w:val="0"/>
        <w:adjustRightInd w:val="0"/>
        <w:snapToGrid w:val="0"/>
        <w:spacing w:beforeAutospacing="0" w:afterAutospacing="0" w:line="360" w:lineRule="auto"/>
        <w:ind w:left="0" w:leftChars="0" w:right="0" w:firstLine="504" w:firstLineChars="200"/>
        <w:rPr>
          <w:rFonts w:hint="eastAsia" w:ascii="宋体" w:hAnsi="宋体" w:eastAsia="宋体" w:cs="宋体"/>
          <w:b/>
          <w:bCs/>
          <w:color w:val="auto"/>
          <w:sz w:val="28"/>
          <w:szCs w:val="28"/>
          <w:highlight w:val="none"/>
          <w:lang w:val="en-US" w:eastAsia="zh-CN"/>
        </w:rPr>
      </w:pPr>
      <w:r>
        <w:rPr>
          <w:rFonts w:hint="eastAsia" w:ascii="宋体" w:hAnsi="宋体" w:eastAsia="宋体" w:cs="宋体"/>
          <w:spacing w:val="6"/>
          <w:sz w:val="24"/>
          <w:highlight w:val="none"/>
          <w:shd w:val="clear" w:color="auto" w:fill="FFFFFF"/>
        </w:rPr>
        <w:t>2. 中标人为残疾人福利性单位的，采购人或者其委托的采购代理机构应当随中标、成交结果同时公告其《残疾人福利性单位声明函》，接受社会监督。</w:t>
      </w:r>
      <w:r>
        <w:rPr>
          <w:rFonts w:hint="eastAsia" w:ascii="宋体" w:hAnsi="宋体" w:eastAsia="宋体" w:cs="宋体"/>
          <w:b/>
          <w:bCs/>
          <w:color w:val="auto"/>
          <w:sz w:val="28"/>
          <w:szCs w:val="28"/>
          <w:highlight w:val="none"/>
          <w:lang w:val="en-US" w:eastAsia="zh-CN"/>
        </w:rPr>
        <w:br w:type="page"/>
      </w:r>
    </w:p>
    <w:p w14:paraId="1EA80FEE">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附件2</w:t>
      </w:r>
    </w:p>
    <w:p w14:paraId="65CF4E01">
      <w:pPr>
        <w:jc w:val="center"/>
        <w:rPr>
          <w:rFonts w:hint="eastAsia" w:ascii="宋体" w:hAnsi="宋体" w:eastAsia="宋体" w:cs="宋体"/>
          <w:b/>
          <w:sz w:val="32"/>
          <w:highlight w:val="none"/>
        </w:rPr>
      </w:pPr>
      <w:r>
        <w:rPr>
          <w:rFonts w:hint="eastAsia" w:ascii="宋体" w:hAnsi="宋体" w:eastAsia="宋体" w:cs="宋体"/>
          <w:b/>
          <w:sz w:val="32"/>
          <w:highlight w:val="none"/>
        </w:rPr>
        <w:t>农民工工资支付承诺书</w:t>
      </w:r>
    </w:p>
    <w:p w14:paraId="36A703F1">
      <w:pPr>
        <w:rPr>
          <w:rFonts w:hint="eastAsia" w:ascii="宋体" w:hAnsi="宋体" w:eastAsia="宋体" w:cs="宋体"/>
          <w:sz w:val="24"/>
          <w:highlight w:val="none"/>
        </w:rPr>
      </w:pPr>
    </w:p>
    <w:p w14:paraId="5D032ECC">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为保护农民工的合法权益，不拖欠农民工工资，本公司郑重承诺：</w:t>
      </w:r>
    </w:p>
    <w:p w14:paraId="4617439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1、不转包或违法分包，并禁止分包单位再分包或层层转包。</w:t>
      </w:r>
    </w:p>
    <w:p w14:paraId="30E0E58A">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自己雇佣农民工，与农民工签订劳务合同，如果有分包的督促劳务公司与农民工签订劳务合同并到总包单位备案。农民工工资由本公司或劳务公司直接足额发放到农民工本人手里，严禁发放给“包工头”。如“包工头”携款逃逸，或因其他原因无法支付民工工资，由本公司负责支付。</w:t>
      </w:r>
    </w:p>
    <w:p w14:paraId="13C66461">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3、按照“总包负总责”的原则，若发生集体上访事件，第一时间到场解决，若确认拖欠农民工工资的，不论何种原因将由我公司先行垫付。不能垫付的同意动用农民工工资保证金并及时按规定补齐。</w:t>
      </w:r>
    </w:p>
    <w:p w14:paraId="202C61D4">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4、切实做好农民工记工考勤工作，按约定及时与农民工结算工资。如果发生违反规定拖欠和克扣农民工工资行为，或因劳资纠纷造成农民工上访，并引发群体性突发事件，本单位愿意无条件接受相关部门依照有关规定作出的任何处罚决定。</w:t>
      </w:r>
    </w:p>
    <w:p w14:paraId="066409C5">
      <w:pPr>
        <w:spacing w:line="54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特此承诺!</w:t>
      </w:r>
    </w:p>
    <w:p w14:paraId="70F03DA8">
      <w:pPr>
        <w:rPr>
          <w:rFonts w:hint="eastAsia" w:ascii="宋体" w:hAnsi="宋体" w:eastAsia="宋体" w:cs="宋体"/>
          <w:sz w:val="24"/>
          <w:highlight w:val="none"/>
        </w:rPr>
      </w:pPr>
    </w:p>
    <w:p w14:paraId="6BF547B7">
      <w:pPr>
        <w:rPr>
          <w:rFonts w:hint="eastAsia" w:ascii="宋体" w:hAnsi="宋体" w:eastAsia="宋体" w:cs="宋体"/>
          <w:highlight w:val="none"/>
        </w:rPr>
      </w:pPr>
    </w:p>
    <w:p w14:paraId="3C66270B">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 xml:space="preserve">投标人：（盖章） </w:t>
      </w:r>
      <w:r>
        <w:rPr>
          <w:rFonts w:hint="eastAsia" w:ascii="宋体" w:hAnsi="宋体" w:eastAsia="宋体" w:cs="宋体"/>
          <w:sz w:val="24"/>
          <w:highlight w:val="none"/>
          <w:u w:val="single"/>
        </w:rPr>
        <w:t xml:space="preserve">         </w:t>
      </w:r>
    </w:p>
    <w:p w14:paraId="3F8DE4FE">
      <w:pPr>
        <w:spacing w:line="480" w:lineRule="exact"/>
        <w:ind w:firstLine="2244" w:firstLineChars="935"/>
        <w:rPr>
          <w:rFonts w:hint="eastAsia" w:ascii="宋体" w:hAnsi="宋体" w:eastAsia="宋体" w:cs="宋体"/>
          <w:sz w:val="24"/>
          <w:highlight w:val="none"/>
          <w:u w:val="single"/>
        </w:rPr>
      </w:pPr>
      <w:r>
        <w:rPr>
          <w:rFonts w:hint="eastAsia" w:ascii="宋体" w:hAnsi="宋体" w:eastAsia="宋体" w:cs="宋体"/>
          <w:sz w:val="24"/>
          <w:highlight w:val="none"/>
        </w:rPr>
        <w:t>法定代表人：（电子签章）</w:t>
      </w:r>
      <w:r>
        <w:rPr>
          <w:rFonts w:hint="eastAsia" w:ascii="宋体" w:hAnsi="宋体" w:eastAsia="宋体" w:cs="宋体"/>
          <w:sz w:val="24"/>
          <w:highlight w:val="none"/>
          <w:u w:val="single"/>
        </w:rPr>
        <w:t xml:space="preserve">            </w:t>
      </w:r>
    </w:p>
    <w:p w14:paraId="7020A483">
      <w:pPr>
        <w:spacing w:line="480" w:lineRule="exact"/>
        <w:ind w:firstLine="2724" w:firstLineChars="1135"/>
        <w:rPr>
          <w:rFonts w:hint="eastAsia" w:ascii="宋体" w:hAnsi="宋体" w:eastAsia="宋体" w:cs="宋体"/>
          <w:sz w:val="24"/>
          <w:highlight w:val="none"/>
        </w:rPr>
      </w:pPr>
      <w:r>
        <w:rPr>
          <w:rFonts w:hint="eastAsia" w:ascii="宋体" w:hAnsi="宋体" w:eastAsia="宋体" w:cs="宋体"/>
          <w:sz w:val="24"/>
          <w:highlight w:val="none"/>
        </w:rPr>
        <w:t>年</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月</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日</w:t>
      </w:r>
    </w:p>
    <w:p w14:paraId="38E64B49">
      <w:pPr>
        <w:rPr>
          <w:rFonts w:hint="eastAsia" w:ascii="宋体" w:hAnsi="宋体" w:eastAsia="宋体" w:cs="宋体"/>
          <w:highlight w:val="none"/>
        </w:rPr>
      </w:pPr>
    </w:p>
    <w:p w14:paraId="30883D09">
      <w:pPr>
        <w:widowControl/>
        <w:spacing w:line="240" w:lineRule="auto"/>
        <w:jc w:val="left"/>
        <w:rPr>
          <w:rFonts w:hint="eastAsia" w:ascii="宋体" w:hAnsi="宋体" w:eastAsia="宋体" w:cs="宋体"/>
          <w:highlight w:val="none"/>
          <w:lang w:val="en-US" w:eastAsia="zh-CN"/>
        </w:rPr>
      </w:pPr>
    </w:p>
    <w:p w14:paraId="4F102057">
      <w:pPr>
        <w:pStyle w:val="21"/>
        <w:rPr>
          <w:rFonts w:hint="eastAsia" w:ascii="宋体" w:hAnsi="宋体" w:eastAsia="宋体" w:cs="宋体"/>
          <w:highlight w:val="none"/>
          <w:lang w:val="en-US" w:eastAsia="zh-CN"/>
        </w:rPr>
      </w:pPr>
    </w:p>
    <w:p w14:paraId="5DE0A32D">
      <w:pPr>
        <w:pStyle w:val="22"/>
        <w:rPr>
          <w:rFonts w:hint="eastAsia" w:ascii="宋体" w:hAnsi="宋体" w:eastAsia="宋体" w:cs="宋体"/>
          <w:highlight w:val="none"/>
          <w:lang w:val="en-US" w:eastAsia="zh-CN"/>
        </w:rPr>
      </w:pPr>
    </w:p>
    <w:p w14:paraId="3494867C">
      <w:pPr>
        <w:rPr>
          <w:rFonts w:hint="eastAsia" w:ascii="宋体" w:hAnsi="宋体" w:eastAsia="宋体" w:cs="宋体"/>
          <w:highlight w:val="none"/>
          <w:lang w:val="en-US" w:eastAsia="zh-CN"/>
        </w:rPr>
      </w:pPr>
    </w:p>
    <w:p w14:paraId="08D4BF43">
      <w:pPr>
        <w:pStyle w:val="21"/>
        <w:rPr>
          <w:rFonts w:hint="eastAsia" w:ascii="宋体" w:hAnsi="宋体" w:eastAsia="宋体" w:cs="宋体"/>
          <w:highlight w:val="none"/>
          <w:lang w:val="en-US" w:eastAsia="zh-CN"/>
        </w:rPr>
      </w:pPr>
    </w:p>
    <w:p w14:paraId="507FDC8C">
      <w:pPr>
        <w:spacing w:line="312" w:lineRule="auto"/>
        <w:ind w:right="-334" w:rightChars="-159"/>
        <w:jc w:val="both"/>
        <w:rPr>
          <w:rFonts w:hint="eastAsia" w:ascii="宋体" w:hAnsi="宋体" w:eastAsia="宋体" w:cs="宋体"/>
          <w:b/>
          <w:bCs/>
          <w:kern w:val="10"/>
          <w:sz w:val="28"/>
          <w:szCs w:val="28"/>
          <w:highlight w:val="none"/>
          <w:lang w:val="en-US" w:eastAsia="zh-CN"/>
        </w:rPr>
      </w:pPr>
      <w:r>
        <w:rPr>
          <w:rFonts w:hint="eastAsia" w:ascii="宋体" w:hAnsi="宋体" w:eastAsia="宋体" w:cs="宋体"/>
          <w:b/>
          <w:bCs/>
          <w:kern w:val="10"/>
          <w:sz w:val="28"/>
          <w:szCs w:val="28"/>
          <w:highlight w:val="none"/>
          <w:lang w:val="en-US" w:eastAsia="zh-CN"/>
        </w:rPr>
        <w:t>附件3</w:t>
      </w:r>
    </w:p>
    <w:p w14:paraId="433AC292">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59264" behindDoc="0" locked="0" layoutInCell="1" allowOverlap="1">
            <wp:simplePos x="0" y="0"/>
            <wp:positionH relativeFrom="column">
              <wp:posOffset>-73660</wp:posOffset>
            </wp:positionH>
            <wp:positionV relativeFrom="paragraph">
              <wp:posOffset>354965</wp:posOffset>
            </wp:positionV>
            <wp:extent cx="5481955" cy="7312660"/>
            <wp:effectExtent l="0" t="0" r="4445" b="2540"/>
            <wp:wrapNone/>
            <wp:docPr id="1" name="图片 1" descr="C:\Users\Administrator\Documents\WeChat Files\wxid_dednxlkh0egp21\FileStorage\Temp\b361ce7ff8decfdc9d784e495c6d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WeChat Files\wxid_dednxlkh0egp21\FileStorage\Temp\b361ce7ff8decfdc9d784e495c6d255.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r>
        <w:rPr>
          <w:rFonts w:hint="eastAsia" w:ascii="宋体" w:hAnsi="宋体" w:eastAsia="宋体" w:cs="宋体"/>
          <w:highlight w:val="none"/>
        </w:rPr>
        <w:br w:type="page"/>
      </w:r>
    </w:p>
    <w:p w14:paraId="6413671F">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0288" behindDoc="0" locked="0" layoutInCell="1" allowOverlap="1">
            <wp:simplePos x="0" y="0"/>
            <wp:positionH relativeFrom="column">
              <wp:posOffset>-140970</wp:posOffset>
            </wp:positionH>
            <wp:positionV relativeFrom="paragraph">
              <wp:posOffset>203835</wp:posOffset>
            </wp:positionV>
            <wp:extent cx="5688330" cy="7588250"/>
            <wp:effectExtent l="0" t="0" r="7620" b="12700"/>
            <wp:wrapNone/>
            <wp:docPr id="5" name="图片 5" descr="C:\Users\Administrator\Documents\WeChat Files\wxid_dednxlkh0egp21\FileStorage\Temp\429aaf5db35b8d561a891a7349c5b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WeChat Files\wxid_dednxlkh0egp21\FileStorage\Temp\429aaf5db35b8d561a891a7349c5beb.jpg"/>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688614" cy="7588333"/>
                    </a:xfrm>
                    <a:prstGeom prst="rect">
                      <a:avLst/>
                    </a:prstGeom>
                    <a:noFill/>
                    <a:ln>
                      <a:noFill/>
                    </a:ln>
                  </pic:spPr>
                </pic:pic>
              </a:graphicData>
            </a:graphic>
          </wp:anchor>
        </w:drawing>
      </w:r>
    </w:p>
    <w:p w14:paraId="17D654C6">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489FE2AB">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1312" behindDoc="0" locked="0" layoutInCell="1" allowOverlap="1">
            <wp:simplePos x="0" y="0"/>
            <wp:positionH relativeFrom="column">
              <wp:posOffset>34290</wp:posOffset>
            </wp:positionH>
            <wp:positionV relativeFrom="paragraph">
              <wp:posOffset>46990</wp:posOffset>
            </wp:positionV>
            <wp:extent cx="5486400" cy="7315200"/>
            <wp:effectExtent l="0" t="0" r="0" b="0"/>
            <wp:wrapNone/>
            <wp:docPr id="6" name="图片 6" descr="C:\Users\Administrator\Documents\WeChat Files\wxid_dednxlkh0egp21\FileStorage\Temp\5edc92d0ba47a3185fbc646a64b7f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WeChat Files\wxid_dednxlkh0egp21\FileStorage\Temp\5edc92d0ba47a3185fbc646a64b7fbc.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5000"/>
                              </a14:imgEffect>
                              <a14:imgEffect>
                                <a14:sharpenSoften amount="30000"/>
                              </a14:imgEffect>
                            </a14:imgLayer>
                          </a14:imgProps>
                        </a:ext>
                        <a:ext uri="{28A0092B-C50C-407E-A947-70E740481C1C}">
                          <a14:useLocalDpi xmlns:a14="http://schemas.microsoft.com/office/drawing/2010/main" val="0"/>
                        </a:ext>
                      </a:extLst>
                    </a:blip>
                    <a:srcRect/>
                    <a:stretch>
                      <a:fillRect/>
                    </a:stretch>
                  </pic:blipFill>
                  <pic:spPr>
                    <a:xfrm>
                      <a:off x="0" y="0"/>
                      <a:ext cx="5486400" cy="7315200"/>
                    </a:xfrm>
                    <a:prstGeom prst="rect">
                      <a:avLst/>
                    </a:prstGeom>
                    <a:noFill/>
                    <a:ln>
                      <a:noFill/>
                    </a:ln>
                  </pic:spPr>
                </pic:pic>
              </a:graphicData>
            </a:graphic>
          </wp:anchor>
        </w:drawing>
      </w:r>
    </w:p>
    <w:p w14:paraId="0686F772">
      <w:pPr>
        <w:rPr>
          <w:rFonts w:hint="eastAsia" w:ascii="宋体" w:hAnsi="宋体" w:eastAsia="宋体" w:cs="宋体"/>
          <w:highlight w:val="none"/>
        </w:rPr>
      </w:pPr>
    </w:p>
    <w:p w14:paraId="233EED7A">
      <w:pPr>
        <w:widowControl/>
        <w:spacing w:line="240" w:lineRule="auto"/>
        <w:jc w:val="left"/>
        <w:rPr>
          <w:rFonts w:hint="eastAsia" w:ascii="宋体" w:hAnsi="宋体" w:eastAsia="宋体" w:cs="宋体"/>
          <w:highlight w:val="none"/>
        </w:rPr>
      </w:pPr>
      <w:r>
        <w:rPr>
          <w:rFonts w:hint="eastAsia" w:ascii="宋体" w:hAnsi="宋体" w:eastAsia="宋体" w:cs="宋体"/>
          <w:highlight w:val="none"/>
        </w:rPr>
        <w:br w:type="page"/>
      </w:r>
    </w:p>
    <w:p w14:paraId="2085A2DC">
      <w:pPr>
        <w:spacing w:line="700" w:lineRule="exact"/>
        <w:jc w:val="left"/>
        <w:rPr>
          <w:rFonts w:hint="eastAsia" w:ascii="宋体" w:hAnsi="宋体" w:eastAsia="宋体" w:cs="宋体"/>
          <w:bCs/>
          <w:spacing w:val="57"/>
          <w:w w:val="90"/>
          <w:sz w:val="24"/>
          <w:szCs w:val="44"/>
          <w:highlight w:val="none"/>
        </w:rPr>
      </w:pPr>
      <w:r>
        <w:rPr>
          <w:rFonts w:hint="eastAsia" w:ascii="宋体" w:hAnsi="宋体" w:eastAsia="宋体" w:cs="宋体"/>
          <w:sz w:val="24"/>
          <w:highlight w:val="none"/>
        </w:rPr>
        <w:t>无拖欠农民工（员工）工资证明（函）</w:t>
      </w:r>
    </w:p>
    <w:p w14:paraId="3A3F9A6F">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无拖欠农民工工资证明</w:t>
      </w:r>
    </w:p>
    <w:p w14:paraId="0E9A903D">
      <w:pPr>
        <w:spacing w:line="700" w:lineRule="exact"/>
        <w:ind w:firstLine="1111" w:firstLineChars="200"/>
        <w:jc w:val="center"/>
        <w:rPr>
          <w:rFonts w:hint="eastAsia" w:ascii="宋体" w:hAnsi="宋体" w:eastAsia="宋体" w:cs="宋体"/>
          <w:b/>
          <w:bCs/>
          <w:spacing w:val="57"/>
          <w:sz w:val="44"/>
          <w:szCs w:val="44"/>
          <w:highlight w:val="none"/>
        </w:rPr>
      </w:pPr>
      <w:r>
        <w:rPr>
          <w:rFonts w:hint="eastAsia" w:ascii="宋体" w:hAnsi="宋体" w:eastAsia="宋体" w:cs="宋体"/>
          <w:b/>
          <w:bCs/>
          <w:spacing w:val="57"/>
          <w:sz w:val="44"/>
          <w:szCs w:val="44"/>
          <w:highlight w:val="none"/>
        </w:rPr>
        <w:t>（函）</w:t>
      </w:r>
    </w:p>
    <w:p w14:paraId="4610800D">
      <w:pPr>
        <w:spacing w:line="560" w:lineRule="exact"/>
        <w:ind w:firstLine="640" w:firstLineChars="200"/>
        <w:rPr>
          <w:rFonts w:hint="eastAsia" w:ascii="宋体" w:hAnsi="宋体" w:eastAsia="宋体" w:cs="宋体"/>
          <w:sz w:val="32"/>
          <w:szCs w:val="32"/>
          <w:highlight w:val="none"/>
        </w:rPr>
      </w:pPr>
    </w:p>
    <w:p w14:paraId="4258BBD1">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经审核，</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自</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月至</w:t>
      </w:r>
    </w:p>
    <w:p w14:paraId="2577F357">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月期间，未发现拖欠农民工工资的情况（此证明仅用于</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招标）。</w:t>
      </w:r>
    </w:p>
    <w:p w14:paraId="57BFF236">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特此证明</w:t>
      </w:r>
    </w:p>
    <w:p w14:paraId="45BC7A3D">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（有效期30天）</w:t>
      </w:r>
    </w:p>
    <w:p w14:paraId="7B3E7FF8">
      <w:pPr>
        <w:spacing w:line="560" w:lineRule="exact"/>
        <w:ind w:left="283" w:leftChars="135"/>
        <w:rPr>
          <w:rFonts w:hint="eastAsia" w:ascii="宋体" w:hAnsi="宋体" w:eastAsia="宋体" w:cs="宋体"/>
          <w:sz w:val="32"/>
          <w:szCs w:val="32"/>
          <w:highlight w:val="none"/>
        </w:rPr>
      </w:pPr>
    </w:p>
    <w:p w14:paraId="6550AEED">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劳动保障监察大队</w:t>
      </w:r>
    </w:p>
    <w:p w14:paraId="26C4522B">
      <w:pPr>
        <w:spacing w:line="560" w:lineRule="exact"/>
        <w:ind w:left="283" w:leftChars="135"/>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年</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月</w:t>
      </w:r>
      <w:r>
        <w:rPr>
          <w:rFonts w:hint="eastAsia" w:ascii="宋体" w:hAnsi="宋体" w:eastAsia="宋体" w:cs="宋体"/>
          <w:sz w:val="32"/>
          <w:szCs w:val="32"/>
          <w:highlight w:val="none"/>
          <w:u w:val="single"/>
        </w:rPr>
        <w:t xml:space="preserve">    </w:t>
      </w:r>
      <w:r>
        <w:rPr>
          <w:rFonts w:hint="eastAsia" w:ascii="宋体" w:hAnsi="宋体" w:eastAsia="宋体" w:cs="宋体"/>
          <w:sz w:val="32"/>
          <w:szCs w:val="32"/>
          <w:highlight w:val="none"/>
        </w:rPr>
        <w:t>日</w:t>
      </w:r>
    </w:p>
    <w:p w14:paraId="0FC9708B">
      <w:pPr>
        <w:spacing w:line="560" w:lineRule="exact"/>
        <w:ind w:left="283" w:leftChars="135"/>
        <w:rPr>
          <w:rFonts w:hint="eastAsia" w:ascii="宋体" w:hAnsi="宋体" w:eastAsia="宋体" w:cs="宋体"/>
          <w:sz w:val="32"/>
          <w:szCs w:val="32"/>
          <w:highlight w:val="none"/>
        </w:rPr>
      </w:pPr>
    </w:p>
    <w:p w14:paraId="4A629126">
      <w:pPr>
        <w:spacing w:line="560" w:lineRule="exact"/>
        <w:ind w:left="283" w:leftChars="135"/>
        <w:rPr>
          <w:rFonts w:hint="eastAsia" w:ascii="宋体" w:hAnsi="宋体" w:eastAsia="宋体" w:cs="宋体"/>
          <w:sz w:val="32"/>
          <w:szCs w:val="32"/>
          <w:highlight w:val="none"/>
        </w:rPr>
      </w:pPr>
    </w:p>
    <w:p w14:paraId="594037F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联系人：</w:t>
      </w:r>
      <w:r>
        <w:rPr>
          <w:rFonts w:hint="eastAsia" w:ascii="宋体" w:hAnsi="宋体" w:eastAsia="宋体" w:cs="宋体"/>
          <w:sz w:val="32"/>
          <w:szCs w:val="32"/>
          <w:highlight w:val="none"/>
          <w:u w:val="single"/>
        </w:rPr>
        <w:t xml:space="preserve">                              </w:t>
      </w:r>
    </w:p>
    <w:p w14:paraId="4200521D">
      <w:pPr>
        <w:spacing w:line="560" w:lineRule="exact"/>
        <w:ind w:left="283" w:leftChars="135"/>
        <w:rPr>
          <w:rFonts w:hint="eastAsia" w:ascii="宋体" w:hAnsi="宋体" w:eastAsia="宋体" w:cs="宋体"/>
          <w:sz w:val="32"/>
          <w:szCs w:val="32"/>
          <w:highlight w:val="none"/>
        </w:rPr>
      </w:pPr>
    </w:p>
    <w:p w14:paraId="2F84A91B">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联系电话：</w:t>
      </w:r>
      <w:r>
        <w:rPr>
          <w:rFonts w:hint="eastAsia" w:ascii="宋体" w:hAnsi="宋体" w:eastAsia="宋体" w:cs="宋体"/>
          <w:sz w:val="32"/>
          <w:szCs w:val="32"/>
          <w:highlight w:val="none"/>
          <w:u w:val="single"/>
        </w:rPr>
        <w:t xml:space="preserve">                            </w:t>
      </w:r>
    </w:p>
    <w:p w14:paraId="3C0ACD18">
      <w:pPr>
        <w:spacing w:line="560" w:lineRule="exact"/>
        <w:ind w:left="283" w:leftChars="135"/>
        <w:rPr>
          <w:rFonts w:hint="eastAsia" w:ascii="宋体" w:hAnsi="宋体" w:eastAsia="宋体" w:cs="宋体"/>
          <w:sz w:val="32"/>
          <w:szCs w:val="32"/>
          <w:highlight w:val="none"/>
        </w:rPr>
      </w:pPr>
    </w:p>
    <w:p w14:paraId="0749EBE4">
      <w:pPr>
        <w:spacing w:line="560" w:lineRule="exact"/>
        <w:ind w:left="283" w:leftChars="135"/>
        <w:rPr>
          <w:rFonts w:hint="eastAsia" w:ascii="宋体" w:hAnsi="宋体" w:eastAsia="宋体" w:cs="宋体"/>
          <w:sz w:val="32"/>
          <w:szCs w:val="32"/>
          <w:highlight w:val="none"/>
        </w:rPr>
      </w:pPr>
    </w:p>
    <w:p w14:paraId="7F7178EE">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 xml:space="preserve">…………………………………………………………… </w:t>
      </w:r>
    </w:p>
    <w:p w14:paraId="2A2E7869">
      <w:pPr>
        <w:spacing w:line="560" w:lineRule="exact"/>
        <w:ind w:left="283" w:leftChars="135"/>
        <w:rPr>
          <w:rFonts w:hint="eastAsia" w:ascii="宋体" w:hAnsi="宋体" w:eastAsia="宋体" w:cs="宋体"/>
          <w:sz w:val="32"/>
          <w:szCs w:val="32"/>
          <w:highlight w:val="none"/>
        </w:rPr>
      </w:pPr>
      <w:r>
        <w:rPr>
          <w:rFonts w:hint="eastAsia" w:ascii="宋体" w:hAnsi="宋体" w:eastAsia="宋体" w:cs="宋体"/>
          <w:sz w:val="32"/>
          <w:szCs w:val="32"/>
          <w:highlight w:val="none"/>
        </w:rPr>
        <w:t>注：本书一式两份，一份交投标企业，一份留存。</w:t>
      </w:r>
    </w:p>
    <w:p w14:paraId="28F89C67">
      <w:pPr>
        <w:spacing w:line="240" w:lineRule="auto"/>
        <w:ind w:left="283" w:leftChars="135"/>
        <w:rPr>
          <w:rFonts w:hint="eastAsia" w:ascii="宋体" w:hAnsi="宋体" w:eastAsia="宋体" w:cs="宋体"/>
          <w:szCs w:val="24"/>
          <w:highlight w:val="none"/>
        </w:rPr>
      </w:pPr>
    </w:p>
    <w:p w14:paraId="3C547DEC">
      <w:pPr>
        <w:rPr>
          <w:rFonts w:hint="eastAsia" w:ascii="宋体" w:hAnsi="宋体" w:eastAsia="宋体" w:cs="宋体"/>
          <w:highlight w:val="none"/>
          <w:lang w:val="en-US" w:eastAsia="zh-CN"/>
        </w:rPr>
      </w:pPr>
    </w:p>
    <w:p w14:paraId="5F02D9E5">
      <w:pPr>
        <w:pStyle w:val="22"/>
        <w:rPr>
          <w:rFonts w:hint="eastAsia" w:ascii="宋体" w:hAnsi="宋体" w:eastAsia="宋体" w:cs="宋体"/>
          <w:highlight w:val="none"/>
          <w:lang w:val="en-US" w:eastAsia="zh-CN"/>
        </w:rPr>
      </w:pPr>
    </w:p>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04C03">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A6937">
    <w:pPr>
      <w:pStyle w:val="16"/>
      <w:tabs>
        <w:tab w:val="center" w:pos="4536"/>
        <w:tab w:val="clear" w:pos="4153"/>
        <w:tab w:val="clear" w:pos="8306"/>
      </w:tabs>
      <w:rPr>
        <w:rFonts w:ascii="宋体" w:hAnsi="宋体"/>
        <w:sz w:val="19"/>
        <w:szCs w:val="1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E8810">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6499A">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906499A">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58D9">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A18F89">
                          <w:pPr>
                            <w:pStyle w:val="1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8A18F89">
                    <w:pPr>
                      <w:pStyle w:val="1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88D16">
    <w:pPr>
      <w:pStyle w:val="17"/>
      <w:pBdr>
        <w:bottom w:val="none" w:color="auto" w:sz="0" w:space="1"/>
      </w:pBdr>
      <w:jc w:val="lef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2B090E"/>
    <w:multiLevelType w:val="singleLevel"/>
    <w:tmpl w:val="EF2B090E"/>
    <w:lvl w:ilvl="0" w:tentative="0">
      <w:start w:val="3"/>
      <w:numFmt w:val="chineseCounting"/>
      <w:suff w:val="nothing"/>
      <w:lvlText w:val="（%1）"/>
      <w:lvlJc w:val="left"/>
      <w:rPr>
        <w:rFonts w:hint="eastAsia"/>
      </w:rPr>
    </w:lvl>
  </w:abstractNum>
  <w:abstractNum w:abstractNumId="1">
    <w:nsid w:val="5D304E27"/>
    <w:multiLevelType w:val="singleLevel"/>
    <w:tmpl w:val="5D304E27"/>
    <w:lvl w:ilvl="0" w:tentative="0">
      <w:start w:val="1"/>
      <w:numFmt w:val="chineseCounting"/>
      <w:suff w:val="space"/>
      <w:lvlText w:val="第%1章"/>
      <w:lvlJc w:val="left"/>
      <w:rPr>
        <w:rFonts w:hint="eastAsia"/>
      </w:rPr>
    </w:lvl>
  </w:abstractNum>
  <w:abstractNum w:abstractNumId="2">
    <w:nsid w:val="669F2904"/>
    <w:multiLevelType w:val="singleLevel"/>
    <w:tmpl w:val="669F2904"/>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zzKKAs6SJxPpfaTGCZasYvrljZw=" w:salt="v7XqWlut5FoShW/6bxiCM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kYmZmYjM3MDg5NmRlNTNmYzBmNGY4MDI4MzRjNWYifQ=="/>
  </w:docVars>
  <w:rsids>
    <w:rsidRoot w:val="6BE66F35"/>
    <w:rsid w:val="003176A7"/>
    <w:rsid w:val="02F46664"/>
    <w:rsid w:val="03B56367"/>
    <w:rsid w:val="03D2609A"/>
    <w:rsid w:val="04275653"/>
    <w:rsid w:val="04613C59"/>
    <w:rsid w:val="04B50EB1"/>
    <w:rsid w:val="05A76A4C"/>
    <w:rsid w:val="05AC2C98"/>
    <w:rsid w:val="06A66D86"/>
    <w:rsid w:val="06B304CB"/>
    <w:rsid w:val="07144B94"/>
    <w:rsid w:val="077315DD"/>
    <w:rsid w:val="08B63B10"/>
    <w:rsid w:val="08C6368D"/>
    <w:rsid w:val="095A3DD5"/>
    <w:rsid w:val="0B225961"/>
    <w:rsid w:val="0C2572CB"/>
    <w:rsid w:val="0C2D643A"/>
    <w:rsid w:val="0C3C3C66"/>
    <w:rsid w:val="0C7D22B4"/>
    <w:rsid w:val="0C992E66"/>
    <w:rsid w:val="0DA6000F"/>
    <w:rsid w:val="0EAA5E15"/>
    <w:rsid w:val="0F7D4C2A"/>
    <w:rsid w:val="0F852AF2"/>
    <w:rsid w:val="0FCE59E1"/>
    <w:rsid w:val="10481576"/>
    <w:rsid w:val="10807106"/>
    <w:rsid w:val="10E71C1F"/>
    <w:rsid w:val="1130052C"/>
    <w:rsid w:val="113A4C18"/>
    <w:rsid w:val="11D15E6A"/>
    <w:rsid w:val="11EF7964"/>
    <w:rsid w:val="12B47A9F"/>
    <w:rsid w:val="13461F80"/>
    <w:rsid w:val="13967451"/>
    <w:rsid w:val="139C5DAD"/>
    <w:rsid w:val="13EB21F9"/>
    <w:rsid w:val="14092680"/>
    <w:rsid w:val="149C7998"/>
    <w:rsid w:val="14AD74AF"/>
    <w:rsid w:val="15674EC2"/>
    <w:rsid w:val="166B5873"/>
    <w:rsid w:val="172E0667"/>
    <w:rsid w:val="17BE1B6A"/>
    <w:rsid w:val="18507D42"/>
    <w:rsid w:val="18BD24C2"/>
    <w:rsid w:val="18CE0426"/>
    <w:rsid w:val="198862BD"/>
    <w:rsid w:val="19E33973"/>
    <w:rsid w:val="1A3D3083"/>
    <w:rsid w:val="1A750A6F"/>
    <w:rsid w:val="1B1262BE"/>
    <w:rsid w:val="1B867438"/>
    <w:rsid w:val="1B9969DF"/>
    <w:rsid w:val="1BD17F27"/>
    <w:rsid w:val="1CE774F0"/>
    <w:rsid w:val="1D13456F"/>
    <w:rsid w:val="1DD24ACF"/>
    <w:rsid w:val="1E1561BF"/>
    <w:rsid w:val="1EE53CE9"/>
    <w:rsid w:val="1F3852CA"/>
    <w:rsid w:val="1F9C4CF0"/>
    <w:rsid w:val="1FC85AE5"/>
    <w:rsid w:val="216008F7"/>
    <w:rsid w:val="217750CC"/>
    <w:rsid w:val="22145011"/>
    <w:rsid w:val="22D34D9D"/>
    <w:rsid w:val="237F1DD9"/>
    <w:rsid w:val="23897339"/>
    <w:rsid w:val="23D83E1C"/>
    <w:rsid w:val="23F64F3C"/>
    <w:rsid w:val="25B03150"/>
    <w:rsid w:val="262E183C"/>
    <w:rsid w:val="26345C82"/>
    <w:rsid w:val="266D6A9E"/>
    <w:rsid w:val="268F110A"/>
    <w:rsid w:val="26941ABB"/>
    <w:rsid w:val="26CA6B05"/>
    <w:rsid w:val="26CD6F21"/>
    <w:rsid w:val="276C4FA7"/>
    <w:rsid w:val="27723044"/>
    <w:rsid w:val="28372FFA"/>
    <w:rsid w:val="28D10C13"/>
    <w:rsid w:val="28DD318F"/>
    <w:rsid w:val="295E1EA5"/>
    <w:rsid w:val="29C63C15"/>
    <w:rsid w:val="2A351FC9"/>
    <w:rsid w:val="2A9F01E2"/>
    <w:rsid w:val="2B997B5B"/>
    <w:rsid w:val="2BFB76D0"/>
    <w:rsid w:val="2C25543D"/>
    <w:rsid w:val="2C5902D2"/>
    <w:rsid w:val="2D0A3FA6"/>
    <w:rsid w:val="2D263476"/>
    <w:rsid w:val="2D986AF6"/>
    <w:rsid w:val="2DE7532E"/>
    <w:rsid w:val="2E5F7614"/>
    <w:rsid w:val="2F1847ED"/>
    <w:rsid w:val="2F3C2725"/>
    <w:rsid w:val="2FB4573E"/>
    <w:rsid w:val="2FE9045C"/>
    <w:rsid w:val="3014442E"/>
    <w:rsid w:val="3061710D"/>
    <w:rsid w:val="31EC6BC4"/>
    <w:rsid w:val="31FD353C"/>
    <w:rsid w:val="32081D71"/>
    <w:rsid w:val="32701CFF"/>
    <w:rsid w:val="32B85545"/>
    <w:rsid w:val="32E875B7"/>
    <w:rsid w:val="33166AA7"/>
    <w:rsid w:val="3368588E"/>
    <w:rsid w:val="337634BA"/>
    <w:rsid w:val="33AF4B9A"/>
    <w:rsid w:val="33EE7140"/>
    <w:rsid w:val="34CD0E7F"/>
    <w:rsid w:val="35346B5C"/>
    <w:rsid w:val="35387BED"/>
    <w:rsid w:val="364F61C0"/>
    <w:rsid w:val="39AF7BC3"/>
    <w:rsid w:val="3A5244D1"/>
    <w:rsid w:val="3AC90631"/>
    <w:rsid w:val="3AE84769"/>
    <w:rsid w:val="3B2D45F6"/>
    <w:rsid w:val="3B365BA1"/>
    <w:rsid w:val="3B3B4F65"/>
    <w:rsid w:val="3C4D3F8E"/>
    <w:rsid w:val="3C6D55F2"/>
    <w:rsid w:val="3C757445"/>
    <w:rsid w:val="3CC701F0"/>
    <w:rsid w:val="3CDB1958"/>
    <w:rsid w:val="3D3D6D72"/>
    <w:rsid w:val="3D416F17"/>
    <w:rsid w:val="3D521DFC"/>
    <w:rsid w:val="3D553D12"/>
    <w:rsid w:val="3D694964"/>
    <w:rsid w:val="3D747AF0"/>
    <w:rsid w:val="3E106BCB"/>
    <w:rsid w:val="3E672ADA"/>
    <w:rsid w:val="3FC10A9F"/>
    <w:rsid w:val="3FEF45EE"/>
    <w:rsid w:val="408476E2"/>
    <w:rsid w:val="40EA7E66"/>
    <w:rsid w:val="41764F49"/>
    <w:rsid w:val="41DC7E2F"/>
    <w:rsid w:val="42510663"/>
    <w:rsid w:val="435B43F6"/>
    <w:rsid w:val="450B366A"/>
    <w:rsid w:val="451A2B1D"/>
    <w:rsid w:val="45406E38"/>
    <w:rsid w:val="45782B3C"/>
    <w:rsid w:val="45833AEE"/>
    <w:rsid w:val="46275125"/>
    <w:rsid w:val="464F7B16"/>
    <w:rsid w:val="467F198E"/>
    <w:rsid w:val="46BC0BB3"/>
    <w:rsid w:val="471C3E9C"/>
    <w:rsid w:val="472E0399"/>
    <w:rsid w:val="473507CA"/>
    <w:rsid w:val="47384505"/>
    <w:rsid w:val="486437F4"/>
    <w:rsid w:val="48AF65F2"/>
    <w:rsid w:val="48BB1493"/>
    <w:rsid w:val="48C96F4F"/>
    <w:rsid w:val="48D9333D"/>
    <w:rsid w:val="48EB735F"/>
    <w:rsid w:val="495C0214"/>
    <w:rsid w:val="498B5309"/>
    <w:rsid w:val="4A7162AD"/>
    <w:rsid w:val="4A9B6AF9"/>
    <w:rsid w:val="4AD565B7"/>
    <w:rsid w:val="4AE42F23"/>
    <w:rsid w:val="4B555E5D"/>
    <w:rsid w:val="4D447CA9"/>
    <w:rsid w:val="4DC011FF"/>
    <w:rsid w:val="4E437F61"/>
    <w:rsid w:val="4E531500"/>
    <w:rsid w:val="4E776CF0"/>
    <w:rsid w:val="4ECC264C"/>
    <w:rsid w:val="4EDE412D"/>
    <w:rsid w:val="4F391364"/>
    <w:rsid w:val="4FFC486B"/>
    <w:rsid w:val="502720EE"/>
    <w:rsid w:val="50EE68AA"/>
    <w:rsid w:val="51343ECB"/>
    <w:rsid w:val="51450494"/>
    <w:rsid w:val="519438C7"/>
    <w:rsid w:val="529D25C1"/>
    <w:rsid w:val="53133071"/>
    <w:rsid w:val="54251C38"/>
    <w:rsid w:val="553848E3"/>
    <w:rsid w:val="559E0A3C"/>
    <w:rsid w:val="55CE495A"/>
    <w:rsid w:val="55F3682D"/>
    <w:rsid w:val="55FD75BA"/>
    <w:rsid w:val="563032C1"/>
    <w:rsid w:val="577949F3"/>
    <w:rsid w:val="57BA21BF"/>
    <w:rsid w:val="57DA101B"/>
    <w:rsid w:val="580544D9"/>
    <w:rsid w:val="581B7AC0"/>
    <w:rsid w:val="58525935"/>
    <w:rsid w:val="58A518E6"/>
    <w:rsid w:val="59350DEE"/>
    <w:rsid w:val="59737644"/>
    <w:rsid w:val="597F4113"/>
    <w:rsid w:val="59BB7545"/>
    <w:rsid w:val="59BC5A1F"/>
    <w:rsid w:val="5A424E2A"/>
    <w:rsid w:val="5A47702B"/>
    <w:rsid w:val="5A667936"/>
    <w:rsid w:val="5B6F52D1"/>
    <w:rsid w:val="5B90055D"/>
    <w:rsid w:val="5BBB5BF7"/>
    <w:rsid w:val="5CB04800"/>
    <w:rsid w:val="5D6545CE"/>
    <w:rsid w:val="5D790B89"/>
    <w:rsid w:val="5E044899"/>
    <w:rsid w:val="5E0E0938"/>
    <w:rsid w:val="5E3F1677"/>
    <w:rsid w:val="5E78032A"/>
    <w:rsid w:val="5E903C03"/>
    <w:rsid w:val="5F0157EA"/>
    <w:rsid w:val="5FE80968"/>
    <w:rsid w:val="60F153BB"/>
    <w:rsid w:val="617C0DC9"/>
    <w:rsid w:val="618F4B0C"/>
    <w:rsid w:val="61B718A7"/>
    <w:rsid w:val="62894684"/>
    <w:rsid w:val="62B3262E"/>
    <w:rsid w:val="62D1447B"/>
    <w:rsid w:val="62FD288C"/>
    <w:rsid w:val="64312FEF"/>
    <w:rsid w:val="64334033"/>
    <w:rsid w:val="65456BD3"/>
    <w:rsid w:val="65C459D3"/>
    <w:rsid w:val="65E61B13"/>
    <w:rsid w:val="66445673"/>
    <w:rsid w:val="669C5E64"/>
    <w:rsid w:val="673F58BB"/>
    <w:rsid w:val="67DF6AF4"/>
    <w:rsid w:val="67F65BEC"/>
    <w:rsid w:val="68C036A8"/>
    <w:rsid w:val="69567B1D"/>
    <w:rsid w:val="6A7C2557"/>
    <w:rsid w:val="6AAF43BF"/>
    <w:rsid w:val="6B607DD6"/>
    <w:rsid w:val="6B797260"/>
    <w:rsid w:val="6BDF70C3"/>
    <w:rsid w:val="6BE66F35"/>
    <w:rsid w:val="6C297B24"/>
    <w:rsid w:val="6DB215CF"/>
    <w:rsid w:val="6DB21D5B"/>
    <w:rsid w:val="6DEB3489"/>
    <w:rsid w:val="6E44485D"/>
    <w:rsid w:val="6E876AC8"/>
    <w:rsid w:val="6ED752C3"/>
    <w:rsid w:val="6F745D74"/>
    <w:rsid w:val="6FAE1EB3"/>
    <w:rsid w:val="6FC50CC6"/>
    <w:rsid w:val="708B5A6B"/>
    <w:rsid w:val="70A4744B"/>
    <w:rsid w:val="70F00039"/>
    <w:rsid w:val="70FD2C17"/>
    <w:rsid w:val="717379B2"/>
    <w:rsid w:val="71E965E3"/>
    <w:rsid w:val="722717C4"/>
    <w:rsid w:val="73320420"/>
    <w:rsid w:val="735008A6"/>
    <w:rsid w:val="7467234B"/>
    <w:rsid w:val="746E36DA"/>
    <w:rsid w:val="75377F70"/>
    <w:rsid w:val="7541467F"/>
    <w:rsid w:val="754601B3"/>
    <w:rsid w:val="755B39B7"/>
    <w:rsid w:val="756C200D"/>
    <w:rsid w:val="759E1D9D"/>
    <w:rsid w:val="75EF25F8"/>
    <w:rsid w:val="75EF3F7E"/>
    <w:rsid w:val="76A4753E"/>
    <w:rsid w:val="76D4359C"/>
    <w:rsid w:val="772D5B56"/>
    <w:rsid w:val="77692ADD"/>
    <w:rsid w:val="778D6739"/>
    <w:rsid w:val="784C3D32"/>
    <w:rsid w:val="78A7540C"/>
    <w:rsid w:val="79C43D9C"/>
    <w:rsid w:val="79E91F99"/>
    <w:rsid w:val="7A0B3779"/>
    <w:rsid w:val="7A8157E9"/>
    <w:rsid w:val="7AA651BE"/>
    <w:rsid w:val="7BA50EA0"/>
    <w:rsid w:val="7BF967D3"/>
    <w:rsid w:val="7C036DFE"/>
    <w:rsid w:val="7C435750"/>
    <w:rsid w:val="7C6353F0"/>
    <w:rsid w:val="7CAB2FF1"/>
    <w:rsid w:val="7CC55E61"/>
    <w:rsid w:val="7CF76237"/>
    <w:rsid w:val="7DA91662"/>
    <w:rsid w:val="7DAC0DCF"/>
    <w:rsid w:val="7DFB376C"/>
    <w:rsid w:val="7E1D37BF"/>
    <w:rsid w:val="7E2802E4"/>
    <w:rsid w:val="7E2E1717"/>
    <w:rsid w:val="7E4653C6"/>
    <w:rsid w:val="7EA640F0"/>
    <w:rsid w:val="7F1D09C6"/>
    <w:rsid w:val="7F232C49"/>
    <w:rsid w:val="7F5B0048"/>
    <w:rsid w:val="7FB16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0" w:semiHidden="0"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8"/>
    <w:qFormat/>
    <w:uiPriority w:val="99"/>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4">
    <w:name w:val="heading 2"/>
    <w:basedOn w:val="1"/>
    <w:next w:val="1"/>
    <w:autoRedefine/>
    <w:unhideWhenUsed/>
    <w:qFormat/>
    <w:uiPriority w:val="0"/>
    <w:pPr>
      <w:keepNext/>
      <w:keepLines/>
      <w:spacing w:before="260" w:after="260" w:line="412" w:lineRule="auto"/>
      <w:outlineLvl w:val="1"/>
    </w:pPr>
    <w:rPr>
      <w:rFonts w:ascii="Arial" w:hAnsi="Arial" w:eastAsia="黑体"/>
      <w:b/>
      <w:bCs/>
      <w:sz w:val="32"/>
      <w:szCs w:val="32"/>
      <w:lang w:val="zh-CN"/>
    </w:rPr>
  </w:style>
  <w:style w:type="paragraph" w:styleId="5">
    <w:name w:val="heading 3"/>
    <w:basedOn w:val="1"/>
    <w:next w:val="1"/>
    <w:autoRedefine/>
    <w:unhideWhenUsed/>
    <w:qFormat/>
    <w:uiPriority w:val="0"/>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paragraph" w:styleId="6">
    <w:name w:val="heading 4"/>
    <w:basedOn w:val="1"/>
    <w:next w:val="1"/>
    <w:qFormat/>
    <w:uiPriority w:val="99"/>
    <w:pPr>
      <w:keepNext/>
      <w:keepLines/>
      <w:spacing w:line="360" w:lineRule="auto"/>
      <w:outlineLvl w:val="3"/>
    </w:pPr>
    <w:rPr>
      <w:rFonts w:ascii="Arial" w:hAnsi="Arial" w:eastAsia="楷体_GB2312"/>
      <w:b/>
      <w:bCs/>
      <w:szCs w:val="28"/>
    </w:rPr>
  </w:style>
  <w:style w:type="paragraph" w:styleId="7">
    <w:name w:val="heading 5"/>
    <w:basedOn w:val="1"/>
    <w:next w:val="1"/>
    <w:qFormat/>
    <w:uiPriority w:val="0"/>
    <w:pPr>
      <w:keepNext/>
      <w:keepLines/>
      <w:spacing w:before="280" w:beforeLines="0" w:after="290" w:afterLines="0" w:line="372" w:lineRule="auto"/>
      <w:outlineLvl w:val="4"/>
    </w:pPr>
    <w:rPr>
      <w:b/>
      <w:bCs/>
      <w:sz w:val="28"/>
      <w:szCs w:val="28"/>
    </w:rPr>
  </w:style>
  <w:style w:type="character" w:default="1" w:styleId="24">
    <w:name w:val="Default Paragraph Font"/>
    <w:autoRedefine/>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spacing w:after="200" w:line="276" w:lineRule="auto"/>
      <w:ind w:firstLine="420" w:firstLineChars="200"/>
    </w:pPr>
    <w:rPr>
      <w:rFonts w:ascii="宋体" w:hAnsi="Calibri" w:eastAsia="仿宋"/>
      <w:sz w:val="24"/>
      <w:szCs w:val="21"/>
    </w:rPr>
  </w:style>
  <w:style w:type="paragraph" w:styleId="8">
    <w:name w:val="annotation text"/>
    <w:basedOn w:val="1"/>
    <w:autoRedefine/>
    <w:qFormat/>
    <w:uiPriority w:val="99"/>
    <w:pPr>
      <w:widowControl/>
      <w:jc w:val="left"/>
    </w:pPr>
    <w:rPr>
      <w:kern w:val="0"/>
      <w:sz w:val="20"/>
      <w:szCs w:val="20"/>
    </w:rPr>
  </w:style>
  <w:style w:type="paragraph" w:styleId="9">
    <w:name w:val="Body Text 3"/>
    <w:basedOn w:val="1"/>
    <w:autoRedefine/>
    <w:qFormat/>
    <w:uiPriority w:val="0"/>
    <w:rPr>
      <w:rFonts w:ascii="宋体"/>
      <w:sz w:val="24"/>
      <w:szCs w:val="20"/>
    </w:rPr>
  </w:style>
  <w:style w:type="paragraph" w:styleId="10">
    <w:name w:val="Body Text"/>
    <w:basedOn w:val="1"/>
    <w:next w:val="11"/>
    <w:autoRedefine/>
    <w:unhideWhenUsed/>
    <w:qFormat/>
    <w:uiPriority w:val="99"/>
    <w:pPr>
      <w:spacing w:after="120"/>
    </w:pPr>
  </w:style>
  <w:style w:type="paragraph" w:styleId="11">
    <w:name w:val="Body Text 2"/>
    <w:basedOn w:val="1"/>
    <w:next w:val="10"/>
    <w:autoRedefine/>
    <w:qFormat/>
    <w:uiPriority w:val="0"/>
    <w:pPr>
      <w:spacing w:line="360" w:lineRule="auto"/>
    </w:pPr>
    <w:rPr>
      <w:sz w:val="24"/>
      <w:szCs w:val="20"/>
    </w:rPr>
  </w:style>
  <w:style w:type="paragraph" w:styleId="12">
    <w:name w:val="Body Text Indent"/>
    <w:basedOn w:val="1"/>
    <w:next w:val="13"/>
    <w:autoRedefine/>
    <w:qFormat/>
    <w:uiPriority w:val="0"/>
    <w:pPr>
      <w:spacing w:after="120" w:line="276" w:lineRule="auto"/>
      <w:ind w:left="420" w:leftChars="200"/>
    </w:pPr>
    <w:rPr>
      <w:rFonts w:ascii="宋体" w:hAnsi="Calibri" w:eastAsia="仿宋"/>
      <w:sz w:val="24"/>
      <w:szCs w:val="21"/>
    </w:rPr>
  </w:style>
  <w:style w:type="paragraph" w:styleId="13">
    <w:name w:val="envelope return"/>
    <w:basedOn w:val="1"/>
    <w:autoRedefine/>
    <w:semiHidden/>
    <w:qFormat/>
    <w:uiPriority w:val="0"/>
    <w:pPr>
      <w:snapToGrid w:val="0"/>
      <w:spacing w:after="200" w:line="276" w:lineRule="auto"/>
    </w:pPr>
    <w:rPr>
      <w:rFonts w:ascii="Arial" w:hAnsi="Arial" w:cs="Arial"/>
      <w:sz w:val="22"/>
      <w:szCs w:val="22"/>
      <w:lang w:eastAsia="en-US" w:bidi="en-US"/>
    </w:rPr>
  </w:style>
  <w:style w:type="paragraph" w:styleId="14">
    <w:name w:val="Plain Text"/>
    <w:basedOn w:val="1"/>
    <w:autoRedefine/>
    <w:unhideWhenUsed/>
    <w:qFormat/>
    <w:uiPriority w:val="99"/>
    <w:rPr>
      <w:rFonts w:ascii="宋体" w:hAnsi="Courier New"/>
    </w:rPr>
  </w:style>
  <w:style w:type="paragraph" w:styleId="15">
    <w:name w:val="Body Text Indent 2"/>
    <w:basedOn w:val="1"/>
    <w:autoRedefine/>
    <w:qFormat/>
    <w:uiPriority w:val="0"/>
    <w:pPr>
      <w:spacing w:after="120" w:line="480" w:lineRule="auto"/>
      <w:ind w:left="420" w:leftChars="200"/>
    </w:pPr>
    <w:rPr>
      <w:rFonts w:ascii="宋体" w:hAnsi="Calibri" w:eastAsia="仿宋"/>
      <w:sz w:val="24"/>
      <w:szCs w:val="21"/>
    </w:rPr>
  </w:style>
  <w:style w:type="paragraph" w:styleId="16">
    <w:name w:val="footer"/>
    <w:basedOn w:val="1"/>
    <w:autoRedefine/>
    <w:semiHidden/>
    <w:unhideWhenUsed/>
    <w:qFormat/>
    <w:uiPriority w:val="99"/>
    <w:pPr>
      <w:tabs>
        <w:tab w:val="center" w:pos="4153"/>
        <w:tab w:val="right" w:pos="8306"/>
      </w:tabs>
      <w:snapToGrid w:val="0"/>
      <w:jc w:val="left"/>
    </w:pPr>
    <w:rPr>
      <w:sz w:val="18"/>
      <w:szCs w:val="18"/>
    </w:rPr>
  </w:style>
  <w:style w:type="paragraph" w:styleId="17">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0"/>
  </w:style>
  <w:style w:type="paragraph" w:styleId="19">
    <w:name w:val="footnote text"/>
    <w:basedOn w:val="1"/>
    <w:autoRedefine/>
    <w:qFormat/>
    <w:uiPriority w:val="0"/>
    <w:rPr>
      <w:sz w:val="20"/>
      <w:szCs w:val="20"/>
    </w:rPr>
  </w:style>
  <w:style w:type="paragraph" w:styleId="2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1">
    <w:name w:val="Body Text First Indent"/>
    <w:basedOn w:val="10"/>
    <w:next w:val="22"/>
    <w:autoRedefine/>
    <w:qFormat/>
    <w:uiPriority w:val="0"/>
    <w:pPr>
      <w:spacing w:line="360" w:lineRule="auto"/>
      <w:ind w:firstLine="420"/>
    </w:pPr>
    <w:rPr>
      <w:rFonts w:ascii="Calibri" w:hAnsi="Calibri" w:eastAsia="Arial Unicode MS"/>
      <w:color w:val="000000"/>
      <w:kern w:val="0"/>
      <w:sz w:val="28"/>
      <w:szCs w:val="28"/>
    </w:rPr>
  </w:style>
  <w:style w:type="paragraph" w:styleId="22">
    <w:name w:val="Body Text First Indent 2"/>
    <w:basedOn w:val="1"/>
    <w:next w:val="1"/>
    <w:autoRedefine/>
    <w:qFormat/>
    <w:uiPriority w:val="0"/>
    <w:pPr>
      <w:ind w:firstLine="420" w:firstLineChars="200"/>
    </w:pPr>
  </w:style>
  <w:style w:type="character" w:styleId="25">
    <w:name w:val="Strong"/>
    <w:basedOn w:val="24"/>
    <w:autoRedefine/>
    <w:qFormat/>
    <w:uiPriority w:val="0"/>
    <w:rPr>
      <w:b/>
      <w:bCs/>
    </w:rPr>
  </w:style>
  <w:style w:type="character" w:styleId="26">
    <w:name w:val="FollowedHyperlink"/>
    <w:basedOn w:val="24"/>
    <w:autoRedefine/>
    <w:qFormat/>
    <w:uiPriority w:val="0"/>
    <w:rPr>
      <w:color w:val="800080"/>
      <w:u w:val="none"/>
    </w:rPr>
  </w:style>
  <w:style w:type="character" w:styleId="27">
    <w:name w:val="Emphasis"/>
    <w:basedOn w:val="24"/>
    <w:autoRedefine/>
    <w:qFormat/>
    <w:uiPriority w:val="0"/>
    <w:rPr>
      <w:b/>
      <w:bCs/>
    </w:rPr>
  </w:style>
  <w:style w:type="character" w:styleId="28">
    <w:name w:val="HTML Definition"/>
    <w:basedOn w:val="24"/>
    <w:autoRedefine/>
    <w:qFormat/>
    <w:uiPriority w:val="0"/>
  </w:style>
  <w:style w:type="character" w:styleId="29">
    <w:name w:val="HTML Typewriter"/>
    <w:basedOn w:val="24"/>
    <w:autoRedefine/>
    <w:qFormat/>
    <w:uiPriority w:val="0"/>
    <w:rPr>
      <w:rFonts w:ascii="monospace" w:hAnsi="monospace" w:eastAsia="monospace" w:cs="monospace"/>
      <w:sz w:val="20"/>
    </w:rPr>
  </w:style>
  <w:style w:type="character" w:styleId="30">
    <w:name w:val="HTML Acronym"/>
    <w:basedOn w:val="24"/>
    <w:autoRedefine/>
    <w:qFormat/>
    <w:uiPriority w:val="0"/>
  </w:style>
  <w:style w:type="character" w:styleId="31">
    <w:name w:val="HTML Variable"/>
    <w:basedOn w:val="24"/>
    <w:autoRedefine/>
    <w:qFormat/>
    <w:uiPriority w:val="0"/>
  </w:style>
  <w:style w:type="character" w:styleId="32">
    <w:name w:val="Hyperlink"/>
    <w:basedOn w:val="24"/>
    <w:autoRedefine/>
    <w:qFormat/>
    <w:uiPriority w:val="0"/>
    <w:rPr>
      <w:color w:val="0000FF"/>
      <w:u w:val="none"/>
    </w:rPr>
  </w:style>
  <w:style w:type="character" w:styleId="33">
    <w:name w:val="HTML Code"/>
    <w:basedOn w:val="24"/>
    <w:autoRedefine/>
    <w:qFormat/>
    <w:uiPriority w:val="0"/>
    <w:rPr>
      <w:rFonts w:hint="default" w:ascii="monospace" w:hAnsi="monospace" w:eastAsia="monospace" w:cs="monospace"/>
      <w:sz w:val="20"/>
    </w:rPr>
  </w:style>
  <w:style w:type="character" w:styleId="34">
    <w:name w:val="HTML Cite"/>
    <w:basedOn w:val="24"/>
    <w:autoRedefine/>
    <w:qFormat/>
    <w:uiPriority w:val="0"/>
  </w:style>
  <w:style w:type="character" w:styleId="35">
    <w:name w:val="HTML Keyboard"/>
    <w:basedOn w:val="24"/>
    <w:autoRedefine/>
    <w:qFormat/>
    <w:uiPriority w:val="0"/>
    <w:rPr>
      <w:rFonts w:hint="default" w:ascii="monospace" w:hAnsi="monospace" w:eastAsia="monospace" w:cs="monospace"/>
      <w:sz w:val="20"/>
    </w:rPr>
  </w:style>
  <w:style w:type="character" w:styleId="36">
    <w:name w:val="HTML Sample"/>
    <w:basedOn w:val="24"/>
    <w:autoRedefine/>
    <w:qFormat/>
    <w:uiPriority w:val="0"/>
    <w:rPr>
      <w:rFonts w:hint="default" w:ascii="monospace" w:hAnsi="monospace" w:eastAsia="monospace" w:cs="monospace"/>
    </w:rPr>
  </w:style>
  <w:style w:type="paragraph" w:customStyle="1" w:styleId="37">
    <w:name w:val="无间隔1"/>
    <w:autoRedefine/>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8">
    <w:name w:val="Default"/>
    <w:autoRedefine/>
    <w:qFormat/>
    <w:uiPriority w:val="0"/>
    <w:pPr>
      <w:widowControl w:val="0"/>
      <w:autoSpaceDE w:val="0"/>
      <w:autoSpaceDN w:val="0"/>
      <w:adjustRightInd w:val="0"/>
      <w:spacing w:after="200" w:line="276" w:lineRule="auto"/>
    </w:pPr>
    <w:rPr>
      <w:rFonts w:ascii="宋体" w:hAnsi="Calibri" w:eastAsia="宋体" w:cs="宋体"/>
      <w:color w:val="000000"/>
      <w:sz w:val="24"/>
      <w:szCs w:val="24"/>
      <w:lang w:val="en-US" w:eastAsia="zh-CN" w:bidi="ar-SA"/>
    </w:rPr>
  </w:style>
  <w:style w:type="paragraph" w:customStyle="1" w:styleId="39">
    <w:name w:val="大标题"/>
    <w:basedOn w:val="1"/>
    <w:next w:val="22"/>
    <w:autoRedefine/>
    <w:qFormat/>
    <w:uiPriority w:val="0"/>
    <w:pPr>
      <w:pageBreakBefore/>
      <w:spacing w:after="200" w:line="720" w:lineRule="auto"/>
      <w:jc w:val="center"/>
      <w:outlineLvl w:val="0"/>
    </w:pPr>
    <w:rPr>
      <w:rFonts w:ascii="黑体" w:hAnsi="Calibri" w:eastAsia="黑体"/>
      <w:sz w:val="32"/>
      <w:szCs w:val="30"/>
      <w:lang w:eastAsia="en-US" w:bidi="en-US"/>
    </w:rPr>
  </w:style>
  <w:style w:type="paragraph" w:customStyle="1" w:styleId="40">
    <w:name w:val="cjk"/>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1">
    <w:name w:val="Table Paragraph"/>
    <w:basedOn w:val="1"/>
    <w:autoRedefine/>
    <w:qFormat/>
    <w:uiPriority w:val="1"/>
  </w:style>
  <w:style w:type="paragraph" w:customStyle="1" w:styleId="42">
    <w:name w:val="p0"/>
    <w:basedOn w:val="1"/>
    <w:autoRedefine/>
    <w:qFormat/>
    <w:uiPriority w:val="0"/>
    <w:pPr>
      <w:widowControl/>
    </w:pPr>
    <w:rPr>
      <w:kern w:val="0"/>
      <w:szCs w:val="21"/>
    </w:rPr>
  </w:style>
  <w:style w:type="character" w:customStyle="1" w:styleId="43">
    <w:name w:val="标题4 Char"/>
    <w:link w:val="44"/>
    <w:autoRedefine/>
    <w:qFormat/>
    <w:uiPriority w:val="0"/>
    <w:rPr>
      <w:rFonts w:asciiTheme="minorHAnsi" w:hAnsiTheme="minorHAnsi" w:eastAsiaTheme="minorEastAsia" w:cstheme="minorBidi"/>
      <w:kern w:val="0"/>
      <w:sz w:val="28"/>
      <w:szCs w:val="20"/>
    </w:rPr>
  </w:style>
  <w:style w:type="paragraph" w:customStyle="1" w:styleId="44">
    <w:name w:val="标题4"/>
    <w:basedOn w:val="1"/>
    <w:next w:val="1"/>
    <w:link w:val="43"/>
    <w:autoRedefine/>
    <w:qFormat/>
    <w:uiPriority w:val="0"/>
    <w:pPr>
      <w:spacing w:line="360" w:lineRule="auto"/>
      <w:ind w:firstLine="105" w:firstLineChars="50"/>
      <w:jc w:val="left"/>
    </w:pPr>
    <w:rPr>
      <w:rFonts w:asciiTheme="minorHAnsi" w:hAnsiTheme="minorHAnsi" w:eastAsiaTheme="minorEastAsia" w:cstheme="minorBidi"/>
      <w:kern w:val="0"/>
      <w:sz w:val="28"/>
      <w:szCs w:val="20"/>
    </w:rPr>
  </w:style>
  <w:style w:type="character" w:customStyle="1" w:styleId="45">
    <w:name w:val="layui-layer-tabnow"/>
    <w:basedOn w:val="24"/>
    <w:autoRedefine/>
    <w:qFormat/>
    <w:uiPriority w:val="0"/>
    <w:rPr>
      <w:bdr w:val="single" w:color="CCCCCC" w:sz="6" w:space="0"/>
      <w:shd w:val="clear" w:fill="FFFFFF"/>
    </w:rPr>
  </w:style>
  <w:style w:type="character" w:customStyle="1" w:styleId="46">
    <w:name w:val="first-child"/>
    <w:basedOn w:val="24"/>
    <w:autoRedefine/>
    <w:qFormat/>
    <w:uiPriority w:val="0"/>
  </w:style>
  <w:style w:type="paragraph" w:customStyle="1" w:styleId="47">
    <w:name w:val="报告正文"/>
    <w:basedOn w:val="1"/>
    <w:autoRedefine/>
    <w:qFormat/>
    <w:uiPriority w:val="0"/>
    <w:pPr>
      <w:adjustRightInd w:val="0"/>
      <w:ind w:firstLine="560" w:firstLineChars="200"/>
    </w:pPr>
    <w:rPr>
      <w:rFonts w:ascii="宋体" w:hAnsi="宋体"/>
      <w:kern w:val="0"/>
      <w:sz w:val="28"/>
      <w:szCs w:val="20"/>
    </w:rPr>
  </w:style>
  <w:style w:type="character" w:customStyle="1" w:styleId="48">
    <w:name w:val="hover1"/>
    <w:basedOn w:val="24"/>
    <w:autoRedefine/>
    <w:qFormat/>
    <w:uiPriority w:val="0"/>
  </w:style>
  <w:style w:type="character" w:customStyle="1" w:styleId="49">
    <w:name w:val="hover2"/>
    <w:basedOn w:val="24"/>
    <w:autoRedefine/>
    <w:qFormat/>
    <w:uiPriority w:val="0"/>
    <w:rPr>
      <w:color w:val="2590EB"/>
    </w:rPr>
  </w:style>
  <w:style w:type="character" w:customStyle="1" w:styleId="50">
    <w:name w:val="hover3"/>
    <w:basedOn w:val="24"/>
    <w:autoRedefine/>
    <w:qFormat/>
    <w:uiPriority w:val="0"/>
    <w:rPr>
      <w:color w:val="2590EB"/>
    </w:rPr>
  </w:style>
  <w:style w:type="character" w:customStyle="1" w:styleId="51">
    <w:name w:val="mini-outputtext1"/>
    <w:basedOn w:val="24"/>
    <w:autoRedefine/>
    <w:qFormat/>
    <w:uiPriority w:val="0"/>
  </w:style>
  <w:style w:type="character" w:customStyle="1" w:styleId="52">
    <w:name w:val="hover"/>
    <w:basedOn w:val="24"/>
    <w:autoRedefine/>
    <w:qFormat/>
    <w:uiPriority w:val="0"/>
    <w:rPr>
      <w:color w:val="2590EB"/>
    </w:rPr>
  </w:style>
  <w:style w:type="paragraph" w:customStyle="1" w:styleId="53">
    <w:name w:val="正文 1.1"/>
    <w:basedOn w:val="1"/>
    <w:next w:val="54"/>
    <w:autoRedefine/>
    <w:qFormat/>
    <w:uiPriority w:val="0"/>
    <w:pPr>
      <w:adjustRightInd/>
      <w:snapToGrid/>
      <w:spacing w:before="100" w:beforeAutospacing="1" w:line="268" w:lineRule="auto"/>
      <w:ind w:left="980" w:hanging="980"/>
      <w:outlineLvl w:val="1"/>
    </w:pPr>
    <w:rPr>
      <w:rFonts w:hint="eastAsia" w:ascii="仿宋" w:hAnsi="仿宋" w:eastAsia="仿宋" w:cs="Times New Roman"/>
      <w:b/>
      <w:sz w:val="24"/>
      <w:szCs w:val="24"/>
    </w:rPr>
  </w:style>
  <w:style w:type="paragraph" w:customStyle="1" w:styleId="54">
    <w:name w:val="正文 1.1.1"/>
    <w:basedOn w:val="1"/>
    <w:next w:val="1"/>
    <w:autoRedefine/>
    <w:qFormat/>
    <w:uiPriority w:val="0"/>
    <w:pPr>
      <w:adjustRightInd/>
      <w:snapToGrid/>
      <w:spacing w:before="100" w:beforeAutospacing="1" w:line="268" w:lineRule="auto"/>
      <w:ind w:left="710"/>
      <w:outlineLvl w:val="2"/>
    </w:pPr>
    <w:rPr>
      <w:rFonts w:ascii="Calibri" w:hAnsi="宋体" w:eastAsia="宋体" w:cs="Times New Roman"/>
      <w:color w:val="FF0000"/>
    </w:rPr>
  </w:style>
  <w:style w:type="paragraph" w:customStyle="1" w:styleId="55">
    <w:name w:val="正文_5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6">
    <w:name w:val="TOC 标题1"/>
    <w:basedOn w:val="3"/>
    <w:next w:val="1"/>
    <w:qFormat/>
    <w:uiPriority w:val="0"/>
    <w:pPr>
      <w:keepNext/>
      <w:keepLines/>
      <w:widowControl w:val="0"/>
      <w:spacing w:before="340" w:after="330" w:line="578" w:lineRule="auto"/>
      <w:jc w:val="both"/>
      <w:outlineLvl w:val="9"/>
    </w:pPr>
    <w:rPr>
      <w:rFonts w:ascii="Calibri" w:hAnsi="Calibri"/>
      <w:color w:val="auto"/>
      <w:kern w:val="44"/>
      <w:sz w:val="44"/>
      <w:szCs w:val="44"/>
    </w:rPr>
  </w:style>
  <w:style w:type="paragraph" w:customStyle="1" w:styleId="57">
    <w:name w:val="*正文"/>
    <w:basedOn w:val="1"/>
    <w:qFormat/>
    <w:uiPriority w:val="0"/>
    <w:pPr>
      <w:keepNext/>
      <w:keepLines/>
      <w:spacing w:line="360" w:lineRule="auto"/>
      <w:ind w:firstLine="200" w:firstLineChars="200"/>
    </w:pPr>
    <w:rPr>
      <w:rFonts w:ascii="宋体" w:hAnsi="宋体"/>
    </w:rPr>
  </w:style>
  <w:style w:type="character" w:customStyle="1" w:styleId="58">
    <w:name w:val="标题 1 字符"/>
    <w:link w:val="3"/>
    <w:qFormat/>
    <w:uiPriority w:val="0"/>
    <w:rPr>
      <w:rFonts w:ascii="Times New Roman" w:hAnsi="Times New Roman" w:eastAsia="宋体" w:cs="Times New Roman"/>
      <w:b/>
      <w:bCs/>
      <w:kern w:val="44"/>
      <w:sz w:val="44"/>
      <w:szCs w:val="44"/>
    </w:rPr>
  </w:style>
  <w:style w:type="paragraph" w:customStyle="1" w:styleId="59">
    <w:name w:val="Table Text"/>
    <w:basedOn w:val="1"/>
    <w:semiHidden/>
    <w:qFormat/>
    <w:uiPriority w:val="0"/>
    <w:rPr>
      <w:rFonts w:ascii="微软雅黑" w:hAnsi="微软雅黑" w:eastAsia="微软雅黑" w:cs="微软雅黑"/>
      <w:sz w:val="22"/>
      <w:szCs w:val="22"/>
      <w:lang w:val="en-US" w:eastAsia="en-US" w:bidi="ar-SA"/>
    </w:rPr>
  </w:style>
  <w:style w:type="table" w:customStyle="1" w:styleId="60">
    <w:name w:val="Table Normal"/>
    <w:unhideWhenUsed/>
    <w:qFormat/>
    <w:uiPriority w:val="0"/>
    <w:tblPr>
      <w:tblCellMar>
        <w:top w:w="0" w:type="dxa"/>
        <w:left w:w="0" w:type="dxa"/>
        <w:bottom w:w="0" w:type="dxa"/>
        <w:right w:w="0" w:type="dxa"/>
      </w:tblCellMar>
    </w:tblPr>
  </w:style>
  <w:style w:type="character" w:customStyle="1" w:styleId="61">
    <w:name w:val="xiadan"/>
    <w:basedOn w:val="24"/>
    <w:qFormat/>
    <w:uiPriority w:val="0"/>
    <w:rPr>
      <w:shd w:val="clear" w:fill="E4393C"/>
    </w:rPr>
  </w:style>
  <w:style w:type="character" w:customStyle="1" w:styleId="62">
    <w:name w:val="icon_ds"/>
    <w:basedOn w:val="24"/>
    <w:qFormat/>
    <w:uiPriority w:val="0"/>
    <w:rPr>
      <w:sz w:val="21"/>
      <w:szCs w:val="21"/>
    </w:rPr>
  </w:style>
  <w:style w:type="character" w:customStyle="1" w:styleId="63">
    <w:name w:val="icon_ds1"/>
    <w:basedOn w:val="24"/>
    <w:qFormat/>
    <w:uiPriority w:val="0"/>
  </w:style>
  <w:style w:type="character" w:customStyle="1" w:styleId="64">
    <w:name w:val="fr"/>
    <w:basedOn w:val="24"/>
    <w:qFormat/>
    <w:uiPriority w:val="0"/>
  </w:style>
  <w:style w:type="character" w:customStyle="1" w:styleId="65">
    <w:name w:val="nth-child(1)"/>
    <w:basedOn w:val="24"/>
    <w:qFormat/>
    <w:uiPriority w:val="0"/>
  </w:style>
  <w:style w:type="character" w:customStyle="1" w:styleId="66">
    <w:name w:val="icon_gys"/>
    <w:basedOn w:val="24"/>
    <w:qFormat/>
    <w:uiPriority w:val="0"/>
    <w:rPr>
      <w:sz w:val="21"/>
      <w:szCs w:val="21"/>
    </w:rPr>
  </w:style>
  <w:style w:type="character" w:customStyle="1" w:styleId="67">
    <w:name w:val="first-child1"/>
    <w:basedOn w:val="24"/>
    <w:qFormat/>
    <w:uiPriority w:val="0"/>
    <w:rPr>
      <w:color w:val="1F3149"/>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microsoft.com/office/2007/relationships/hdphoto" Target="media/image7.wdp"/><Relationship Id="rId14" Type="http://schemas.openxmlformats.org/officeDocument/2006/relationships/image" Target="media/image6.jpeg"/><Relationship Id="rId13" Type="http://schemas.microsoft.com/office/2007/relationships/hdphoto" Target="media/image5.wdp"/><Relationship Id="rId12" Type="http://schemas.openxmlformats.org/officeDocument/2006/relationships/image" Target="media/image4.jpeg"/><Relationship Id="rId11" Type="http://schemas.microsoft.com/office/2007/relationships/hdphoto" Target="media/image3.wdp"/><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99</Pages>
  <Words>6217</Words>
  <Characters>7209</Characters>
  <Lines>0</Lines>
  <Paragraphs>0</Paragraphs>
  <TotalTime>7</TotalTime>
  <ScaleCrop>false</ScaleCrop>
  <LinksUpToDate>false</LinksUpToDate>
  <CharactersWithSpaces>7256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2023-03-10T04:00:00Z</dcterms:created>
  <dc:creator>mary</dc:creator>
  <cp:lastModifiedBy>Administrator</cp:lastModifiedBy>
  <cp:lastPrinted>2025-05-09T08:57:00Z</cp:lastPrinted>
  <dcterms:modified xsi:type="dcterms:W3CDTF">2025-05-20T09:48:02Z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6678C671981B470C82581DBFFB59F5AD_13</vt:lpwstr>
  </property>
  <property fmtid="{D5CDD505-2E9C-101B-9397-08002B2CF9AE}" pid="4" name="KSOTemplateDocerSaveRecord">
    <vt:lpwstr>eyJoZGlkIjoiMGVkYmZmYjM3MDg5NmRlNTNmYzBmNGY4MDI4MzRjNWYifQ==</vt:lpwstr>
  </property>
</Properties>
</file>