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ind w:firstLine="0" w:firstLineChars="0"/>
        <w:jc w:val="center"/>
        <w:rPr>
          <w:rFonts w:hint="eastAsia" w:asciiTheme="majorEastAsia" w:hAnsiTheme="majorEastAsia" w:eastAsiaTheme="majorEastAsia" w:cstheme="majorEastAsia"/>
          <w:b/>
          <w:bCs/>
          <w:color w:val="auto"/>
          <w:sz w:val="44"/>
          <w:szCs w:val="44"/>
        </w:rPr>
      </w:pPr>
      <w:bookmarkStart w:id="51" w:name="_GoBack"/>
      <w:r>
        <w:rPr>
          <w:rFonts w:hint="eastAsia" w:asciiTheme="majorEastAsia" w:hAnsiTheme="majorEastAsia" w:eastAsiaTheme="majorEastAsia" w:cstheme="majorEastAsia"/>
          <w:b/>
          <w:bCs/>
          <w:color w:val="auto"/>
          <w:sz w:val="44"/>
          <w:szCs w:val="44"/>
        </w:rPr>
        <w:t>禹州市中心医院64排CT球管、血管造影机</w:t>
      </w:r>
    </w:p>
    <w:p>
      <w:pPr>
        <w:pStyle w:val="39"/>
        <w:ind w:firstLine="0" w:firstLineChars="0"/>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维修维保服务及高清电子肠镜采购项目</w:t>
      </w:r>
    </w:p>
    <w:p>
      <w:pPr>
        <w:pStyle w:val="39"/>
        <w:ind w:firstLine="0" w:firstLineChars="0"/>
        <w:rPr>
          <w:rFonts w:ascii="华文隶书" w:eastAsia="华文隶书"/>
          <w:bCs/>
          <w:color w:val="auto"/>
          <w:w w:val="90"/>
          <w:sz w:val="96"/>
        </w:rPr>
      </w:pPr>
    </w:p>
    <w:p>
      <w:pPr>
        <w:pStyle w:val="39"/>
        <w:ind w:firstLine="0" w:firstLineChars="0"/>
        <w:rPr>
          <w:rFonts w:ascii="华文隶书" w:eastAsia="华文隶书"/>
          <w:bCs/>
          <w:color w:val="auto"/>
          <w:w w:val="90"/>
          <w:sz w:val="96"/>
        </w:rPr>
      </w:pPr>
    </w:p>
    <w:p>
      <w:pPr>
        <w:pStyle w:val="70"/>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lang w:eastAsia="zh-CN"/>
        </w:rPr>
        <w:t>第</w:t>
      </w:r>
      <w:r>
        <w:rPr>
          <w:rFonts w:hint="eastAsia" w:ascii="黑体" w:hAnsi="黑体" w:eastAsia="黑体" w:cs="黑体"/>
          <w:bCs/>
          <w:color w:val="auto"/>
          <w:w w:val="90"/>
          <w:sz w:val="72"/>
          <w:szCs w:val="72"/>
          <w:lang w:val="en-US" w:eastAsia="zh-CN"/>
        </w:rPr>
        <w:t>1标段</w:t>
      </w:r>
      <w:r>
        <w:rPr>
          <w:rFonts w:hint="eastAsia" w:ascii="黑体" w:hAnsi="黑体" w:eastAsia="黑体" w:cs="黑体"/>
          <w:bCs/>
          <w:color w:val="auto"/>
          <w:w w:val="90"/>
          <w:sz w:val="72"/>
          <w:szCs w:val="72"/>
        </w:rPr>
        <w:t>招标文件</w:t>
      </w:r>
    </w:p>
    <w:p>
      <w:pPr>
        <w:rPr>
          <w:rFonts w:ascii="微软简隶书" w:eastAsia="微软简隶书"/>
          <w:color w:val="auto"/>
        </w:rPr>
      </w:pPr>
    </w:p>
    <w:p>
      <w:pPr>
        <w:rPr>
          <w:rFonts w:ascii="微软简隶书" w:eastAsia="微软简隶书"/>
          <w:color w:val="auto"/>
        </w:rPr>
      </w:pPr>
    </w:p>
    <w:p>
      <w:pPr>
        <w:pStyle w:val="11"/>
        <w:rPr>
          <w:rFonts w:hint="eastAsia"/>
          <w:color w:val="auto"/>
        </w:rPr>
      </w:pPr>
    </w:p>
    <w:p>
      <w:pPr>
        <w:pStyle w:val="25"/>
        <w:rPr>
          <w:rFonts w:hint="eastAsia"/>
          <w:color w:val="auto"/>
        </w:rPr>
      </w:pPr>
    </w:p>
    <w:p>
      <w:pPr>
        <w:pStyle w:val="25"/>
        <w:rPr>
          <w:color w:val="auto"/>
        </w:rPr>
      </w:pPr>
    </w:p>
    <w:p>
      <w:pPr>
        <w:rPr>
          <w:color w:val="auto"/>
        </w:rPr>
      </w:pPr>
    </w:p>
    <w:p>
      <w:pPr>
        <w:pStyle w:val="11"/>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采购编号：YZCG-DL</w:t>
      </w:r>
      <w:r>
        <w:rPr>
          <w:rFonts w:hint="eastAsia" w:asciiTheme="majorEastAsia" w:hAnsiTheme="majorEastAsia" w:eastAsiaTheme="majorEastAsia" w:cstheme="majorEastAsia"/>
          <w:b/>
          <w:bCs/>
          <w:color w:val="auto"/>
          <w:sz w:val="36"/>
          <w:szCs w:val="36"/>
        </w:rPr>
        <w:t>G202</w:t>
      </w:r>
      <w:r>
        <w:rPr>
          <w:rFonts w:hint="eastAsia" w:asciiTheme="majorEastAsia" w:hAnsiTheme="majorEastAsia" w:eastAsiaTheme="majorEastAsia" w:cstheme="majorEastAsia"/>
          <w:b/>
          <w:bCs/>
          <w:color w:val="auto"/>
          <w:sz w:val="36"/>
          <w:szCs w:val="36"/>
          <w:lang w:val="en-US" w:eastAsia="zh-CN"/>
        </w:rPr>
        <w:t>4067</w:t>
      </w:r>
    </w:p>
    <w:p>
      <w:pPr>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采购单位：禹州市</w:t>
      </w:r>
      <w:r>
        <w:rPr>
          <w:rFonts w:hint="eastAsia" w:asciiTheme="majorEastAsia" w:hAnsiTheme="majorEastAsia" w:eastAsiaTheme="majorEastAsia" w:cstheme="majorEastAsia"/>
          <w:b/>
          <w:bCs/>
          <w:color w:val="auto"/>
          <w:sz w:val="36"/>
          <w:szCs w:val="36"/>
          <w:lang w:eastAsia="zh-CN"/>
        </w:rPr>
        <w:t>中心医院</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eastAsia="zh-CN"/>
        </w:rPr>
        <w:t>四</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eastAsia="zh-CN"/>
        </w:rPr>
        <w:t>八</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both"/>
        <w:rPr>
          <w:rFonts w:cs="黑体" w:asciiTheme="minorEastAsia" w:hAnsiTheme="minorEastAsia"/>
          <w:b/>
          <w:bCs/>
          <w:color w:val="auto"/>
          <w:sz w:val="44"/>
          <w:szCs w:val="44"/>
          <w:lang w:val="zh-CN"/>
        </w:rPr>
        <w:sectPr>
          <w:footerReference r:id="rId3" w:type="default"/>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8"/>
        <w:ind w:firstLine="301"/>
        <w:rPr>
          <w:rFonts w:asciiTheme="majorEastAsia" w:hAnsiTheme="majorEastAsia" w:eastAsiaTheme="majorEastAsia" w:cstheme="majorEastAsia"/>
          <w:b/>
          <w:bCs/>
          <w:color w:val="auto"/>
          <w:sz w:val="30"/>
          <w:szCs w:val="30"/>
          <w:lang w:val="zh-CN"/>
        </w:rPr>
      </w:pPr>
    </w:p>
    <w:p>
      <w:pPr>
        <w:pStyle w:val="29"/>
        <w:ind w:firstLine="480"/>
        <w:rPr>
          <w:color w:val="auto"/>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tabs>
          <w:tab w:val="left" w:pos="7095"/>
        </w:tabs>
        <w:spacing w:line="384" w:lineRule="auto"/>
        <w:contextualSpacing/>
        <w:rPr>
          <w:rFonts w:hAnsi="宋体"/>
          <w:b/>
          <w:bCs/>
          <w:color w:val="auto"/>
          <w:szCs w:val="21"/>
        </w:rPr>
      </w:pPr>
      <w:r>
        <w:rPr>
          <w:rFonts w:hint="eastAsia" w:ascii="宋体" w:hAnsi="宋体" w:eastAsia="宋体" w:cs="宋体"/>
          <w:color w:val="auto"/>
          <w:szCs w:val="21"/>
          <w:shd w:val="clear" w:color="auto" w:fill="FFFFFF"/>
        </w:rPr>
        <w:t>　</w:t>
      </w: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中心医院64排CT球管、血管造影机维修维保服务及高清电子肠镜采购项目的潜在投标人应在投标截止时间前登录《全国公共资源交易平台（河南省·许昌市）》“投标人/供应商登录”入口（http://ggzy.xuchang.gov.cn:8088/ggzy/）自行免费下载获取招标文件，并于2</w:t>
      </w:r>
      <w:r>
        <w:rPr>
          <w:rFonts w:hint="eastAsia" w:hAnsi="宋体"/>
          <w:color w:val="auto"/>
          <w:szCs w:val="21"/>
        </w:rPr>
        <w:t>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 xml:space="preserve">8 </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0</w:t>
      </w:r>
      <w:r>
        <w:rPr>
          <w:rFonts w:hint="eastAsia" w:hAnsi="宋体"/>
          <w:color w:val="auto"/>
          <w:szCs w:val="21"/>
          <w:lang w:val="en-US" w:eastAsia="zh-CN"/>
        </w:rPr>
        <w:t>8</w:t>
      </w:r>
      <w:r>
        <w:rPr>
          <w:rFonts w:hint="eastAsia" w:hAnsi="宋体"/>
          <w:color w:val="auto"/>
          <w:szCs w:val="21"/>
        </w:rPr>
        <w:t>时30 分（北京时间）前递交投标文件。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w:t>
      </w:r>
      <w:r>
        <w:rPr>
          <w:rFonts w:hint="eastAsia" w:hAnsi="宋体"/>
          <w:color w:val="auto"/>
          <w:szCs w:val="21"/>
        </w:rPr>
        <w:t>G202</w:t>
      </w:r>
      <w:r>
        <w:rPr>
          <w:rFonts w:hint="eastAsia" w:hAnsi="宋体"/>
          <w:color w:val="auto"/>
          <w:szCs w:val="21"/>
          <w:lang w:val="en-US" w:eastAsia="zh-CN"/>
        </w:rPr>
        <w:t>4067</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 xml:space="preserve">2.项目名称：禹州市中心医院64排CT球管、血管造影机维修维保服务及高清电子肠镜采购项目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3.采购方式：公开招标</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4</w:t>
      </w:r>
      <w:r>
        <w:rPr>
          <w:rFonts w:hint="eastAsia" w:hAnsi="宋体"/>
          <w:color w:val="auto"/>
          <w:szCs w:val="21"/>
        </w:rPr>
        <w:t>.采购需求（包括但不限于标的的名称、数量、简要技术需求或服务要求等）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禹州市中心医院64排CT球管、血管造影机维修维保服务及高清电子肠镜采购项</w:t>
      </w:r>
      <w:r>
        <w:rPr>
          <w:rFonts w:hint="eastAsia" w:hAnsi="宋体"/>
          <w:color w:val="auto"/>
          <w:szCs w:val="21"/>
        </w:rPr>
        <w:t>目</w:t>
      </w:r>
      <w:r>
        <w:rPr>
          <w:rFonts w:hint="eastAsia" w:hAnsi="宋体"/>
          <w:color w:val="auto"/>
          <w:szCs w:val="21"/>
          <w:lang w:eastAsia="zh-CN"/>
        </w:rPr>
        <w:t>划分</w:t>
      </w:r>
      <w:r>
        <w:rPr>
          <w:rFonts w:hint="eastAsia" w:hAnsi="宋体"/>
          <w:color w:val="auto"/>
          <w:szCs w:val="21"/>
          <w:lang w:val="en-US" w:eastAsia="zh-CN"/>
        </w:rPr>
        <w:t>2个标段，第1标段</w:t>
      </w:r>
      <w:r>
        <w:rPr>
          <w:rFonts w:hint="eastAsia" w:hAnsi="宋体"/>
          <w:color w:val="auto"/>
          <w:szCs w:val="21"/>
          <w:lang w:eastAsia="zh-CN"/>
        </w:rPr>
        <w:t>64排CT球管、血管造影机维修维保服务</w:t>
      </w:r>
      <w:r>
        <w:rPr>
          <w:rFonts w:hint="eastAsia" w:hAnsi="宋体"/>
          <w:color w:val="auto"/>
          <w:szCs w:val="21"/>
          <w:lang w:val="en-US" w:eastAsia="zh-CN"/>
        </w:rPr>
        <w:t>，第2标段采购</w:t>
      </w:r>
      <w:r>
        <w:rPr>
          <w:rFonts w:hint="eastAsia" w:hAnsi="宋体"/>
          <w:color w:val="auto"/>
          <w:szCs w:val="21"/>
          <w:lang w:eastAsia="zh-CN"/>
        </w:rPr>
        <w:t>高清电子肠镜1条。</w:t>
      </w:r>
      <w:r>
        <w:rPr>
          <w:rFonts w:hint="eastAsia" w:hAnsi="宋体"/>
          <w:color w:val="auto"/>
          <w:szCs w:val="21"/>
        </w:rPr>
        <w:t>（详见招标文件）。</w:t>
      </w:r>
    </w:p>
    <w:p>
      <w:pPr>
        <w:tabs>
          <w:tab w:val="left" w:pos="7095"/>
        </w:tabs>
        <w:spacing w:line="384" w:lineRule="auto"/>
        <w:ind w:firstLine="420" w:firstLineChars="200"/>
        <w:contextualSpacing/>
        <w:rPr>
          <w:rFonts w:hint="default" w:hAnsi="宋体"/>
          <w:color w:val="auto"/>
          <w:szCs w:val="21"/>
          <w:lang w:val="en-US" w:eastAsia="zh-CN"/>
        </w:rPr>
      </w:pPr>
      <w:r>
        <w:rPr>
          <w:rFonts w:hint="eastAsia" w:hAnsi="宋体"/>
          <w:color w:val="auto"/>
          <w:szCs w:val="21"/>
          <w:lang w:val="en-US" w:eastAsia="zh-CN"/>
        </w:rPr>
        <w:t>5.最高限价：</w:t>
      </w:r>
      <w:r>
        <w:rPr>
          <w:rFonts w:hint="eastAsia" w:hAnsi="宋体"/>
          <w:color w:val="auto"/>
          <w:szCs w:val="21"/>
          <w:lang w:val="en-US" w:eastAsia="zh-CN"/>
        </w:rPr>
        <w:t>2400000</w:t>
      </w:r>
      <w:r>
        <w:rPr>
          <w:rFonts w:hint="eastAsia" w:hAnsi="宋体"/>
          <w:color w:val="auto"/>
          <w:szCs w:val="21"/>
        </w:rPr>
        <w:t>.00</w:t>
      </w:r>
      <w:r>
        <w:rPr>
          <w:rFonts w:hint="eastAsia" w:hAnsi="宋体"/>
          <w:color w:val="auto"/>
          <w:szCs w:val="21"/>
          <w:lang w:val="en-US" w:eastAsia="zh-CN"/>
        </w:rPr>
        <w:t xml:space="preserve">元。 </w:t>
      </w:r>
      <w:r>
        <w:rPr>
          <w:rFonts w:hint="eastAsia" w:hAnsi="宋体"/>
          <w:color w:val="auto"/>
          <w:szCs w:val="21"/>
          <w:lang w:val="en-US" w:eastAsia="zh-CN"/>
        </w:rPr>
        <w:t xml:space="preserve"> </w:t>
      </w:r>
      <w:r>
        <w:rPr>
          <w:rFonts w:hint="eastAsia" w:hAnsi="宋体"/>
          <w:color w:val="auto"/>
          <w:szCs w:val="21"/>
          <w:lang w:eastAsia="zh-CN"/>
        </w:rPr>
        <w:t>第</w:t>
      </w:r>
      <w:r>
        <w:rPr>
          <w:rFonts w:hint="eastAsia" w:hAnsi="宋体"/>
          <w:color w:val="auto"/>
          <w:szCs w:val="21"/>
          <w:lang w:val="en-US" w:eastAsia="zh-CN"/>
        </w:rPr>
        <w:t xml:space="preserve">1标段：2050000.00元  </w:t>
      </w:r>
      <w:r>
        <w:rPr>
          <w:rFonts w:hint="eastAsia" w:hAnsi="宋体"/>
          <w:color w:val="auto"/>
          <w:szCs w:val="21"/>
          <w:lang w:eastAsia="zh-CN"/>
        </w:rPr>
        <w:t>第</w:t>
      </w:r>
      <w:r>
        <w:rPr>
          <w:rFonts w:hint="eastAsia" w:hAnsi="宋体"/>
          <w:color w:val="auto"/>
          <w:szCs w:val="21"/>
          <w:lang w:val="en-US" w:eastAsia="zh-CN"/>
        </w:rPr>
        <w:t>2标段：350000.00元</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rPr>
        <w:t>6.合同履行期限：</w:t>
      </w:r>
      <w:r>
        <w:rPr>
          <w:rFonts w:hint="eastAsia" w:hAnsi="宋体"/>
          <w:color w:val="auto"/>
          <w:szCs w:val="21"/>
          <w:lang w:eastAsia="zh-CN"/>
        </w:rPr>
        <w:t>第</w:t>
      </w:r>
      <w:r>
        <w:rPr>
          <w:rFonts w:hint="eastAsia" w:hAnsi="宋体"/>
          <w:color w:val="auto"/>
          <w:szCs w:val="21"/>
          <w:lang w:val="en-US" w:eastAsia="zh-CN"/>
        </w:rPr>
        <w:t>1标段：</w:t>
      </w:r>
      <w:r>
        <w:rPr>
          <w:rFonts w:hint="eastAsia" w:hAnsi="宋体"/>
          <w:color w:val="auto"/>
          <w:szCs w:val="21"/>
          <w:lang w:eastAsia="zh-CN"/>
        </w:rPr>
        <w:t>自合同签订之日起</w:t>
      </w:r>
      <w:r>
        <w:rPr>
          <w:rFonts w:hint="eastAsia" w:hAnsi="宋体"/>
          <w:color w:val="auto"/>
          <w:szCs w:val="21"/>
          <w:lang w:val="en-US" w:eastAsia="zh-CN"/>
        </w:rPr>
        <w:t>3年</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第2标段：</w:t>
      </w:r>
      <w:r>
        <w:rPr>
          <w:rFonts w:hint="eastAsia" w:hAnsi="宋体"/>
          <w:color w:val="auto"/>
          <w:szCs w:val="21"/>
          <w:lang w:eastAsia="zh-CN"/>
        </w:rPr>
        <w:t>自合同签订之日</w:t>
      </w:r>
      <w:r>
        <w:rPr>
          <w:rFonts w:hint="eastAsia" w:hAnsi="宋体"/>
          <w:color w:val="auto"/>
          <w:szCs w:val="21"/>
          <w:lang w:eastAsia="zh-CN"/>
        </w:rPr>
        <w:t>起</w:t>
      </w:r>
      <w:r>
        <w:rPr>
          <w:rFonts w:hint="eastAsia" w:hAnsi="宋体"/>
          <w:color w:val="auto"/>
          <w:szCs w:val="21"/>
          <w:lang w:val="en-US" w:eastAsia="zh-CN"/>
        </w:rPr>
        <w:t>7个工作日。</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7</w:t>
      </w:r>
      <w:r>
        <w:rPr>
          <w:rFonts w:hint="eastAsia" w:hAnsi="宋体"/>
          <w:color w:val="auto"/>
          <w:szCs w:val="21"/>
        </w:rPr>
        <w:t>本项目是否接受联合体投标：否</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8</w:t>
      </w:r>
      <w:r>
        <w:rPr>
          <w:rFonts w:hint="eastAsia" w:hAnsi="宋体"/>
          <w:color w:val="auto"/>
          <w:szCs w:val="21"/>
        </w:rPr>
        <w:t>.是否接受进口产品：否</w:t>
      </w:r>
    </w:p>
    <w:p>
      <w:pPr>
        <w:tabs>
          <w:tab w:val="left" w:pos="7095"/>
        </w:tabs>
        <w:spacing w:line="384" w:lineRule="auto"/>
        <w:ind w:firstLine="420" w:firstLineChars="200"/>
        <w:contextualSpacing/>
        <w:rPr>
          <w:rFonts w:hint="default" w:hAnsi="宋体"/>
          <w:color w:val="auto"/>
          <w:szCs w:val="21"/>
          <w:lang w:val="en-US" w:eastAsia="zh-CN"/>
        </w:rPr>
      </w:pPr>
      <w:r>
        <w:rPr>
          <w:rFonts w:hint="eastAsia" w:hAnsi="宋体"/>
          <w:color w:val="auto"/>
          <w:szCs w:val="21"/>
          <w:lang w:val="en-US" w:eastAsia="zh-CN"/>
        </w:rPr>
        <w:t>9</w:t>
      </w:r>
      <w:r>
        <w:rPr>
          <w:rFonts w:hint="eastAsia" w:hAnsi="宋体"/>
          <w:color w:val="auto"/>
          <w:szCs w:val="21"/>
        </w:rPr>
        <w:t>.是否专门面向中小企业：</w:t>
      </w:r>
      <w:r>
        <w:rPr>
          <w:rFonts w:hint="eastAsia" w:hAnsi="宋体"/>
          <w:color w:val="auto"/>
          <w:szCs w:val="21"/>
          <w:lang w:val="en-US" w:eastAsia="zh-CN"/>
        </w:rPr>
        <w:t>否</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10.标包划</w:t>
      </w:r>
      <w:r>
        <w:rPr>
          <w:rFonts w:hint="eastAsia" w:hAnsi="宋体"/>
          <w:color w:val="auto"/>
          <w:szCs w:val="21"/>
          <w:lang w:val="en-US" w:eastAsia="zh-CN"/>
        </w:rPr>
        <w:t>分：2个标段</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3.本项目的特定资格要求</w:t>
      </w:r>
    </w:p>
    <w:p>
      <w:pPr>
        <w:tabs>
          <w:tab w:val="left" w:pos="7095"/>
        </w:tabs>
        <w:spacing w:line="384" w:lineRule="auto"/>
        <w:ind w:firstLine="420" w:firstLineChars="200"/>
        <w:contextualSpacing/>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第1标段：无。</w:t>
      </w:r>
    </w:p>
    <w:p>
      <w:pPr>
        <w:tabs>
          <w:tab w:val="left" w:pos="7095"/>
        </w:tabs>
        <w:spacing w:line="384" w:lineRule="auto"/>
        <w:ind w:firstLine="420" w:firstLineChars="200"/>
        <w:contextualSpacing/>
        <w:rPr>
          <w:rFonts w:hint="eastAsia" w:ascii="宋体" w:hAnsi="宋体" w:eastAsia="宋体"/>
          <w:color w:val="auto"/>
          <w:szCs w:val="21"/>
        </w:rPr>
      </w:pPr>
      <w:r>
        <w:rPr>
          <w:rFonts w:hint="eastAsia" w:asciiTheme="majorEastAsia" w:hAnsiTheme="majorEastAsia" w:eastAsiaTheme="majorEastAsia" w:cstheme="majorEastAsia"/>
          <w:color w:val="auto"/>
          <w:szCs w:val="21"/>
          <w:lang w:val="en-US" w:eastAsia="zh-CN"/>
        </w:rPr>
        <w:t>第2标段</w:t>
      </w:r>
      <w:r>
        <w:rPr>
          <w:rFonts w:hint="eastAsia" w:asciiTheme="majorEastAsia" w:hAnsiTheme="majorEastAsia" w:eastAsiaTheme="majorEastAsia" w:cstheme="majorEastAsia"/>
          <w:color w:val="auto"/>
          <w:szCs w:val="21"/>
          <w:lang w:val="en-US" w:eastAsia="zh-CN"/>
        </w:rPr>
        <w:t>投标人为产品制造商时，提供有效的《医疗器械生产许可证》；投标人为代理商或经销商时，提供有效的《医疗器械经营备案凭证》或《医疗器械经营许可证》</w:t>
      </w:r>
      <w:r>
        <w:rPr>
          <w:rFonts w:hint="eastAsia" w:asciiTheme="majorEastAsia" w:hAnsiTheme="majorEastAsia" w:eastAsiaTheme="majorEastAsia" w:cstheme="majorEastAsia"/>
          <w:color w:val="auto"/>
          <w:szCs w:val="21"/>
        </w:rPr>
        <w:t>。</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三、招标文件的获取</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四、投标文件的提交方式及注意事项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五、投标截止时间、开标时间及地点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投标截止及开标时间：</w:t>
      </w:r>
      <w:r>
        <w:rPr>
          <w:rFonts w:hint="eastAsia" w:hAnsi="宋体"/>
          <w:color w:val="auto"/>
          <w:szCs w:val="21"/>
        </w:rPr>
        <w:t>20</w:t>
      </w:r>
      <w:r>
        <w:rPr>
          <w:rFonts w:hint="eastAsia" w:hAnsi="宋体"/>
          <w:color w:val="auto"/>
          <w:szCs w:val="21"/>
        </w:rPr>
        <w:t>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0</w:t>
      </w:r>
      <w:r>
        <w:rPr>
          <w:rFonts w:hint="eastAsia" w:hAnsi="宋体"/>
          <w:color w:val="auto"/>
          <w:szCs w:val="21"/>
          <w:lang w:val="en-US" w:eastAsia="zh-CN"/>
        </w:rPr>
        <w:t>8时</w:t>
      </w:r>
      <w:r>
        <w:rPr>
          <w:rFonts w:hint="eastAsia" w:ascii="宋体" w:hAnsi="宋体" w:eastAsia="宋体" w:cs="宋体"/>
          <w:color w:val="auto"/>
          <w:szCs w:val="21"/>
          <w:shd w:val="clear" w:color="auto" w:fill="FFFFFF"/>
        </w:rPr>
        <w:t xml:space="preserve"> 30 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开标地点：禹州市公共资源交易中心第</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开标</w:t>
      </w:r>
      <w:r>
        <w:rPr>
          <w:rFonts w:hint="eastAsia" w:ascii="宋体" w:hAnsi="宋体" w:eastAsia="宋体" w:cs="宋体"/>
          <w:color w:val="auto"/>
          <w:szCs w:val="21"/>
          <w:shd w:val="clear" w:color="auto" w:fill="FFFFFF"/>
        </w:rPr>
        <w:t>室（禹州市行政服务中心楼9楼）（本项目采用远程不见面开标，供应商无须到达现场）。</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六、开标注意事项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七、本次招标公告同时在</w:t>
      </w:r>
      <w:r>
        <w:rPr>
          <w:rFonts w:hint="eastAsia" w:hAnsi="宋体"/>
          <w:color w:val="auto"/>
          <w:szCs w:val="21"/>
        </w:rPr>
        <w:t>《河南省政府采购网》《许昌市政府采购网》</w:t>
      </w:r>
      <w:r>
        <w:rPr>
          <w:rFonts w:hint="eastAsia" w:ascii="宋体" w:hAnsi="宋体" w:eastAsia="宋体" w:cs="宋体"/>
          <w:color w:val="auto"/>
          <w:szCs w:val="21"/>
          <w:shd w:val="clear" w:color="auto" w:fill="FFFFFF"/>
        </w:rPr>
        <w:t>《全国公共资源交易平台（河南省·许昌市）》发布。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采购单位：禹州市</w:t>
      </w:r>
      <w:r>
        <w:rPr>
          <w:rFonts w:hint="eastAsia" w:asciiTheme="majorEastAsia" w:hAnsiTheme="majorEastAsia" w:eastAsiaTheme="majorEastAsia" w:cstheme="majorEastAsia"/>
          <w:color w:val="auto"/>
          <w:szCs w:val="21"/>
          <w:lang w:eastAsia="zh-CN"/>
        </w:rPr>
        <w:t>中心医院</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地址：禹州市</w:t>
      </w:r>
      <w:r>
        <w:rPr>
          <w:rFonts w:hint="eastAsia" w:asciiTheme="majorEastAsia" w:hAnsiTheme="majorEastAsia" w:eastAsiaTheme="majorEastAsia" w:cstheme="majorEastAsia"/>
          <w:color w:val="auto"/>
          <w:szCs w:val="21"/>
          <w:lang w:eastAsia="zh-CN"/>
        </w:rPr>
        <w:t>禹王大道</w:t>
      </w:r>
      <w:r>
        <w:rPr>
          <w:rFonts w:hint="eastAsia" w:asciiTheme="majorEastAsia" w:hAnsiTheme="majorEastAsia" w:eastAsiaTheme="majorEastAsia" w:cstheme="majorEastAsia"/>
          <w:color w:val="auto"/>
          <w:szCs w:val="21"/>
          <w:lang w:val="en-US" w:eastAsia="zh-CN"/>
        </w:rPr>
        <w:t>113号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w:t>
      </w:r>
      <w:r>
        <w:rPr>
          <w:rFonts w:hint="eastAsia" w:asciiTheme="majorEastAsia" w:hAnsiTheme="majorEastAsia" w:eastAsiaTheme="majorEastAsia" w:cstheme="majorEastAsia"/>
          <w:color w:val="auto"/>
          <w:szCs w:val="21"/>
        </w:rPr>
        <w:t>系人</w:t>
      </w:r>
      <w:r>
        <w:rPr>
          <w:rFonts w:hint="eastAsia" w:asciiTheme="majorEastAsia" w:hAnsiTheme="majorEastAsia" w:eastAsiaTheme="majorEastAsia" w:cstheme="majorEastAsia"/>
          <w:color w:val="auto"/>
          <w:szCs w:val="21"/>
          <w:lang w:eastAsia="zh-CN"/>
        </w:rPr>
        <w:t>：刘女士</w:t>
      </w:r>
    </w:p>
    <w:p>
      <w:pPr>
        <w:spacing w:line="384" w:lineRule="auto"/>
        <w:ind w:firstLine="420" w:firstLineChars="200"/>
        <w:jc w:val="left"/>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0374-8226007</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地址：禹州市颍北大道6号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联系人：连丹丹</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tabs>
          <w:tab w:val="left" w:pos="7095"/>
        </w:tabs>
        <w:spacing w:line="360" w:lineRule="auto"/>
        <w:ind w:firstLine="420" w:firstLineChars="200"/>
        <w:contextualSpacing/>
        <w:jc w:val="left"/>
        <w:rPr>
          <w:color w:val="auto"/>
          <w:szCs w:val="21"/>
        </w:rPr>
      </w:pPr>
      <w:r>
        <w:rPr>
          <w:rFonts w:hint="eastAsia" w:ascii="宋体" w:hAnsi="宋体" w:eastAsia="宋体" w:cs="宋体"/>
          <w:color w:val="auto"/>
          <w:szCs w:val="21"/>
          <w:shd w:val="clear" w:color="auto" w:fill="FFFFFF"/>
        </w:rPr>
        <w:t>3.监督单位：</w:t>
      </w:r>
      <w:r>
        <w:rPr>
          <w:rFonts w:hint="eastAsia"/>
          <w:color w:val="auto"/>
          <w:szCs w:val="21"/>
        </w:rPr>
        <w:t>禹州市政府采购监督管理办公室</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联系电话：0374-8112523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hint="eastAsia"/>
          <w:color w:val="auto"/>
        </w:rPr>
      </w:pPr>
      <w:r>
        <w:rPr>
          <w:rFonts w:hint="eastAsia" w:ascii="宋体" w:hAnsi="宋体" w:eastAsia="宋体" w:cs="宋体"/>
          <w:color w:val="auto"/>
          <w:szCs w:val="21"/>
          <w:shd w:val="clear" w:color="auto" w:fill="FFFFFF"/>
        </w:rPr>
        <w:t>人或其授权的代表签字。</w:t>
      </w:r>
    </w:p>
    <w:p>
      <w:pPr>
        <w:pStyle w:val="38"/>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28"/>
        <w:numPr>
          <w:ilvl w:val="0"/>
          <w:numId w:val="5"/>
        </w:numPr>
        <w:ind w:firstLine="0" w:firstLineChars="0"/>
        <w:rPr>
          <w:rFonts w:hint="eastAsia" w:hAnsi="宋体" w:cs="宋体"/>
          <w:b/>
          <w:color w:val="auto"/>
          <w:kern w:val="2"/>
          <w:sz w:val="21"/>
          <w:szCs w:val="21"/>
        </w:rPr>
      </w:pPr>
      <w:r>
        <w:rPr>
          <w:rFonts w:hint="eastAsia" w:hAnsi="宋体" w:cs="宋体"/>
          <w:b/>
          <w:color w:val="auto"/>
          <w:kern w:val="2"/>
          <w:sz w:val="21"/>
          <w:szCs w:val="21"/>
        </w:rPr>
        <w:t>本项目需实现的功能或者目标</w:t>
      </w:r>
    </w:p>
    <w:p>
      <w:pPr>
        <w:spacing w:line="360" w:lineRule="auto"/>
        <w:ind w:firstLine="420" w:firstLineChars="200"/>
        <w:rPr>
          <w:rFonts w:hint="eastAsia" w:hAnsi="宋体"/>
          <w:color w:val="auto"/>
          <w:szCs w:val="21"/>
          <w:lang w:eastAsia="zh-CN"/>
        </w:rPr>
      </w:pPr>
      <w:r>
        <w:rPr>
          <w:rFonts w:hint="eastAsia" w:hAnsi="宋体"/>
          <w:color w:val="auto"/>
          <w:szCs w:val="21"/>
          <w:lang w:eastAsia="zh-CN"/>
        </w:rPr>
        <w:t>64排CT球管、血管造影机维修维保服务。</w:t>
      </w:r>
    </w:p>
    <w:p>
      <w:pPr>
        <w:numPr>
          <w:ilvl w:val="0"/>
          <w:numId w:val="5"/>
        </w:numPr>
        <w:spacing w:line="360" w:lineRule="auto"/>
        <w:ind w:left="0" w:leftChars="0" w:firstLine="0" w:firstLineChars="0"/>
        <w:rPr>
          <w:rFonts w:hint="eastAsia" w:ascii="宋体" w:hAnsi="宋体" w:eastAsia="宋体" w:cs="宋体"/>
          <w:b w:val="0"/>
          <w:bCs/>
          <w:color w:val="auto"/>
          <w:szCs w:val="21"/>
          <w:lang w:val="en-US" w:eastAsia="zh-CN"/>
        </w:rPr>
      </w:pPr>
      <w:r>
        <w:rPr>
          <w:rFonts w:hint="eastAsia" w:ascii="宋体" w:hAnsi="宋体" w:eastAsia="宋体" w:cs="宋体"/>
          <w:b/>
          <w:color w:val="auto"/>
          <w:kern w:val="2"/>
          <w:sz w:val="21"/>
          <w:szCs w:val="21"/>
          <w:lang w:val="en-US" w:eastAsia="zh-CN" w:bidi="ar-SA"/>
        </w:rPr>
        <w:t>项目需求</w:t>
      </w:r>
    </w:p>
    <w:p>
      <w:pPr>
        <w:pStyle w:val="11"/>
        <w:ind w:firstLine="420" w:firstLineChars="200"/>
        <w:rPr>
          <w:rFonts w:hint="eastAsia" w:ascii="宋体" w:hAnsi="宋体" w:eastAsia="宋体" w:cs="宋体"/>
          <w:b/>
          <w:color w:val="auto"/>
          <w:szCs w:val="21"/>
        </w:rPr>
      </w:pPr>
      <w:r>
        <w:rPr>
          <w:rFonts w:hint="eastAsia" w:ascii="宋体" w:hAnsi="宋体" w:eastAsia="宋体" w:cs="宋体"/>
          <w:b w:val="0"/>
          <w:bCs/>
          <w:color w:val="auto"/>
          <w:szCs w:val="21"/>
          <w:lang w:val="en-US" w:eastAsia="zh-CN"/>
        </w:rPr>
        <w:t>具体参数要求：详见附件。参数不允许负偏离，否则为无效投标。</w:t>
      </w:r>
    </w:p>
    <w:p>
      <w:pPr>
        <w:spacing w:line="360" w:lineRule="auto"/>
        <w:rPr>
          <w:rFonts w:ascii="宋体" w:hAnsi="宋体" w:eastAsia="宋体" w:cs="宋体"/>
          <w:b/>
          <w:color w:val="auto"/>
          <w:szCs w:val="21"/>
        </w:rPr>
      </w:pPr>
      <w:r>
        <w:rPr>
          <w:rFonts w:hint="eastAsia" w:ascii="宋体" w:hAnsi="宋体" w:eastAsia="宋体" w:cs="宋体"/>
          <w:b/>
          <w:color w:val="auto"/>
          <w:szCs w:val="21"/>
        </w:rPr>
        <w:t>三、其他相关要求：</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1、中标人提供的服务必须按照合同约定执行。对于未按照合同约定要求及执行的服务，应按医院要求完成整改。拒不整改或整改严重不合格的，医院有权解除本合同并由中标人赔偿医院全部损失。</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2、在本合同履行期间，因中标人操作不当或未按照相关制度、标准进行服务，导致医院或者第三方人、财、物受损的，由中标人负责处理并承担全部赔偿责任。</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3、在本合同履行期间，若中标人的法定代表人、企业资质、企业规模、企业股权等发生变化，应及时以书面形式通知医院。</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4、中标人承诺提供的全部服务不存在任何知识产权争议或其他纠纷，如因此造成中标人无法正常服务或第三方其他企业及个人等向医院方主张权利等纠纷，均与医院方无关，由中标人自行解决并承担全部。</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中标人同意对合同执行期间对招标人提供的资料信息予以保密，并在合同终止后长期保密，不得擅自使用、公开或泄露给第三方。若因一方擅自使用、公开或泄露另一方的保密信息而造成的损失，由泄露方承担全部赔偿责任。</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6、中标人在接到院方服务通知后，需按合同约定时间到达指定地点提供服务。否则，医院有权要求中标人按500元/次支付违约金，同时医院有权委托第三方提供维修服务，由此产生的费用由中标人承担。</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乙方在选任涉及履行本合同项目下工作的员工（包括但不限于正式员工、临时工、实习生、兼职人员）时，应当谨慎，选取有资格、有能力的员工，甲方发现乙方员工无资格、无能力完成本合同任务时，可要求乙方限期进行更换，若因乙方或乙方员工的原因给甲方及其工作人员或第三人造成任何损失（损失/赔偿范围包括：直接损失和间接损失），应由乙方承担全部责任及经济赔偿。</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一方在执行合同时因触犯中华人民共和国法律法规，并经国家相关部门确认，另一方有权解除合同。触犯方应赔偿另一方相关经济损失，承担法律责任（包括但不限于因主张权利而产生的交通费、住宿费、律师费、诉讼费等）。</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中标人应严格履行本合同中约定的义务，任一方未履行或未完全履行本合同约定的义务，均属于违约。造成守约方损失的，应承担全部赔偿责任（包括但不限于因主张权利而产生的交通费、住宿费、律师费、诉讼费等）。并且守约方有权单方面解除本合同，不承担任何违约责任。</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如果双方中的任何一方由于严重火灾、水灾、台风和地震以及其他经双方同意属于不可抗力的事故，致使合同无法履行时，受事故影响的一方应在事故发生后3天内提出书面申请并持有关部门出具的证明文件交由另一方后，可以终止执行本合同，任何一方不承担违约责任。</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11、本项目合同履行中发生的争议，双方应本着友好协商的原则予以解决，若协商不成，依法向拉萨仲裁委员会申请仲裁，且因解决争议产生的律师费、申请费、鉴定费等相关费用均由违约方承担。</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中标人应按照《中华人民共和国发票管理办法》的规定开具真实、合法、有效的发票，发票内容应开具齐全、正确，商品品名、规格型号与合同保持一致。验收合格后应及时开票，并注明开票人的全名。公司名称和银行账户信息发生变更，必须以书面方式及时通知医院方。</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13、知识产权：采购人在使用货物或货物的任何部分时不受任何关于侵犯所有权和工业产权、著作权（版权）等知识产权的指控。如果任何第三方提出侵权指控，中标人承担一切与之有关的责任。</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14、验收：应符合国家相关安全质量标准、行业技术规范标准、环保节能标准和招标文件要约进行验收。</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15、服务工程师严格遵守医院及维保单位的各项规章制度及流程；具有较好的沟通能力，保障临床该设备正常在用。</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16、技术培训：拟派经验丰富的专业技术人员针对该设备提供技术培训。</w:t>
      </w:r>
    </w:p>
    <w:p>
      <w:pPr>
        <w:pStyle w:val="11"/>
        <w:spacing w:line="360" w:lineRule="auto"/>
        <w:rPr>
          <w:rFonts w:ascii="宋体" w:hAnsi="宋体" w:eastAsia="宋体" w:cs="宋体"/>
          <w:b/>
          <w:color w:val="auto"/>
          <w:szCs w:val="21"/>
        </w:rPr>
      </w:pPr>
      <w:r>
        <w:rPr>
          <w:rFonts w:hint="eastAsia" w:ascii="宋体" w:hAnsi="宋体" w:eastAsia="宋体" w:cs="宋体"/>
          <w:b/>
          <w:color w:val="auto"/>
          <w:szCs w:val="21"/>
        </w:rPr>
        <w:t>四、采购标的执行标准、其他技术服务等要求</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1、本次招标某些技术标准与国家所要求的标准不统一或有不兼容的地方，均以国家强制性标准或最新出台的标准为准。</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2、如果未在招标文件中要求提供其相关行业标准或国家强制性标准的，则投标人有责任给予补充说明。</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3、中标方未达到作业计划标准及工作违规或引起纠纷、被上级部门处罚等不良后果，造成重大经济损失或服务严重失误，招标方有权终止本合同，并追究中标方的经济责任；</w:t>
      </w:r>
    </w:p>
    <w:p>
      <w:pPr>
        <w:pStyle w:val="11"/>
        <w:rPr>
          <w:rFonts w:ascii="宋体" w:hAnsi="宋体" w:eastAsia="宋体" w:cs="宋体"/>
          <w:b/>
          <w:color w:val="auto"/>
          <w:szCs w:val="21"/>
        </w:rPr>
      </w:pPr>
      <w:r>
        <w:rPr>
          <w:rFonts w:hint="eastAsia" w:ascii="宋体" w:hAnsi="宋体" w:eastAsia="宋体" w:cs="宋体"/>
          <w:b/>
          <w:color w:val="auto"/>
          <w:szCs w:val="21"/>
        </w:rPr>
        <w:t>五、验收标准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1"/>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kern w:val="2"/>
          <w:sz w:val="21"/>
          <w:szCs w:val="21"/>
          <w:lang w:val="en-US" w:eastAsia="zh-CN" w:bidi="ar-SA"/>
        </w:rPr>
        <w:t>应符合国家相关安全质量标准、行业技术规范标准、环保节能标准和招标文件要约进行验收</w:t>
      </w:r>
      <w:r>
        <w:rPr>
          <w:rFonts w:hint="eastAsia" w:ascii="宋体" w:hAnsi="宋体" w:eastAsia="宋体" w:cs="宋体"/>
          <w:color w:val="auto"/>
          <w:szCs w:val="21"/>
        </w:rPr>
        <w:t>。</w:t>
      </w:r>
    </w:p>
    <w:p>
      <w:pPr>
        <w:pStyle w:val="11"/>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.本项目验收如需要第三方验收，中标方将承担所有产生的费用。</w:t>
      </w:r>
    </w:p>
    <w:p>
      <w:pPr>
        <w:autoSpaceDE w:val="0"/>
        <w:autoSpaceDN w:val="0"/>
        <w:adjustRightInd w:val="0"/>
        <w:rPr>
          <w:rFonts w:hint="eastAsia" w:ascii="宋体" w:hAnsi="宋体" w:eastAsia="宋体"/>
          <w:b/>
          <w:color w:val="auto"/>
          <w:szCs w:val="21"/>
        </w:rPr>
      </w:pPr>
    </w:p>
    <w:p>
      <w:pPr>
        <w:pStyle w:val="13"/>
        <w:rPr>
          <w:rFonts w:hint="eastAsia" w:ascii="宋体" w:hAnsi="宋体" w:eastAsia="宋体"/>
          <w:b/>
          <w:color w:val="auto"/>
          <w:szCs w:val="21"/>
        </w:rPr>
      </w:pPr>
    </w:p>
    <w:p>
      <w:pPr>
        <w:rPr>
          <w:rFonts w:hint="eastAsia" w:ascii="宋体" w:hAnsi="宋体" w:eastAsia="宋体"/>
          <w:b/>
          <w:color w:val="auto"/>
          <w:szCs w:val="21"/>
        </w:rPr>
      </w:pPr>
    </w:p>
    <w:p>
      <w:pPr>
        <w:pStyle w:val="2"/>
        <w:numPr>
          <w:ilvl w:val="0"/>
          <w:numId w:val="0"/>
        </w:numPr>
        <w:ind w:left="288" w:leftChars="0"/>
        <w:rPr>
          <w:rFonts w:hint="eastAsia"/>
          <w:color w:val="auto"/>
        </w:rPr>
      </w:pPr>
    </w:p>
    <w:p>
      <w:pPr>
        <w:rPr>
          <w:rFonts w:hint="eastAsia" w:ascii="宋体" w:hAnsi="宋体" w:eastAsia="宋体"/>
          <w:b/>
          <w:color w:val="auto"/>
          <w:szCs w:val="21"/>
        </w:rPr>
      </w:pPr>
    </w:p>
    <w:p>
      <w:pPr>
        <w:pStyle w:val="2"/>
        <w:numPr>
          <w:ilvl w:val="0"/>
          <w:numId w:val="0"/>
        </w:numPr>
        <w:ind w:left="288" w:leftChars="0"/>
        <w:rPr>
          <w:rFonts w:hint="eastAsia"/>
          <w:color w:val="auto"/>
        </w:rPr>
      </w:pPr>
    </w:p>
    <w:p>
      <w:pPr>
        <w:rPr>
          <w:rFonts w:hint="eastAsia"/>
          <w:color w:val="auto"/>
        </w:rPr>
      </w:pPr>
    </w:p>
    <w:p>
      <w:pPr>
        <w:pStyle w:val="29"/>
        <w:ind w:left="0" w:leftChars="0" w:firstLine="0" w:firstLineChars="0"/>
        <w:rPr>
          <w:rFonts w:hint="eastAsia"/>
          <w:color w:val="auto"/>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pStyle w:val="2"/>
        <w:numPr>
          <w:ilvl w:val="0"/>
          <w:numId w:val="0"/>
        </w:numPr>
        <w:ind w:left="288" w:leftChars="0"/>
        <w:rPr>
          <w:rFonts w:hint="eastAsia"/>
          <w:color w:val="auto"/>
        </w:rPr>
      </w:pPr>
    </w:p>
    <w:p>
      <w:pPr>
        <w:rPr>
          <w:rFonts w:hint="eastAsia" w:cs="宋体" w:asciiTheme="majorEastAsia" w:hAnsiTheme="majorEastAsia" w:eastAsiaTheme="majorEastAsia"/>
          <w:b/>
          <w:color w:val="auto"/>
          <w:kern w:val="0"/>
          <w:sz w:val="32"/>
          <w:szCs w:val="32"/>
        </w:rPr>
      </w:pPr>
    </w:p>
    <w:p>
      <w:pPr>
        <w:pStyle w:val="2"/>
        <w:numPr>
          <w:ilvl w:val="0"/>
          <w:numId w:val="0"/>
        </w:numPr>
        <w:ind w:left="288" w:leftChars="0"/>
        <w:rPr>
          <w:rFonts w:hint="eastAsia"/>
          <w:color w:val="auto"/>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tabs>
                <w:tab w:val="left" w:pos="7095"/>
              </w:tabs>
              <w:spacing w:line="360" w:lineRule="auto"/>
              <w:contextualSpacing/>
              <w:jc w:val="left"/>
              <w:rPr>
                <w:rFonts w:eastAsia="宋体"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 xml:space="preserve">禹州市中心医院64排CT球管、血管造影机维修维保服务及高清电子肠镜采购项目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eastAsia="zh-CN"/>
              </w:rPr>
              <w:t>名称</w:t>
            </w:r>
            <w:r>
              <w:rPr>
                <w:rFonts w:hint="eastAsia" w:asciiTheme="majorEastAsia" w:hAnsiTheme="majorEastAsia" w:eastAsiaTheme="majorEastAsia" w:cstheme="majorEastAsia"/>
                <w:color w:val="auto"/>
                <w:szCs w:val="21"/>
              </w:rPr>
              <w:t>：禹州市</w:t>
            </w:r>
            <w:r>
              <w:rPr>
                <w:rFonts w:hint="eastAsia" w:asciiTheme="majorEastAsia" w:hAnsiTheme="majorEastAsia" w:eastAsiaTheme="majorEastAsia" w:cstheme="majorEastAsia"/>
                <w:color w:val="auto"/>
                <w:szCs w:val="21"/>
                <w:lang w:eastAsia="zh-CN"/>
              </w:rPr>
              <w:t>中心医院</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地址：禹州市</w:t>
            </w:r>
            <w:r>
              <w:rPr>
                <w:rFonts w:hint="eastAsia" w:asciiTheme="majorEastAsia" w:hAnsiTheme="majorEastAsia" w:eastAsiaTheme="majorEastAsia" w:cstheme="majorEastAsia"/>
                <w:color w:val="auto"/>
                <w:szCs w:val="21"/>
                <w:lang w:eastAsia="zh-CN"/>
              </w:rPr>
              <w:t>禹王大道</w:t>
            </w:r>
            <w:r>
              <w:rPr>
                <w:rFonts w:hint="eastAsia" w:asciiTheme="majorEastAsia" w:hAnsiTheme="majorEastAsia" w:eastAsiaTheme="majorEastAsia" w:cstheme="majorEastAsia"/>
                <w:color w:val="auto"/>
                <w:szCs w:val="21"/>
                <w:lang w:val="en-US" w:eastAsia="zh-CN"/>
              </w:rPr>
              <w:t>113号</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w:t>
            </w:r>
            <w:r>
              <w:rPr>
                <w:rFonts w:hint="eastAsia" w:asciiTheme="majorEastAsia" w:hAnsiTheme="majorEastAsia" w:eastAsiaTheme="majorEastAsia" w:cstheme="majorEastAsia"/>
                <w:color w:val="auto"/>
                <w:szCs w:val="21"/>
              </w:rPr>
              <w:t>系人</w:t>
            </w:r>
            <w:r>
              <w:rPr>
                <w:rFonts w:hint="eastAsia" w:asciiTheme="majorEastAsia" w:hAnsiTheme="majorEastAsia" w:eastAsiaTheme="majorEastAsia" w:cstheme="majorEastAsia"/>
                <w:color w:val="auto"/>
                <w:szCs w:val="21"/>
                <w:lang w:eastAsia="zh-CN"/>
              </w:rPr>
              <w:t>：刘女士</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0374-8226007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ind w:right="-11"/>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二、符合《政府采购法》第二十二条规定</w:t>
            </w:r>
          </w:p>
          <w:p>
            <w:pPr>
              <w:autoSpaceDE w:val="0"/>
              <w:autoSpaceDN w:val="0"/>
              <w:adjustRightInd w:val="0"/>
              <w:spacing w:line="360" w:lineRule="auto"/>
              <w:ind w:right="-11"/>
              <w:rPr>
                <w:color w:val="auto"/>
              </w:rPr>
            </w:pPr>
            <w:r>
              <w:rPr>
                <w:rFonts w:hint="eastAsia" w:cs="宋体" w:asciiTheme="minorEastAsia" w:hAnsiTheme="minorEastAsia"/>
                <w:bCs/>
                <w:color w:val="auto"/>
                <w:szCs w:val="21"/>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ascii="宋体" w:hAnsi="宋体" w:eastAsia="宋体" w:cs="宋体"/>
                <w:b/>
                <w:bCs/>
                <w:color w:val="auto"/>
                <w:szCs w:val="21"/>
              </w:rPr>
            </w:pPr>
            <w:r>
              <w:rPr>
                <w:rFonts w:hint="eastAsia" w:cs="宋体" w:asciiTheme="minorEastAsia" w:hAnsiTheme="minorEastAsia"/>
                <w:b/>
                <w:bCs/>
                <w:color w:val="auto"/>
                <w:szCs w:val="21"/>
              </w:rPr>
              <w:t>注：</w:t>
            </w: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shd w:val="clear" w:color="auto" w:fill="FFFFFF"/>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最高限价</w:t>
            </w:r>
          </w:p>
        </w:tc>
        <w:tc>
          <w:tcPr>
            <w:tcW w:w="6813" w:type="dxa"/>
            <w:vAlign w:val="center"/>
          </w:tcPr>
          <w:p>
            <w:pPr>
              <w:tabs>
                <w:tab w:val="left" w:pos="7095"/>
              </w:tabs>
              <w:spacing w:line="384" w:lineRule="auto"/>
              <w:contextualSpacing/>
              <w:rPr>
                <w:rFonts w:cs="宋体" w:asciiTheme="minorEastAsia" w:hAnsiTheme="minorEastAsia"/>
                <w:bCs/>
                <w:color w:val="auto"/>
                <w:szCs w:val="21"/>
                <w:lang w:val="zh-CN"/>
              </w:rPr>
            </w:pPr>
            <w:r>
              <w:rPr>
                <w:rFonts w:hint="eastAsia" w:hAnsi="宋体"/>
                <w:color w:val="auto"/>
                <w:szCs w:val="21"/>
                <w:lang w:val="en-US" w:eastAsia="zh-CN"/>
              </w:rPr>
              <w:t>第1标段2050000</w:t>
            </w:r>
            <w:r>
              <w:rPr>
                <w:rFonts w:hint="eastAsia" w:hAnsi="宋体"/>
                <w:color w:val="auto"/>
                <w:szCs w:val="21"/>
              </w:rPr>
              <w:t>.00</w:t>
            </w:r>
            <w:r>
              <w:rPr>
                <w:rFonts w:hint="eastAsia" w:ascii="宋体" w:hAnsi="宋体" w:eastAsia="宋体" w:cs="宋体"/>
                <w:color w:val="auto"/>
                <w:szCs w:val="21"/>
              </w:rPr>
              <w:t>元</w:t>
            </w:r>
            <w:r>
              <w:rPr>
                <w:rFonts w:hint="eastAsia" w:hAnsi="宋体"/>
                <w:color w:val="auto"/>
                <w:szCs w:val="21"/>
                <w:lang w:val="en-US" w:eastAsia="zh-CN"/>
              </w:rPr>
              <w:t>，</w:t>
            </w:r>
            <w:r>
              <w:rPr>
                <w:rFonts w:hint="eastAsia" w:hAnsi="宋体"/>
                <w:color w:val="auto"/>
                <w:szCs w:val="21"/>
                <w:lang w:val="en-US" w:eastAsia="zh-CN"/>
              </w:rPr>
              <w:t>超过最高限价投标无效</w:t>
            </w:r>
            <w:r>
              <w:rPr>
                <w:rFonts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hAnsi="宋体"/>
                <w:color w:val="auto"/>
                <w:szCs w:val="21"/>
              </w:rPr>
              <w:t>202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 xml:space="preserve">08 </w:t>
            </w:r>
            <w:r>
              <w:rPr>
                <w:rFonts w:hint="eastAsia" w:cs="仿宋_GB2312" w:asciiTheme="minorEastAsia" w:hAnsiTheme="minorEastAsia"/>
                <w:color w:val="auto"/>
                <w:szCs w:val="21"/>
                <w:lang w:val="zh-CN"/>
              </w:rPr>
              <w:t>时</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30</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w:t>
            </w:r>
            <w:r>
              <w:rPr>
                <w:rFonts w:hint="eastAsia" w:cs="仿宋_GB2312" w:asciiTheme="minorEastAsia" w:hAnsiTheme="minorEastAsia"/>
                <w:color w:val="auto"/>
                <w:szCs w:val="21"/>
              </w:rPr>
              <w:t>标</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w:t>
            </w:r>
            <w:r>
              <w:rPr>
                <w:rFonts w:hint="eastAsia" w:hAnsi="宋体"/>
                <w:color w:val="auto"/>
                <w:szCs w:val="21"/>
              </w:rPr>
              <w:t>《河南省政府采购网》《许昌市政府采购网》</w:t>
            </w:r>
            <w:r>
              <w:rPr>
                <w:rFonts w:hint="eastAsia" w:cs="宋体" w:asciiTheme="minorEastAsia" w:hAnsiTheme="minorEastAsia"/>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position w:val="2"/>
                <w:sz w:val="13"/>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9"/>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numPr>
                <w:ilvl w:val="0"/>
                <w:numId w:val="0"/>
              </w:numPr>
              <w:autoSpaceDE w:val="0"/>
              <w:autoSpaceDN w:val="0"/>
              <w:adjustRightInd w:val="0"/>
              <w:spacing w:line="360" w:lineRule="auto"/>
              <w:contextualSpacing/>
              <w:rPr>
                <w:rFonts w:hint="eastAsia" w:ascii="ˎ̥" w:hAnsi="ˎ̥"/>
                <w:color w:val="auto"/>
              </w:rPr>
            </w:pPr>
            <w:r>
              <w:rPr>
                <w:rFonts w:hint="eastAsia" w:ascii="ˎ̥" w:hAnsi="ˎ̥"/>
                <w:color w:val="auto"/>
                <w:lang w:val="en-US" w:eastAsia="zh-CN"/>
              </w:rPr>
              <w:t>3、</w:t>
            </w:r>
            <w:r>
              <w:rPr>
                <w:rFonts w:hint="eastAsia" w:ascii="ˎ̥" w:hAnsi="ˎ̥"/>
                <w:color w:val="auto"/>
              </w:rPr>
              <w:t>本次</w:t>
            </w:r>
            <w:r>
              <w:rPr>
                <w:rFonts w:ascii="ˎ̥" w:hAnsi="ˎ̥"/>
                <w:color w:val="auto"/>
              </w:rPr>
              <w:t>采购标的对应的中小企业划分标准所属行业</w:t>
            </w:r>
            <w:r>
              <w:rPr>
                <w:rFonts w:hint="eastAsia" w:ascii="ˎ̥" w:hAnsi="ˎ̥"/>
                <w:color w:val="auto"/>
              </w:rPr>
              <w:t>：</w:t>
            </w:r>
            <w:r>
              <w:rPr>
                <w:rFonts w:hint="eastAsia" w:ascii="ˎ̥" w:hAnsi="ˎ̥"/>
                <w:color w:val="auto"/>
                <w:lang w:eastAsia="zh-CN"/>
              </w:rPr>
              <w:t>其他未列明行业</w:t>
            </w:r>
            <w:r>
              <w:rPr>
                <w:rFonts w:hint="eastAsia" w:ascii="ˎ̥" w:hAnsi="ˎ̥"/>
                <w:color w:val="auto"/>
              </w:rPr>
              <w:t>。</w:t>
            </w:r>
          </w:p>
          <w:p>
            <w:pPr>
              <w:spacing w:line="360" w:lineRule="auto"/>
              <w:contextualSpacing/>
              <w:rPr>
                <w:rFonts w:cs="仿宋_GB2312" w:asciiTheme="minorEastAsia" w:hAnsiTheme="minorEastAsia"/>
                <w:color w:val="auto"/>
                <w:szCs w:val="21"/>
              </w:rPr>
            </w:pPr>
            <w:r>
              <w:rPr>
                <w:rFonts w:hint="eastAsia" w:ascii="ˎ̥" w:hAnsi="ˎ̥"/>
                <w:color w:val="auto"/>
                <w:lang w:val="en-US" w:eastAsia="zh-CN"/>
              </w:rPr>
              <w:t>4</w:t>
            </w:r>
            <w:r>
              <w:rPr>
                <w:rFonts w:hint="eastAsia" w:ascii="ˎ̥" w:hAnsi="ˎ̥"/>
                <w:color w:val="auto"/>
              </w:rPr>
              <w:t>、本项目不接受联合体投标。</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5</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6</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 xml:space="preserve">1、本项目强制采购的节能产品：（无） </w:t>
            </w:r>
          </w:p>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szCs w:val="21"/>
              </w:rPr>
              <w:t>网络关键设备、网络安全专用产品要求</w:t>
            </w:r>
          </w:p>
        </w:tc>
        <w:tc>
          <w:tcPr>
            <w:tcW w:w="6813" w:type="dxa"/>
            <w:vAlign w:val="center"/>
          </w:tcPr>
          <w:p>
            <w:pPr>
              <w:numPr>
                <w:ilvl w:val="0"/>
                <w:numId w:val="6"/>
              </w:num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color w:val="auto"/>
                <w:szCs w:val="21"/>
              </w:rPr>
              <w:t>本项目网络关键设备：（无）；网络安全专用产品：（无）</w:t>
            </w:r>
          </w:p>
          <w:p>
            <w:pPr>
              <w:numPr>
                <w:ilvl w:val="0"/>
                <w:numId w:val="6"/>
              </w:num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numPr>
                <w:ilvl w:val="0"/>
                <w:numId w:val="0"/>
              </w:numPr>
              <w:autoSpaceDE w:val="0"/>
              <w:autoSpaceDN w:val="0"/>
              <w:adjustRightInd w:val="0"/>
              <w:spacing w:line="420" w:lineRule="exact"/>
              <w:ind w:left="0" w:leftChars="0" w:firstLine="0" w:firstLineChars="0"/>
              <w:rPr>
                <w:rFonts w:cs="宋体" w:asciiTheme="minorEastAsia" w:hAnsiTheme="minorEastAsia"/>
                <w:bCs/>
                <w:color w:val="auto"/>
                <w:szCs w:val="21"/>
                <w:lang w:val="zh-CN"/>
              </w:rPr>
            </w:pPr>
            <w:r>
              <w:rPr>
                <w:rFonts w:hint="eastAsia" w:ascii="宋体" w:hAnsi="宋体" w:eastAsia="宋体" w:cs="宋体"/>
                <w:color w:val="auto"/>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lang w:eastAsia="zh-CN"/>
              </w:rPr>
            </w:pPr>
            <w:r>
              <w:rPr>
                <w:rFonts w:hint="eastAsia"/>
                <w:color w:val="auto"/>
                <w:sz w:val="21"/>
                <w:szCs w:val="21"/>
                <w:lang w:eastAsia="zh-CN"/>
              </w:rPr>
              <w:t>招标代理服务收费按差额定率累计法计算：</w:t>
            </w:r>
          </w:p>
          <w:p>
            <w:pPr>
              <w:pStyle w:val="28"/>
              <w:ind w:firstLine="340" w:firstLineChars="100"/>
              <w:rPr>
                <w:rFonts w:hint="eastAsia" w:eastAsia="宋体" w:cs="宋体" w:asciiTheme="minorEastAsia" w:hAnsiTheme="minorEastAsia"/>
                <w:bCs/>
                <w:color w:val="auto"/>
                <w:kern w:val="0"/>
                <w:sz w:val="34"/>
                <w:szCs w:val="21"/>
                <w:lang w:val="zh-CN" w:eastAsia="zh-CN" w:bidi="ar-SA"/>
              </w:rPr>
            </w:pPr>
            <w:r>
              <w:rPr>
                <w:rFonts w:hint="eastAsia"/>
                <w:color w:val="auto"/>
                <w:lang w:eastAsia="zh-CN"/>
              </w:rPr>
              <w:drawing>
                <wp:inline distT="0" distB="0" distL="114300" distR="114300">
                  <wp:extent cx="3035935" cy="2127250"/>
                  <wp:effectExtent l="0" t="0" r="12065" b="635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1"/>
                          <a:stretch>
                            <a:fillRect/>
                          </a:stretch>
                        </pic:blipFill>
                        <pic:spPr>
                          <a:xfrm>
                            <a:off x="0" y="0"/>
                            <a:ext cx="3035935" cy="2127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投标人代表出席开标会及其他</w:t>
            </w:r>
          </w:p>
        </w:tc>
        <w:tc>
          <w:tcPr>
            <w:tcW w:w="6813" w:type="dxa"/>
            <w:vAlign w:val="center"/>
          </w:tcPr>
          <w:p>
            <w:pPr>
              <w:spacing w:line="312" w:lineRule="auto"/>
              <w:rPr>
                <w:rFonts w:hAnsi="宋体" w:cs="宋体"/>
                <w:color w:val="auto"/>
                <w:szCs w:val="21"/>
                <w:lang w:val="zh-CN"/>
              </w:rPr>
            </w:pPr>
            <w:r>
              <w:rPr>
                <w:rFonts w:hint="eastAsia" w:hAnsi="宋体" w:cs="宋体"/>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解释权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构成本招标文件的各个组成文件应互为解释，互为说明；</w:t>
            </w:r>
          </w:p>
          <w:p>
            <w:pPr>
              <w:spacing w:line="360" w:lineRule="auto"/>
              <w:rPr>
                <w:rFonts w:hAnsi="宋体" w:cs="宋体"/>
                <w:color w:val="auto"/>
                <w:szCs w:val="21"/>
                <w:lang w:val="zh-CN"/>
              </w:rPr>
            </w:pPr>
            <w:r>
              <w:rPr>
                <w:rFonts w:hAnsi="宋体" w:cs="宋体"/>
                <w:color w:val="auto"/>
                <w:szCs w:val="21"/>
                <w:lang w:val="zh-CN"/>
              </w:rPr>
              <w:t>1</w:t>
            </w:r>
            <w:r>
              <w:rPr>
                <w:rFonts w:hint="eastAsia" w:hAnsi="宋体" w:cs="宋体"/>
                <w:color w:val="auto"/>
                <w:szCs w:val="21"/>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lang w:val="zh-CN"/>
              </w:rPr>
            </w:pPr>
            <w:r>
              <w:rPr>
                <w:rFonts w:hint="eastAsia" w:hAnsi="宋体" w:cs="宋体"/>
                <w:color w:val="auto"/>
                <w:szCs w:val="21"/>
                <w:lang w:val="en-US" w:eastAsia="zh-CN"/>
              </w:rPr>
              <w:t>2</w:t>
            </w:r>
            <w:r>
              <w:rPr>
                <w:rFonts w:hint="eastAsia" w:hAnsi="宋体" w:cs="宋体"/>
                <w:color w:val="auto"/>
                <w:szCs w:val="21"/>
                <w:lang w:val="zh-CN"/>
              </w:rPr>
              <w:t>、同一组成文件中就同一事项的规定或约定不一致的，以编排顺序在后者为准；</w:t>
            </w:r>
          </w:p>
          <w:p>
            <w:pPr>
              <w:spacing w:line="360" w:lineRule="auto"/>
              <w:rPr>
                <w:rFonts w:hAnsi="宋体" w:cs="宋体"/>
                <w:color w:val="auto"/>
                <w:szCs w:val="21"/>
                <w:lang w:val="zh-CN"/>
              </w:rPr>
            </w:pPr>
            <w:r>
              <w:rPr>
                <w:rFonts w:hint="eastAsia" w:hAnsi="宋体" w:cs="宋体"/>
                <w:color w:val="auto"/>
                <w:szCs w:val="21"/>
                <w:lang w:val="en-US" w:eastAsia="zh-CN"/>
              </w:rPr>
              <w:t>3</w:t>
            </w:r>
            <w:r>
              <w:rPr>
                <w:rFonts w:hint="eastAsia"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33</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知识产权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34</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投标费用</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纪律和监督</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1、未成功上传的投标文件；</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11"/>
              <w:rPr>
                <w:color w:val="auto"/>
                <w:lang w:val="zh-CN"/>
              </w:rPr>
            </w:pPr>
            <w:r>
              <w:rPr>
                <w:rFonts w:hint="eastAsia"/>
                <w:color w:val="auto"/>
              </w:rPr>
              <w:t>2、</w:t>
            </w:r>
            <w:r>
              <w:rPr>
                <w:rFonts w:hint="eastAsia"/>
                <w:color w:val="auto"/>
                <w:lang w:val="zh-CN"/>
              </w:rPr>
              <w:t>项目编号以本项目招标文件项目编号为准。</w:t>
            </w:r>
          </w:p>
          <w:p>
            <w:pPr>
              <w:pStyle w:val="11"/>
              <w:rPr>
                <w:color w:val="auto"/>
                <w:lang w:val="zh-CN"/>
              </w:rPr>
            </w:pPr>
            <w:r>
              <w:rPr>
                <w:rFonts w:hint="eastAsia"/>
                <w:color w:val="auto"/>
              </w:rPr>
              <w:t>3、</w:t>
            </w:r>
            <w:r>
              <w:rPr>
                <w:rFonts w:hint="eastAsia"/>
                <w:color w:val="auto"/>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bl>
    <w:p>
      <w:pPr>
        <w:pStyle w:val="38"/>
        <w:rPr>
          <w:color w:val="auto"/>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8"/>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8"/>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8"/>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8"/>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各项规定，且按照本项目招标公告及招标文件规定的方式获取招标文件的法人、其他组织或者自然人。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4"/>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6"/>
          <w:rFonts w:cs="宋体"/>
          <w:color w:val="auto"/>
          <w:szCs w:val="21"/>
        </w:rPr>
        <w:t>www.creditchina.gov.cn</w:t>
      </w:r>
      <w:r>
        <w:rPr>
          <w:rStyle w:val="36"/>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6"/>
          <w:rFonts w:cs="宋体"/>
          <w:color w:val="auto"/>
          <w:szCs w:val="21"/>
        </w:rPr>
        <w:t>www.ccgp.gov.cn</w:t>
      </w:r>
      <w:r>
        <w:rPr>
          <w:rStyle w:val="36"/>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6"/>
          <w:rFonts w:cs="宋体"/>
          <w:color w:val="auto"/>
          <w:szCs w:val="21"/>
        </w:rPr>
        <w:t>www.gsxt.gov.cn</w:t>
      </w:r>
      <w:r>
        <w:rPr>
          <w:rStyle w:val="36"/>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8"/>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8"/>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hAnsi="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9"/>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lang w:val="en-US" w:eastAsia="zh-CN"/>
        </w:rPr>
        <w:t>2</w:t>
      </w:r>
      <w:r>
        <w:rPr>
          <w:rFonts w:ascii="宋体" w:hAnsi="宋体" w:cs="宋体"/>
          <w:color w:val="auto"/>
          <w:kern w:val="0"/>
          <w:szCs w:val="21"/>
        </w:rPr>
        <w:t xml:space="preserve">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lang w:val="en-US" w:eastAsia="zh-CN"/>
        </w:rPr>
        <w:t>3</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pStyle w:val="58"/>
        <w:numPr>
          <w:ilvl w:val="0"/>
          <w:numId w:val="0"/>
        </w:numPr>
        <w:shd w:val="clear"/>
        <w:autoSpaceDE w:val="0"/>
        <w:autoSpaceDN w:val="0"/>
        <w:spacing w:line="360" w:lineRule="auto"/>
        <w:ind w:leftChars="0"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10"/>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8"/>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3</w:t>
      </w:r>
      <w:r>
        <w:rPr>
          <w:rFonts w:ascii="宋体" w:hAnsi="宋体" w:cs="宋体"/>
          <w:color w:val="auto"/>
          <w:szCs w:val="21"/>
          <w:lang w:val="zh-CN"/>
        </w:rPr>
        <w:t xml:space="preserve">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5</w:t>
      </w:r>
      <w:r>
        <w:rPr>
          <w:rFonts w:ascii="宋体" w:hAnsi="宋体" w:cs="宋体"/>
          <w:color w:val="auto"/>
          <w:szCs w:val="21"/>
          <w:lang w:val="zh-CN"/>
        </w:rPr>
        <w:t xml:space="preserve">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9"/>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b/>
          <w:bCs/>
          <w:color w:val="auto"/>
          <w:szCs w:val="21"/>
        </w:rPr>
        <w:t>30</w:t>
      </w:r>
      <w:r>
        <w:rPr>
          <w:rFonts w:ascii="宋体" w:hAnsi="宋体" w:cs="宋体"/>
          <w:b/>
          <w:bCs/>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3</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9</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hint="eastAsia" w:ascii="宋体" w:hAnsi="宋体" w:cs="宋体"/>
          <w:color w:val="auto"/>
          <w:szCs w:val="21"/>
        </w:rPr>
        <w:t xml:space="preserve">    </w:t>
      </w: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41</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8"/>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42.政府采购合同融资</w:t>
      </w:r>
    </w:p>
    <w:p>
      <w:pPr>
        <w:pStyle w:val="58"/>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42.2合作金融机构（排名不分先后）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w:t>
      </w: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3</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7"/>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pStyle w:val="11"/>
        <w:rPr>
          <w:rFonts w:cs="宋体" w:asciiTheme="majorEastAsia" w:hAnsiTheme="majorEastAsia" w:eastAsiaTheme="majorEastAsia"/>
          <w:b/>
          <w:color w:val="auto"/>
          <w:kern w:val="0"/>
          <w:sz w:val="32"/>
          <w:szCs w:val="32"/>
        </w:rPr>
      </w:pPr>
    </w:p>
    <w:p>
      <w:pPr>
        <w:pStyle w:val="12"/>
        <w:rPr>
          <w:rFonts w:cs="宋体" w:asciiTheme="majorEastAsia" w:hAnsiTheme="majorEastAsia" w:eastAsiaTheme="majorEastAsia"/>
          <w:b/>
          <w:color w:val="auto"/>
          <w:kern w:val="0"/>
          <w:sz w:val="32"/>
          <w:szCs w:val="32"/>
        </w:rPr>
      </w:pPr>
    </w:p>
    <w:p>
      <w:pPr>
        <w:pStyle w:val="13"/>
        <w:rPr>
          <w:color w:val="auto"/>
        </w:rPr>
      </w:pPr>
    </w:p>
    <w:p>
      <w:pPr>
        <w:pStyle w:val="6"/>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9"/>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48"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48"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48"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9"/>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9"/>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Times New Roman"/>
                <w:b/>
                <w:color w:val="auto"/>
                <w:szCs w:val="21"/>
              </w:rPr>
            </w:pPr>
            <w:r>
              <w:rPr>
                <w:rFonts w:hint="eastAsia" w:ascii="宋体" w:hAnsi="宋体" w:eastAsia="宋体" w:cs="Times New Roman"/>
                <w:b/>
                <w:color w:val="auto"/>
                <w:szCs w:val="21"/>
              </w:rPr>
              <w:t>投标人须具备的特殊</w:t>
            </w:r>
          </w:p>
          <w:p>
            <w:pPr>
              <w:spacing w:line="360" w:lineRule="auto"/>
              <w:jc w:val="center"/>
              <w:rPr>
                <w:rFonts w:hint="eastAsia" w:asciiTheme="minorEastAsia" w:hAnsiTheme="minorEastAsia"/>
                <w:b/>
                <w:bCs/>
                <w:color w:val="auto"/>
                <w:szCs w:val="21"/>
              </w:rPr>
            </w:pPr>
            <w:r>
              <w:rPr>
                <w:rFonts w:hint="eastAsia" w:ascii="宋体" w:hAnsi="宋体" w:eastAsia="宋体" w:cs="Times New Roman"/>
                <w:b/>
                <w:color w:val="auto"/>
                <w:szCs w:val="21"/>
              </w:rPr>
              <w:t>资质证书</w:t>
            </w:r>
          </w:p>
        </w:tc>
        <w:tc>
          <w:tcPr>
            <w:tcW w:w="5954" w:type="dxa"/>
            <w:vAlign w:val="center"/>
          </w:tcPr>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投标报价是否超出招标文件中规定的预算金额（最高限价），超出预算金额（最高限价）的投标无效。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6</w:t>
            </w:r>
          </w:p>
        </w:tc>
        <w:tc>
          <w:tcPr>
            <w:tcW w:w="2410" w:type="dxa"/>
            <w:vAlign w:val="center"/>
          </w:tcPr>
          <w:p>
            <w:pPr>
              <w:spacing w:line="360" w:lineRule="auto"/>
              <w:jc w:val="center"/>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7</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8</w:t>
            </w:r>
          </w:p>
        </w:tc>
        <w:tc>
          <w:tcPr>
            <w:tcW w:w="2410"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10</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9"/>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9"/>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9"/>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9"/>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6</w:t>
      </w:r>
      <w:r>
        <w:rPr>
          <w:rFonts w:hint="eastAsia" w:cs="仿宋_GB2312" w:asciiTheme="minorEastAsia" w:hAnsiTheme="minorEastAsia" w:eastAsiaTheme="minorEastAsia"/>
          <w:b/>
          <w:color w:val="auto"/>
          <w:sz w:val="21"/>
          <w:szCs w:val="21"/>
          <w:lang w:val="zh-CN"/>
        </w:rPr>
        <w:t>）评标标准</w:t>
      </w:r>
    </w:p>
    <w:tbl>
      <w:tblPr>
        <w:tblStyle w:val="3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分值构成</w:t>
            </w:r>
          </w:p>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 w:val="21"/>
                <w:szCs w:val="21"/>
              </w:rPr>
            </w:pPr>
            <w:r>
              <w:rPr>
                <w:rFonts w:hint="eastAsia" w:ascii="宋体" w:hAnsi="宋体" w:eastAsia="宋体"/>
                <w:color w:val="auto"/>
                <w:sz w:val="21"/>
                <w:szCs w:val="21"/>
              </w:rPr>
              <w:t>价格分值：</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0分</w:t>
            </w:r>
          </w:p>
          <w:p>
            <w:pPr>
              <w:spacing w:line="360" w:lineRule="auto"/>
              <w:ind w:firstLine="480"/>
              <w:rPr>
                <w:rFonts w:ascii="宋体" w:hAnsi="宋体" w:eastAsia="宋体"/>
                <w:color w:val="auto"/>
                <w:sz w:val="21"/>
                <w:szCs w:val="21"/>
              </w:rPr>
            </w:pPr>
            <w:r>
              <w:rPr>
                <w:rFonts w:hint="eastAsia" w:ascii="宋体" w:hAnsi="宋体" w:eastAsia="宋体"/>
                <w:color w:val="auto"/>
                <w:sz w:val="21"/>
                <w:szCs w:val="21"/>
              </w:rPr>
              <w:t>商务部分：</w:t>
            </w:r>
            <w:r>
              <w:rPr>
                <w:rFonts w:hint="eastAsia" w:ascii="宋体" w:hAnsi="宋体" w:eastAsia="宋体"/>
                <w:color w:val="auto"/>
                <w:sz w:val="21"/>
                <w:szCs w:val="21"/>
                <w:lang w:val="en-US" w:eastAsia="zh-CN"/>
              </w:rPr>
              <w:t>35</w:t>
            </w:r>
            <w:r>
              <w:rPr>
                <w:rFonts w:hint="eastAsia" w:ascii="宋体" w:hAnsi="宋体" w:eastAsia="宋体"/>
                <w:color w:val="auto"/>
                <w:sz w:val="21"/>
                <w:szCs w:val="21"/>
              </w:rPr>
              <w:t>分</w:t>
            </w:r>
          </w:p>
          <w:p>
            <w:pPr>
              <w:spacing w:line="360" w:lineRule="auto"/>
              <w:ind w:firstLine="480"/>
              <w:rPr>
                <w:rFonts w:ascii="宋体" w:hAnsi="宋体" w:eastAsia="宋体"/>
                <w:color w:val="auto"/>
                <w:sz w:val="21"/>
                <w:szCs w:val="21"/>
              </w:rPr>
            </w:pPr>
            <w:r>
              <w:rPr>
                <w:rFonts w:hint="eastAsia" w:ascii="宋体" w:hAnsi="宋体" w:eastAsia="宋体"/>
                <w:color w:val="auto"/>
                <w:sz w:val="21"/>
                <w:szCs w:val="21"/>
              </w:rPr>
              <w:t>技术部分：</w:t>
            </w:r>
            <w:r>
              <w:rPr>
                <w:rFonts w:hint="eastAsia" w:ascii="宋体" w:hAnsi="宋体" w:eastAsia="宋体"/>
                <w:color w:val="auto"/>
                <w:sz w:val="21"/>
                <w:szCs w:val="21"/>
                <w:lang w:val="en-US" w:eastAsia="zh-CN"/>
              </w:rPr>
              <w:t>45</w:t>
            </w:r>
            <w:r>
              <w:rPr>
                <w:rFonts w:hint="eastAsia" w:ascii="宋体" w:hAnsi="宋体"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一、价格部分（满分</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投标报价</w:t>
            </w:r>
          </w:p>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 w:val="21"/>
                <w:szCs w:val="21"/>
              </w:rPr>
            </w:pPr>
            <w:r>
              <w:rPr>
                <w:rFonts w:hint="eastAsia" w:ascii="宋体" w:hAnsi="宋体" w:eastAsia="宋体"/>
                <w:color w:val="auto"/>
                <w:sz w:val="21"/>
                <w:szCs w:val="21"/>
              </w:rPr>
              <w:t>评标基准价：满足招标文件要求的有效投标报价中，最低的投标报价为评标基准价。</w:t>
            </w:r>
          </w:p>
          <w:p>
            <w:pPr>
              <w:spacing w:line="360" w:lineRule="auto"/>
              <w:ind w:right="240"/>
              <w:jc w:val="left"/>
              <w:rPr>
                <w:rFonts w:ascii="宋体" w:hAnsi="宋体" w:eastAsia="宋体"/>
                <w:color w:val="auto"/>
                <w:sz w:val="21"/>
                <w:szCs w:val="21"/>
              </w:rPr>
            </w:pPr>
            <w:r>
              <w:rPr>
                <w:rFonts w:hint="eastAsia" w:ascii="宋体" w:hAnsi="宋体" w:eastAsia="宋体"/>
                <w:color w:val="auto"/>
                <w:sz w:val="21"/>
                <w:szCs w:val="21"/>
              </w:rPr>
              <w:t>投标报价得分=（评标基准价/投标报价）×</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0</w:t>
            </w:r>
          </w:p>
          <w:p>
            <w:pPr>
              <w:spacing w:line="360" w:lineRule="auto"/>
              <w:ind w:right="240"/>
              <w:jc w:val="left"/>
              <w:rPr>
                <w:rFonts w:ascii="宋体" w:hAnsi="宋体" w:eastAsia="宋体"/>
                <w:color w:val="auto"/>
                <w:sz w:val="21"/>
                <w:szCs w:val="21"/>
              </w:rPr>
            </w:pPr>
            <w:r>
              <w:rPr>
                <w:rFonts w:hint="eastAsia" w:ascii="宋体" w:hAnsi="宋体" w:eastAsia="宋体"/>
                <w:color w:val="auto"/>
                <w:sz w:val="21"/>
                <w:szCs w:val="21"/>
              </w:rPr>
              <w:t>计算按四舍五入法则。保留小数点后两位。</w:t>
            </w:r>
          </w:p>
          <w:p>
            <w:pPr>
              <w:pStyle w:val="11"/>
              <w:spacing w:line="360" w:lineRule="auto"/>
              <w:rPr>
                <w:rFonts w:ascii="宋体" w:hAnsi="宋体" w:eastAsia="宋体"/>
                <w:color w:val="auto"/>
                <w:sz w:val="21"/>
                <w:szCs w:val="21"/>
              </w:rPr>
            </w:pPr>
            <w:r>
              <w:rPr>
                <w:rFonts w:hint="eastAsia" w:ascii="宋体" w:hAnsi="宋体" w:eastAsia="宋体"/>
                <w:color w:val="auto"/>
                <w:sz w:val="21"/>
                <w:szCs w:val="21"/>
              </w:rPr>
              <w:t>注：当投标人的报价明显低于常规报价，评标委员会人为该投标人的最低投标报价或者某些小项报价明显不合理或者明显低于其他通过</w:t>
            </w:r>
            <w:r>
              <w:rPr>
                <w:rFonts w:hint="eastAsia" w:ascii="宋体" w:hAnsi="宋体" w:eastAsia="宋体"/>
                <w:color w:val="auto"/>
                <w:sz w:val="21"/>
                <w:szCs w:val="21"/>
                <w:lang w:eastAsia="zh-CN"/>
              </w:rPr>
              <w:t>符</w:t>
            </w:r>
            <w:r>
              <w:rPr>
                <w:rFonts w:hint="eastAsia" w:ascii="宋体" w:hAnsi="宋体" w:eastAsia="宋体"/>
                <w:color w:val="auto"/>
                <w:sz w:val="21"/>
                <w:szCs w:val="21"/>
              </w:rPr>
              <w:t>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 w:val="21"/>
                <w:szCs w:val="21"/>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二、商务部分（满分</w:t>
            </w:r>
            <w:r>
              <w:rPr>
                <w:rFonts w:hint="eastAsia" w:ascii="宋体" w:hAnsi="宋体" w:eastAsia="宋体" w:cs="宋体"/>
                <w:bCs/>
                <w:color w:val="auto"/>
                <w:kern w:val="0"/>
                <w:sz w:val="21"/>
                <w:szCs w:val="21"/>
                <w:lang w:val="en-US" w:eastAsia="zh-CN"/>
              </w:rPr>
              <w:t>35</w:t>
            </w:r>
            <w:r>
              <w:rPr>
                <w:rFonts w:hint="eastAsia" w:ascii="宋体" w:hAnsi="宋体" w:eastAsia="宋体" w:cs="宋体"/>
                <w:bCs/>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 w:val="21"/>
                <w:szCs w:val="21"/>
              </w:rPr>
            </w:pPr>
            <w:r>
              <w:rPr>
                <w:rFonts w:hint="eastAsia" w:ascii="宋体" w:hAnsi="宋体" w:eastAsia="宋体" w:cs="宋体"/>
                <w:bCs/>
                <w:color w:val="auto"/>
                <w:kern w:val="0"/>
                <w:sz w:val="21"/>
                <w:szCs w:val="21"/>
              </w:rPr>
              <w:tab/>
            </w:r>
            <w:r>
              <w:rPr>
                <w:rFonts w:hint="eastAsia" w:ascii="宋体" w:hAnsi="宋体" w:eastAsia="宋体" w:cs="宋体"/>
                <w:bCs/>
                <w:color w:val="auto"/>
                <w:kern w:val="0"/>
                <w:sz w:val="21"/>
                <w:szCs w:val="21"/>
              </w:rPr>
              <w:tab/>
            </w:r>
            <w:r>
              <w:rPr>
                <w:rFonts w:hint="eastAsia" w:ascii="宋体" w:hAnsi="宋体" w:eastAsia="宋体" w:cs="宋体"/>
                <w:bCs/>
                <w:color w:val="auto"/>
                <w:kern w:val="0"/>
                <w:sz w:val="21"/>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130"/>
              </w:tabs>
              <w:adjustRightIn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投标人业绩</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投标人自20</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lang w:eastAsia="zh-CN"/>
              </w:rPr>
              <w:t>年1月1日以来（以合同签订日为准）承担过类似项目业绩每个得</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，最多得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分，（须提供项目合同扫描件，缺少不得分）。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ascii="宋体" w:hAnsi="宋体" w:eastAsia="宋体" w:cs="宋体"/>
                <w:bCs/>
                <w:color w:val="auto"/>
                <w:kern w:val="0"/>
                <w:sz w:val="21"/>
                <w:szCs w:val="21"/>
              </w:rPr>
            </w:pPr>
            <w:r>
              <w:rPr>
                <w:rFonts w:hint="eastAsia" w:ascii="宋体" w:hAnsi="宋体" w:eastAsia="宋体"/>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工作团队</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投标供应商拟派服务工程师经过相关设备维修技能培训的（提供生产厂家培训或国家级维修技术培训证书等），每有一名</w:t>
            </w:r>
            <w:r>
              <w:rPr>
                <w:rFonts w:hint="eastAsia" w:ascii="宋体" w:hAnsi="宋体" w:eastAsia="宋体" w:cs="宋体"/>
                <w:color w:val="auto"/>
                <w:sz w:val="21"/>
                <w:szCs w:val="21"/>
                <w:lang w:val="en-US" w:eastAsia="zh-CN"/>
              </w:rPr>
              <w:t>得7.5分，最多得15分。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三、技术部分（满分</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 w:val="21"/>
                <w:szCs w:val="21"/>
              </w:rPr>
            </w:pPr>
            <w:r>
              <w:rPr>
                <w:rFonts w:hint="eastAsia" w:ascii="宋体" w:hAnsi="宋体" w:eastAsia="宋体" w:cs="宋体"/>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维修管理服务方案</w:t>
            </w: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评委根据投标供应商针对本项目的维修管理服务方案（包含但不仅限于</w:t>
            </w:r>
            <w:r>
              <w:rPr>
                <w:color w:val="auto"/>
                <w:spacing w:val="6"/>
                <w:sz w:val="21"/>
                <w:szCs w:val="21"/>
              </w:rPr>
              <w:t>服务</w:t>
            </w:r>
            <w:r>
              <w:rPr>
                <w:color w:val="auto"/>
                <w:spacing w:val="5"/>
                <w:sz w:val="21"/>
                <w:szCs w:val="21"/>
              </w:rPr>
              <w:t>流程、服务</w:t>
            </w:r>
            <w:r>
              <w:rPr>
                <w:rFonts w:hint="eastAsia"/>
                <w:color w:val="auto"/>
                <w:spacing w:val="5"/>
                <w:sz w:val="21"/>
                <w:szCs w:val="21"/>
                <w:lang w:eastAsia="zh-CN"/>
              </w:rPr>
              <w:t>计划、</w:t>
            </w:r>
            <w:r>
              <w:rPr>
                <w:rFonts w:hint="eastAsia" w:ascii="宋体" w:hAnsi="宋体" w:cs="宋体"/>
                <w:b w:val="0"/>
                <w:bCs w:val="0"/>
                <w:color w:val="auto"/>
                <w:sz w:val="21"/>
                <w:szCs w:val="21"/>
                <w:highlight w:val="none"/>
                <w:lang w:val="en-US" w:eastAsia="zh-CN"/>
              </w:rPr>
              <w:t>培训方案、</w:t>
            </w:r>
            <w:r>
              <w:rPr>
                <w:rFonts w:hint="eastAsia" w:ascii="宋体" w:hAnsi="宋体" w:eastAsia="宋体" w:cs="宋体"/>
                <w:b w:val="0"/>
                <w:bCs w:val="0"/>
                <w:color w:val="auto"/>
                <w:sz w:val="21"/>
                <w:szCs w:val="21"/>
                <w:highlight w:val="none"/>
                <w:lang w:eastAsia="zh-CN"/>
              </w:rPr>
              <w:t>服务响应时间、</w:t>
            </w:r>
            <w:r>
              <w:rPr>
                <w:rFonts w:hint="eastAsia" w:ascii="宋体" w:hAnsi="宋体" w:cs="宋体"/>
                <w:b w:val="0"/>
                <w:bCs w:val="0"/>
                <w:color w:val="auto"/>
                <w:sz w:val="21"/>
                <w:szCs w:val="21"/>
                <w:highlight w:val="none"/>
                <w:lang w:val="en-US" w:eastAsia="zh-CN"/>
              </w:rPr>
              <w:t>人员配备、服务承诺</w:t>
            </w:r>
            <w:r>
              <w:rPr>
                <w:rFonts w:hint="eastAsia" w:ascii="宋体" w:hAnsi="宋体" w:cs="宋体"/>
                <w:color w:val="auto"/>
                <w:kern w:val="2"/>
                <w:sz w:val="21"/>
                <w:szCs w:val="21"/>
                <w:lang w:val="en-US" w:eastAsia="zh-CN" w:bidi="ar-SA"/>
              </w:rPr>
              <w:t>等</w:t>
            </w:r>
            <w:r>
              <w:rPr>
                <w:color w:val="auto"/>
                <w:spacing w:val="8"/>
                <w:sz w:val="21"/>
                <w:szCs w:val="21"/>
              </w:rPr>
              <w:t>管理方案</w:t>
            </w:r>
            <w:r>
              <w:rPr>
                <w:rFonts w:hint="eastAsia" w:ascii="宋体" w:hAnsi="宋体" w:cs="宋体"/>
                <w:color w:val="auto"/>
                <w:kern w:val="2"/>
                <w:sz w:val="21"/>
                <w:szCs w:val="21"/>
                <w:highlight w:val="none"/>
                <w:lang w:val="en-US" w:eastAsia="zh-CN" w:bidi="ar-SA"/>
              </w:rPr>
              <w:t>等）进行评审：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①</w:t>
            </w:r>
            <w:r>
              <w:rPr>
                <w:rFonts w:hint="eastAsia" w:ascii="宋体" w:hAnsi="宋体" w:cs="宋体"/>
                <w:color w:val="auto"/>
                <w:kern w:val="2"/>
                <w:sz w:val="21"/>
                <w:szCs w:val="21"/>
                <w:highlight w:val="none"/>
                <w:lang w:val="en-US" w:eastAsia="zh-CN" w:bidi="ar-SA"/>
              </w:rPr>
              <w:t>服务方案</w:t>
            </w:r>
            <w:r>
              <w:rPr>
                <w:rFonts w:hint="eastAsia" w:ascii="宋体" w:hAnsi="宋体" w:eastAsia="宋体" w:cs="宋体"/>
                <w:color w:val="auto"/>
                <w:sz w:val="21"/>
                <w:szCs w:val="21"/>
                <w:lang w:val="en-US" w:eastAsia="zh-CN"/>
              </w:rPr>
              <w:t xml:space="preserve">详细、具体、可行，具有可操作性，得15分；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②</w:t>
            </w:r>
            <w:r>
              <w:rPr>
                <w:rFonts w:hint="eastAsia" w:ascii="宋体" w:hAnsi="宋体" w:cs="宋体"/>
                <w:color w:val="auto"/>
                <w:kern w:val="2"/>
                <w:sz w:val="21"/>
                <w:szCs w:val="21"/>
                <w:highlight w:val="none"/>
                <w:lang w:val="en-US" w:eastAsia="zh-CN" w:bidi="ar-SA"/>
              </w:rPr>
              <w:t>服务方案</w:t>
            </w:r>
            <w:r>
              <w:rPr>
                <w:rFonts w:hint="eastAsia" w:ascii="宋体" w:hAnsi="宋体" w:eastAsia="宋体" w:cs="宋体"/>
                <w:color w:val="auto"/>
                <w:sz w:val="21"/>
                <w:szCs w:val="21"/>
                <w:lang w:val="en-US" w:eastAsia="zh-CN"/>
              </w:rPr>
              <w:t xml:space="preserve">不够全面，操作性不强，得10.5分； </w:t>
            </w:r>
          </w:p>
          <w:p>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未提供方案，得0分。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color w:val="auto"/>
                <w:spacing w:val="4"/>
                <w:sz w:val="21"/>
                <w:szCs w:val="21"/>
                <w:lang w:val="en-US" w:eastAsia="zh-CN"/>
              </w:rPr>
              <w:t>质量控制管理方案</w:t>
            </w: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评委根据投标供应商针对本项目的</w:t>
            </w:r>
            <w:r>
              <w:rPr>
                <w:rFonts w:hint="eastAsia"/>
                <w:color w:val="auto"/>
                <w:spacing w:val="4"/>
                <w:sz w:val="21"/>
                <w:szCs w:val="21"/>
                <w:lang w:val="en-US" w:eastAsia="zh-CN"/>
              </w:rPr>
              <w:t>质量控制管理方案（</w:t>
            </w:r>
            <w:r>
              <w:rPr>
                <w:rFonts w:hint="eastAsia" w:ascii="宋体" w:hAnsi="宋体" w:cs="宋体"/>
                <w:color w:val="auto"/>
                <w:kern w:val="2"/>
                <w:sz w:val="21"/>
                <w:szCs w:val="21"/>
                <w:highlight w:val="none"/>
                <w:lang w:val="en-US" w:eastAsia="zh-CN" w:bidi="ar-SA"/>
              </w:rPr>
              <w:t>包含但不仅限于</w:t>
            </w:r>
            <w:r>
              <w:rPr>
                <w:color w:val="auto"/>
                <w:spacing w:val="5"/>
                <w:sz w:val="21"/>
                <w:szCs w:val="21"/>
              </w:rPr>
              <w:t>设</w:t>
            </w:r>
            <w:r>
              <w:rPr>
                <w:color w:val="auto"/>
                <w:spacing w:val="6"/>
                <w:sz w:val="21"/>
                <w:szCs w:val="21"/>
              </w:rPr>
              <w:t>备</w:t>
            </w:r>
            <w:r>
              <w:rPr>
                <w:rFonts w:hint="eastAsia" w:ascii="宋体" w:hAnsi="宋体" w:eastAsia="宋体" w:cs="宋体"/>
                <w:b w:val="0"/>
                <w:bCs w:val="0"/>
                <w:color w:val="auto"/>
                <w:sz w:val="21"/>
                <w:szCs w:val="21"/>
                <w:highlight w:val="none"/>
              </w:rPr>
              <w:t>预防性保养与安全巡查方案</w:t>
            </w:r>
            <w:r>
              <w:rPr>
                <w:rFonts w:hint="eastAsia"/>
                <w:color w:val="auto"/>
                <w:spacing w:val="6"/>
                <w:sz w:val="21"/>
                <w:szCs w:val="21"/>
                <w:lang w:eastAsia="zh-CN"/>
              </w:rPr>
              <w:t>等</w:t>
            </w:r>
            <w:r>
              <w:rPr>
                <w:rFonts w:hint="eastAsia"/>
                <w:color w:val="auto"/>
                <w:spacing w:val="4"/>
                <w:sz w:val="21"/>
                <w:szCs w:val="21"/>
                <w:lang w:val="en-US" w:eastAsia="zh-CN"/>
              </w:rPr>
              <w:t>）</w:t>
            </w:r>
            <w:r>
              <w:rPr>
                <w:rFonts w:hint="eastAsia" w:ascii="宋体" w:hAnsi="宋体" w:cs="宋体"/>
                <w:color w:val="auto"/>
                <w:kern w:val="2"/>
                <w:sz w:val="21"/>
                <w:szCs w:val="21"/>
                <w:highlight w:val="none"/>
                <w:lang w:val="en-US" w:eastAsia="zh-CN" w:bidi="ar-SA"/>
              </w:rPr>
              <w:t>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①</w:t>
            </w:r>
            <w:r>
              <w:rPr>
                <w:rFonts w:hint="eastAsia" w:ascii="宋体" w:hAnsi="宋体" w:cs="宋体"/>
                <w:color w:val="auto"/>
                <w:kern w:val="2"/>
                <w:sz w:val="21"/>
                <w:szCs w:val="21"/>
                <w:highlight w:val="none"/>
                <w:lang w:val="en-US" w:eastAsia="zh-CN" w:bidi="ar-SA"/>
              </w:rPr>
              <w:t>管理方案</w:t>
            </w:r>
            <w:r>
              <w:rPr>
                <w:rFonts w:hint="eastAsia" w:ascii="宋体" w:hAnsi="宋体" w:eastAsia="宋体" w:cs="宋体"/>
                <w:color w:val="auto"/>
                <w:sz w:val="21"/>
                <w:szCs w:val="21"/>
                <w:lang w:val="en-US" w:eastAsia="zh-CN"/>
              </w:rPr>
              <w:t xml:space="preserve">详细、具体、可行，具有可操作性，得10分；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②</w:t>
            </w:r>
            <w:r>
              <w:rPr>
                <w:rFonts w:hint="eastAsia" w:ascii="宋体" w:hAnsi="宋体" w:cs="宋体"/>
                <w:color w:val="auto"/>
                <w:kern w:val="2"/>
                <w:sz w:val="21"/>
                <w:szCs w:val="21"/>
                <w:highlight w:val="none"/>
                <w:lang w:val="en-US" w:eastAsia="zh-CN" w:bidi="ar-SA"/>
              </w:rPr>
              <w:t>管理方案</w:t>
            </w:r>
            <w:r>
              <w:rPr>
                <w:rFonts w:hint="eastAsia" w:ascii="宋体" w:hAnsi="宋体" w:eastAsia="宋体" w:cs="宋体"/>
                <w:color w:val="auto"/>
                <w:sz w:val="21"/>
                <w:szCs w:val="21"/>
                <w:lang w:val="en-US" w:eastAsia="zh-CN"/>
              </w:rPr>
              <w:t xml:space="preserve">不够全面，操作性不强，得7分； </w:t>
            </w:r>
          </w:p>
          <w:p>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未提供方案，得0分。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项目组织管理方案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项目管理团队和一线员工配置方案齐全。项目组织管理架构清晰，层级及岗位设置满足需要，分工明确且有利一体化协作。</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①</w:t>
            </w:r>
            <w:r>
              <w:rPr>
                <w:rFonts w:hint="eastAsia" w:ascii="宋体" w:hAnsi="宋体" w:eastAsia="宋体" w:cs="宋体"/>
                <w:color w:val="auto"/>
                <w:kern w:val="2"/>
                <w:sz w:val="21"/>
                <w:szCs w:val="21"/>
                <w:lang w:val="en-US" w:eastAsia="zh-CN" w:bidi="ar-SA"/>
              </w:rPr>
              <w:t>方案全面、职责明确、切实可行得 10分；</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②</w:t>
            </w:r>
            <w:r>
              <w:rPr>
                <w:rFonts w:hint="eastAsia" w:ascii="宋体" w:hAnsi="宋体" w:eastAsia="宋体" w:cs="宋体"/>
                <w:color w:val="auto"/>
                <w:kern w:val="2"/>
                <w:sz w:val="21"/>
                <w:szCs w:val="21"/>
                <w:lang w:val="en-US" w:eastAsia="zh-CN" w:bidi="ar-SA"/>
              </w:rPr>
              <w:t>基本全面、基本明确、基本可行得7分；</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未提供方案，得0分。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突发事件应急预案和措施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评委根据投标人组织领导有力，面对疫情防控、极端突发事件，群体事件或重大公共事件等可能危及人身财产安全的事件时，仍能够履行岗位职责，具备敢于负责，勇于担当的素质和能力等方面进行评审：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①</w:t>
            </w:r>
            <w:r>
              <w:rPr>
                <w:rFonts w:hint="eastAsia" w:ascii="宋体" w:hAnsi="宋体" w:eastAsia="宋体" w:cs="宋体"/>
                <w:color w:val="auto"/>
                <w:kern w:val="2"/>
                <w:sz w:val="21"/>
                <w:szCs w:val="21"/>
                <w:lang w:val="en-US" w:eastAsia="zh-CN" w:bidi="ar-SA"/>
              </w:rPr>
              <w:t>突发事件应急预案和措施内容全面、切实可行得 10分；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②</w:t>
            </w:r>
            <w:r>
              <w:rPr>
                <w:rFonts w:hint="eastAsia" w:ascii="宋体" w:hAnsi="宋体" w:eastAsia="宋体" w:cs="宋体"/>
                <w:color w:val="auto"/>
                <w:kern w:val="2"/>
                <w:sz w:val="21"/>
                <w:szCs w:val="21"/>
                <w:lang w:val="en-US" w:eastAsia="zh-CN" w:bidi="ar-SA"/>
              </w:rPr>
              <w:t>基本全面、基本可行得7分；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未提供预案，得0分。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bl>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p>
    <w:p>
      <w:pPr>
        <w:spacing w:line="360" w:lineRule="auto"/>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扣除20%</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ascii="ˎ̥" w:hAnsi="ˎ̥" w:eastAsia="宋体"/>
                <w:color w:val="auto"/>
                <w:szCs w:val="21"/>
              </w:rPr>
              <w:t>20</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552"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ˎ̥" w:hAnsi="ˎ̥" w:eastAsia="宋体"/>
                <w:color w:val="auto"/>
                <w:szCs w:val="21"/>
              </w:rPr>
              <w:t>20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扣除6</w:t>
            </w:r>
            <w:r>
              <w:rPr>
                <w:rFonts w:hint="eastAsia" w:ascii="宋体" w:hAnsi="宋体"/>
                <w:color w:val="auto"/>
                <w:szCs w:val="21"/>
              </w:rPr>
              <w:t>%</w:t>
            </w:r>
          </w:p>
        </w:tc>
        <w:tc>
          <w:tcPr>
            <w:tcW w:w="2835" w:type="dxa"/>
            <w:shd w:val="clear" w:color="auto" w:fill="auto"/>
            <w:vAlign w:val="center"/>
          </w:tcPr>
          <w:p>
            <w:pPr>
              <w:jc w:val="center"/>
              <w:rPr>
                <w:rFonts w:ascii="宋体" w:hAnsi="宋体"/>
                <w:b/>
                <w:color w:val="auto"/>
                <w:szCs w:val="21"/>
                <w:lang w:val="en-GB"/>
              </w:rPr>
            </w:pPr>
            <w:r>
              <w:rPr>
                <w:rFonts w:hint="eastAsia" w:ascii="宋体" w:hAnsi="宋体"/>
                <w:color w:val="auto"/>
                <w:szCs w:val="21"/>
                <w:lang w:val="en-GB"/>
              </w:rPr>
              <w:t>评标价格＝投标报价×</w:t>
            </w:r>
            <w:r>
              <w:rPr>
                <w:rFonts w:hint="eastAsia" w:ascii="宋体" w:hAnsi="宋体"/>
                <w:color w:val="auto"/>
                <w:szCs w:val="21"/>
              </w:rPr>
              <w:t>(1-6</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ˎ̥" w:hAnsi="ˎ̥" w:eastAsia="宋体"/>
                <w:color w:val="auto"/>
                <w:szCs w:val="21"/>
              </w:rPr>
              <w:t>20</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ascii="ˎ̥" w:hAnsi="ˎ̥" w:eastAsia="宋体"/>
                <w:color w:val="auto"/>
                <w:szCs w:val="21"/>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ˎ̥" w:hAnsi="ˎ̥" w:eastAsia="宋体"/>
                <w:color w:val="auto"/>
                <w:szCs w:val="21"/>
              </w:rPr>
              <w:t>20</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ascii="ˎ̥" w:hAnsi="ˎ̥" w:eastAsia="宋体"/>
                <w:color w:val="auto"/>
                <w:szCs w:val="21"/>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color w:val="auto"/>
        </w:rPr>
      </w:pPr>
      <w:r>
        <w:rPr>
          <w:rFonts w:hint="eastAsia" w:ascii="宋体" w:hAnsi="宋体"/>
          <w:bCs/>
          <w:color w:val="auto"/>
          <w:szCs w:val="21"/>
          <w:lang w:val="en-GB"/>
        </w:rPr>
        <w:t>a、不接受联合体投标的项目，</w:t>
      </w:r>
      <w:r>
        <w:rPr>
          <w:rFonts w:hint="eastAsia"/>
          <w:color w:val="auto"/>
        </w:rPr>
        <w:t>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w:t>
      </w:r>
      <w:r>
        <w:rPr>
          <w:color w:val="auto"/>
        </w:rPr>
        <w:t>在货物采购项目中，货物由中小企业制造，即货物由中小企业生产且使用该中小企业商号或者注册商标</w:t>
      </w:r>
      <w:r>
        <w:rPr>
          <w:rFonts w:hint="eastAsia" w:ascii="宋体" w:hAnsi="宋体"/>
          <w:bCs/>
          <w:color w:val="auto"/>
          <w:szCs w:val="21"/>
          <w:lang w:val="en-GB"/>
        </w:rPr>
        <w:t>。</w:t>
      </w:r>
      <w:r>
        <w:rPr>
          <w:color w:val="auto"/>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hint="eastAsia" w:cs="仿宋_GB2312" w:asciiTheme="minorEastAsia" w:hAnsiTheme="minorEastAsia" w:eastAsiaTheme="minorEastAsia"/>
          <w:b/>
          <w:color w:val="auto"/>
          <w:sz w:val="21"/>
          <w:szCs w:val="21"/>
          <w:lang w:val="zh-CN"/>
        </w:rPr>
      </w:pPr>
      <w:r>
        <w:rPr>
          <w:rFonts w:hint="eastAsia" w:ascii="宋体" w:hAnsi="宋体"/>
          <w:bCs/>
          <w:color w:val="auto"/>
          <w:szCs w:val="21"/>
          <w:lang w:val="en-US" w:eastAsia="zh-CN"/>
        </w:rPr>
        <w:t>e</w:t>
      </w:r>
      <w:r>
        <w:rPr>
          <w:rFonts w:hint="eastAsia" w:ascii="宋体" w:hAnsi="宋体"/>
          <w:bCs/>
          <w:color w:val="auto"/>
          <w:szCs w:val="21"/>
          <w:lang w:val="en-GB"/>
        </w:rPr>
        <w:t>、小型和微型企业不包括民办非企业单位。</w:t>
      </w:r>
    </w:p>
    <w:p>
      <w:pPr>
        <w:pStyle w:val="19"/>
        <w:spacing w:line="360" w:lineRule="auto"/>
        <w:ind w:firstLine="211" w:firstLineChars="100"/>
        <w:contextualSpacing/>
        <w:jc w:val="both"/>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7</w:t>
      </w:r>
      <w:r>
        <w:rPr>
          <w:rFonts w:hint="eastAsia" w:cs="仿宋_GB2312" w:asciiTheme="minorEastAsia" w:hAnsiTheme="minorEastAsia" w:eastAsiaTheme="minorEastAsia"/>
          <w:b/>
          <w:color w:val="auto"/>
          <w:sz w:val="21"/>
          <w:szCs w:val="21"/>
          <w:lang w:val="zh-CN"/>
        </w:rPr>
        <w:t>）</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t>（</w:t>
      </w:r>
      <w:r>
        <w:rPr>
          <w:rFonts w:hint="eastAsia" w:cs="仿宋_GB2312" w:asciiTheme="minorEastAsia" w:hAnsiTheme="minorEastAsia"/>
          <w:b/>
          <w:bCs/>
          <w:color w:val="auto"/>
          <w:szCs w:val="21"/>
          <w:lang w:val="en-US" w:eastAsia="zh-CN"/>
        </w:rPr>
        <w:t>8</w:t>
      </w:r>
      <w:r>
        <w:rPr>
          <w:rFonts w:hint="eastAsia" w:cs="仿宋_GB2312" w:asciiTheme="minorEastAsia" w:hAnsiTheme="minorEastAsia"/>
          <w:b/>
          <w:bCs/>
          <w:color w:val="auto"/>
          <w:szCs w:val="21"/>
          <w:lang w:val="zh-CN"/>
        </w:rPr>
        <w:t>）按照《</w:t>
      </w:r>
      <w:r>
        <w:rPr>
          <w:rFonts w:hint="eastAsia" w:cs="仿宋_GB2312" w:asciiTheme="minorEastAsia" w:hAnsiTheme="minorEastAsia"/>
          <w:color w:val="auto"/>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9</w:t>
      </w:r>
      <w:r>
        <w:rPr>
          <w:rFonts w:hint="eastAsia" w:cs="仿宋_GB2312" w:asciiTheme="minorEastAsia" w:hAnsiTheme="minorEastAsia"/>
          <w:b/>
          <w:color w:val="auto"/>
          <w:szCs w:val="21"/>
          <w:lang w:val="zh-CN"/>
        </w:rPr>
        <w:t>）</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eastAsiaTheme="minorEastAsia"/>
          <w:color w:val="auto"/>
          <w:lang w:val="en-US" w:eastAsia="zh-CN"/>
        </w:rPr>
      </w:pPr>
      <w:r>
        <w:rPr>
          <w:rFonts w:cs="仿宋_GB2312" w:asciiTheme="minorEastAsia" w:hAnsiTheme="minorEastAsia"/>
          <w:bCs/>
          <w:color w:val="auto"/>
          <w:szCs w:val="21"/>
          <w:lang w:val="zh-CN"/>
        </w:rPr>
        <w:t>确定中标候</w:t>
      </w:r>
      <w:r>
        <w:rPr>
          <w:rFonts w:cs="仿宋_GB2312" w:asciiTheme="minorEastAsia" w:hAnsiTheme="minorEastAsia"/>
          <w:bCs/>
          <w:color w:val="auto"/>
          <w:szCs w:val="21"/>
          <w:lang w:val="zh-CN"/>
        </w:rPr>
        <w:t>选人名单，以及根据采购人委托直接确定中标人</w:t>
      </w:r>
      <w:r>
        <w:rPr>
          <w:rFonts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pStyle w:val="2"/>
        <w:numPr>
          <w:ilvl w:val="0"/>
          <w:numId w:val="0"/>
        </w:numPr>
        <w:ind w:left="288" w:leftChars="0"/>
        <w:rPr>
          <w:rFonts w:hint="eastAsia"/>
          <w:color w:val="auto"/>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pStyle w:val="88"/>
        <w:keepNext/>
        <w:keepLines/>
        <w:widowControl w:val="0"/>
        <w:shd w:val="clear" w:color="auto" w:fill="auto"/>
        <w:bidi w:val="0"/>
        <w:spacing w:before="0" w:after="540" w:line="240" w:lineRule="auto"/>
        <w:ind w:left="0" w:right="0" w:firstLine="0"/>
        <w:jc w:val="center"/>
        <w:rPr>
          <w:color w:val="auto"/>
        </w:rPr>
      </w:pPr>
      <w:bookmarkStart w:id="3" w:name="bookmark61"/>
      <w:bookmarkStart w:id="4" w:name="bookmark59"/>
      <w:bookmarkStart w:id="5" w:name="bookmark60"/>
      <w:r>
        <w:rPr>
          <w:color w:val="auto"/>
          <w:spacing w:val="0"/>
          <w:w w:val="100"/>
          <w:position w:val="0"/>
        </w:rPr>
        <w:t>政府采购服务合同（范本）</w:t>
      </w:r>
      <w:bookmarkEnd w:id="3"/>
      <w:bookmarkEnd w:id="4"/>
      <w:bookmarkEnd w:id="5"/>
    </w:p>
    <w:p>
      <w:pPr>
        <w:pStyle w:val="89"/>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89"/>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89"/>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89"/>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9"/>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89"/>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9"/>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（项目名称及项目编号）</w:t>
      </w:r>
      <w:r>
        <w:rPr>
          <w:color w:val="auto"/>
          <w:spacing w:val="0"/>
          <w:w w:val="100"/>
          <w:position w:val="0"/>
          <w:lang w:val="en-US" w:eastAsia="en-US" w:bidi="en-US"/>
        </w:rPr>
        <w:t>"</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中标人，按照《中华人民共和国民法典》、《中华人民共和国政府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89"/>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89"/>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89"/>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89"/>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89"/>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89"/>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89"/>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pStyle w:val="89"/>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89"/>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6" w:name="bookmark62"/>
      <w:r>
        <w:rPr>
          <w:rFonts w:ascii="Times New Roman" w:hAnsi="Times New Roman" w:eastAsia="Times New Roman" w:cs="Times New Roman"/>
          <w:color w:val="auto"/>
          <w:spacing w:val="0"/>
          <w:w w:val="100"/>
          <w:position w:val="0"/>
        </w:rPr>
        <w:t>1</w:t>
      </w:r>
      <w:bookmarkEnd w:id="6"/>
      <w:r>
        <w:rPr>
          <w:color w:val="auto"/>
          <w:spacing w:val="0"/>
          <w:w w:val="100"/>
          <w:position w:val="0"/>
        </w:rPr>
        <w:t>、</w:t>
      </w:r>
      <w:r>
        <w:rPr>
          <w:color w:val="auto"/>
          <w:spacing w:val="0"/>
          <w:w w:val="100"/>
          <w:position w:val="0"/>
        </w:rPr>
        <w:tab/>
      </w:r>
      <w:r>
        <w:rPr>
          <w:color w:val="auto"/>
          <w:spacing w:val="0"/>
          <w:w w:val="100"/>
          <w:position w:val="0"/>
        </w:rPr>
        <w:t>交付日期：</w:t>
      </w:r>
    </w:p>
    <w:p>
      <w:pPr>
        <w:pStyle w:val="89"/>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7" w:name="bookmark63"/>
      <w:r>
        <w:rPr>
          <w:rFonts w:ascii="Times New Roman" w:hAnsi="Times New Roman" w:eastAsia="Times New Roman" w:cs="Times New Roman"/>
          <w:color w:val="auto"/>
          <w:spacing w:val="0"/>
          <w:w w:val="100"/>
          <w:position w:val="0"/>
        </w:rPr>
        <w:t>2</w:t>
      </w:r>
      <w:bookmarkEnd w:id="7"/>
      <w:r>
        <w:rPr>
          <w:color w:val="auto"/>
          <w:spacing w:val="0"/>
          <w:w w:val="100"/>
          <w:position w:val="0"/>
        </w:rPr>
        <w:t>、</w:t>
      </w:r>
      <w:r>
        <w:rPr>
          <w:color w:val="auto"/>
          <w:spacing w:val="0"/>
          <w:w w:val="100"/>
          <w:position w:val="0"/>
        </w:rPr>
        <w:tab/>
      </w:r>
      <w:r>
        <w:rPr>
          <w:color w:val="auto"/>
          <w:spacing w:val="0"/>
          <w:w w:val="100"/>
          <w:position w:val="0"/>
        </w:rPr>
        <w:t>交付地点:</w:t>
      </w:r>
    </w:p>
    <w:p>
      <w:pPr>
        <w:pStyle w:val="89"/>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89"/>
        <w:keepNext w:val="0"/>
        <w:keepLines w:val="0"/>
        <w:widowControl w:val="0"/>
        <w:numPr>
          <w:ilvl w:val="0"/>
          <w:numId w:val="11"/>
        </w:numPr>
        <w:shd w:val="clear" w:color="auto" w:fill="auto"/>
        <w:bidi w:val="0"/>
        <w:spacing w:before="0" w:after="80" w:line="391" w:lineRule="exact"/>
        <w:ind w:left="0" w:right="0" w:firstLine="500"/>
        <w:jc w:val="both"/>
        <w:rPr>
          <w:color w:val="auto"/>
          <w:spacing w:val="0"/>
          <w:w w:val="100"/>
          <w:position w:val="0"/>
        </w:rPr>
        <w:sectPr>
          <w:footerReference r:id="rId4"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89"/>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89"/>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8" w:name="bookmark64"/>
      <w:r>
        <w:rPr>
          <w:rFonts w:ascii="Times New Roman" w:hAnsi="Times New Roman" w:eastAsia="Times New Roman" w:cs="Times New Roman"/>
          <w:color w:val="auto"/>
          <w:spacing w:val="0"/>
          <w:w w:val="100"/>
          <w:position w:val="0"/>
        </w:rPr>
        <w:t>2</w:t>
      </w:r>
      <w:bookmarkEnd w:id="8"/>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89"/>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9" w:name="bookmark65"/>
      <w:r>
        <w:rPr>
          <w:rFonts w:ascii="Times New Roman" w:hAnsi="Times New Roman" w:eastAsia="Times New Roman" w:cs="Times New Roman"/>
          <w:color w:val="auto"/>
          <w:spacing w:val="0"/>
          <w:w w:val="100"/>
          <w:position w:val="0"/>
        </w:rPr>
        <w:t>3</w:t>
      </w:r>
      <w:bookmarkEnd w:id="9"/>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89"/>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0" w:name="bookmark66"/>
      <w:r>
        <w:rPr>
          <w:rFonts w:ascii="Times New Roman" w:hAnsi="Times New Roman" w:eastAsia="Times New Roman" w:cs="Times New Roman"/>
          <w:color w:val="auto"/>
          <w:spacing w:val="0"/>
          <w:w w:val="100"/>
          <w:position w:val="0"/>
        </w:rPr>
        <w:t>4</w:t>
      </w:r>
      <w:bookmarkEnd w:id="10"/>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p>
    <w:p>
      <w:pPr>
        <w:pStyle w:val="89"/>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89"/>
        <w:keepNext w:val="0"/>
        <w:keepLines w:val="0"/>
        <w:widowControl w:val="0"/>
        <w:numPr>
          <w:ilvl w:val="0"/>
          <w:numId w:val="12"/>
        </w:numPr>
        <w:shd w:val="clear" w:color="auto" w:fill="auto"/>
        <w:tabs>
          <w:tab w:val="left" w:pos="819"/>
        </w:tabs>
        <w:bidi w:val="0"/>
        <w:spacing w:before="0" w:after="0"/>
        <w:ind w:left="0" w:right="0" w:firstLine="480"/>
        <w:jc w:val="both"/>
        <w:rPr>
          <w:color w:val="auto"/>
        </w:rPr>
      </w:pPr>
      <w:bookmarkStart w:id="11" w:name="bookmark67"/>
      <w:bookmarkEnd w:id="11"/>
      <w:r>
        <w:rPr>
          <w:color w:val="auto"/>
          <w:spacing w:val="0"/>
          <w:w w:val="100"/>
          <w:position w:val="0"/>
        </w:rPr>
        <w:t>乙方保证对其出售的标的物享有合法的权利；</w:t>
      </w:r>
    </w:p>
    <w:p>
      <w:pPr>
        <w:pStyle w:val="89"/>
        <w:keepNext w:val="0"/>
        <w:keepLines w:val="0"/>
        <w:widowControl w:val="0"/>
        <w:numPr>
          <w:ilvl w:val="0"/>
          <w:numId w:val="12"/>
        </w:numPr>
        <w:shd w:val="clear" w:color="auto" w:fill="auto"/>
        <w:tabs>
          <w:tab w:val="left" w:pos="824"/>
        </w:tabs>
        <w:bidi w:val="0"/>
        <w:spacing w:before="0" w:after="0" w:line="400" w:lineRule="exact"/>
        <w:ind w:left="0" w:right="0" w:firstLine="480"/>
        <w:jc w:val="both"/>
        <w:rPr>
          <w:color w:val="auto"/>
        </w:rPr>
      </w:pPr>
      <w:bookmarkStart w:id="12" w:name="bookmark68"/>
      <w:bookmarkEnd w:id="12"/>
      <w:r>
        <w:rPr>
          <w:color w:val="auto"/>
          <w:spacing w:val="0"/>
          <w:w w:val="100"/>
          <w:position w:val="0"/>
        </w:rPr>
        <w:t>乙方应保证在其出售的标的物上不存在任何未曾向甲方透露的担保物权，如抵押权、质押权、留置权等；</w:t>
      </w:r>
    </w:p>
    <w:p>
      <w:pPr>
        <w:pStyle w:val="89"/>
        <w:keepNext w:val="0"/>
        <w:keepLines w:val="0"/>
        <w:widowControl w:val="0"/>
        <w:numPr>
          <w:ilvl w:val="0"/>
          <w:numId w:val="12"/>
        </w:numPr>
        <w:shd w:val="clear" w:color="auto" w:fill="auto"/>
        <w:tabs>
          <w:tab w:val="left" w:pos="819"/>
        </w:tabs>
        <w:bidi w:val="0"/>
        <w:spacing w:before="0" w:after="140" w:line="400" w:lineRule="exact"/>
        <w:ind w:left="0" w:right="0" w:firstLine="480"/>
        <w:jc w:val="both"/>
        <w:rPr>
          <w:color w:val="auto"/>
        </w:rPr>
      </w:pPr>
      <w:bookmarkStart w:id="13" w:name="bookmark69"/>
      <w:bookmarkEnd w:id="13"/>
      <w:r>
        <w:rPr>
          <w:color w:val="auto"/>
          <w:spacing w:val="0"/>
          <w:w w:val="100"/>
          <w:position w:val="0"/>
        </w:rPr>
        <w:t>乙方应保证其所出售的标的物没有侵害任何第三人的知识产权和商业秘密等权利；</w:t>
      </w:r>
    </w:p>
    <w:p>
      <w:pPr>
        <w:pStyle w:val="89"/>
        <w:keepNext w:val="0"/>
        <w:keepLines w:val="0"/>
        <w:widowControl w:val="0"/>
        <w:numPr>
          <w:ilvl w:val="0"/>
          <w:numId w:val="12"/>
        </w:numPr>
        <w:shd w:val="clear" w:color="auto" w:fill="auto"/>
        <w:tabs>
          <w:tab w:val="left" w:pos="834"/>
        </w:tabs>
        <w:bidi w:val="0"/>
        <w:spacing w:before="0" w:after="0"/>
        <w:ind w:left="0" w:right="0" w:firstLine="480"/>
        <w:jc w:val="both"/>
        <w:rPr>
          <w:color w:val="auto"/>
        </w:rPr>
      </w:pPr>
      <w:bookmarkStart w:id="14" w:name="bookmark70"/>
      <w:bookmarkEnd w:id="14"/>
      <w:r>
        <w:rPr>
          <w:color w:val="auto"/>
          <w:spacing w:val="0"/>
          <w:w w:val="100"/>
          <w:position w:val="0"/>
        </w:rPr>
        <w:t>如甲方使用该标的物构成上述侵权的，则由乙方承担全部责任。</w:t>
      </w:r>
    </w:p>
    <w:p>
      <w:pPr>
        <w:pStyle w:val="89"/>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89"/>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color w:val="auto"/>
          <w:spacing w:val="0"/>
          <w:w w:val="100"/>
          <w:position w:val="0"/>
          <w:lang w:eastAsia="zh-CN"/>
        </w:rPr>
        <w:t>权</w:t>
      </w:r>
      <w:r>
        <w:rPr>
          <w:color w:val="auto"/>
          <w:spacing w:val="0"/>
          <w:w w:val="100"/>
          <w:position w:val="0"/>
        </w:rPr>
        <w:t>瑕疵。</w:t>
      </w:r>
    </w:p>
    <w:p>
      <w:pPr>
        <w:pStyle w:val="89"/>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9"/>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89"/>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5" w:name="bookmark71"/>
      <w:r>
        <w:rPr>
          <w:rFonts w:ascii="Times New Roman" w:hAnsi="Times New Roman" w:eastAsia="Times New Roman" w:cs="Times New Roman"/>
          <w:color w:val="auto"/>
          <w:spacing w:val="0"/>
          <w:w w:val="100"/>
          <w:position w:val="0"/>
        </w:rPr>
        <w:t>1</w:t>
      </w:r>
      <w:bookmarkEnd w:id="15"/>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89"/>
        <w:keepNext w:val="0"/>
        <w:keepLines w:val="0"/>
        <w:widowControl w:val="0"/>
        <w:shd w:val="clear" w:color="auto" w:fill="auto"/>
        <w:tabs>
          <w:tab w:val="left" w:pos="872"/>
        </w:tabs>
        <w:bidi w:val="0"/>
        <w:spacing w:before="0" w:after="0"/>
        <w:ind w:left="0" w:right="0" w:firstLine="480"/>
        <w:jc w:val="both"/>
        <w:rPr>
          <w:color w:val="auto"/>
        </w:rPr>
      </w:pPr>
      <w:bookmarkStart w:id="16" w:name="bookmark72"/>
      <w:r>
        <w:rPr>
          <w:rFonts w:ascii="Times New Roman" w:hAnsi="Times New Roman" w:eastAsia="Times New Roman" w:cs="Times New Roman"/>
          <w:color w:val="auto"/>
          <w:spacing w:val="0"/>
          <w:w w:val="100"/>
          <w:position w:val="0"/>
        </w:rPr>
        <w:t>2</w:t>
      </w:r>
      <w:bookmarkEnd w:id="16"/>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89"/>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17" w:name="bookmark73"/>
      <w:r>
        <w:rPr>
          <w:rFonts w:ascii="Times New Roman" w:hAnsi="Times New Roman" w:eastAsia="Times New Roman" w:cs="Times New Roman"/>
          <w:color w:val="auto"/>
          <w:spacing w:val="0"/>
          <w:w w:val="100"/>
          <w:position w:val="0"/>
        </w:rPr>
        <w:t>3</w:t>
      </w:r>
      <w:bookmarkEnd w:id="17"/>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89"/>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89"/>
        <w:keepNext w:val="0"/>
        <w:keepLines w:val="0"/>
        <w:widowControl w:val="0"/>
        <w:shd w:val="clear" w:color="auto" w:fill="auto"/>
        <w:tabs>
          <w:tab w:val="left" w:pos="842"/>
        </w:tabs>
        <w:bidi w:val="0"/>
        <w:spacing w:before="0" w:after="0"/>
        <w:ind w:left="0" w:right="0" w:firstLine="460"/>
        <w:jc w:val="both"/>
        <w:rPr>
          <w:color w:val="auto"/>
        </w:rPr>
      </w:pPr>
      <w:bookmarkStart w:id="18" w:name="bookmark74"/>
      <w:r>
        <w:rPr>
          <w:rFonts w:ascii="Times New Roman" w:hAnsi="Times New Roman" w:eastAsia="Times New Roman" w:cs="Times New Roman"/>
          <w:color w:val="auto"/>
          <w:spacing w:val="0"/>
          <w:w w:val="100"/>
          <w:position w:val="0"/>
        </w:rPr>
        <w:t>1</w:t>
      </w:r>
      <w:bookmarkEnd w:id="18"/>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89"/>
        <w:keepNext w:val="0"/>
        <w:keepLines w:val="0"/>
        <w:widowControl w:val="0"/>
        <w:shd w:val="clear" w:color="auto" w:fill="auto"/>
        <w:tabs>
          <w:tab w:val="left" w:pos="392"/>
        </w:tabs>
        <w:bidi w:val="0"/>
        <w:spacing w:before="0" w:after="160"/>
        <w:ind w:left="0" w:right="0" w:firstLine="460"/>
        <w:jc w:val="both"/>
        <w:rPr>
          <w:color w:val="auto"/>
        </w:rPr>
      </w:pPr>
      <w:bookmarkStart w:id="19" w:name="bookmark75"/>
      <w:r>
        <w:rPr>
          <w:rFonts w:ascii="Times New Roman" w:hAnsi="Times New Roman" w:eastAsia="Times New Roman" w:cs="Times New Roman"/>
          <w:color w:val="auto"/>
          <w:spacing w:val="0"/>
          <w:w w:val="100"/>
          <w:position w:val="0"/>
        </w:rPr>
        <w:t>2</w:t>
      </w:r>
      <w:bookmarkEnd w:id="19"/>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89"/>
        <w:keepNext w:val="0"/>
        <w:keepLines w:val="0"/>
        <w:widowControl w:val="0"/>
        <w:shd w:val="clear" w:color="auto" w:fill="auto"/>
        <w:bidi w:val="0"/>
        <w:spacing w:before="0" w:after="0" w:line="382" w:lineRule="auto"/>
        <w:ind w:left="0" w:right="0" w:firstLine="480"/>
        <w:jc w:val="both"/>
        <w:rPr>
          <w:color w:val="auto"/>
        </w:rPr>
      </w:pPr>
      <w:bookmarkStart w:id="20" w:name="bookmark76"/>
      <w:r>
        <w:rPr>
          <w:rFonts w:ascii="Times New Roman" w:hAnsi="Times New Roman" w:eastAsia="Times New Roman" w:cs="Times New Roman"/>
          <w:color w:val="auto"/>
          <w:spacing w:val="0"/>
          <w:w w:val="100"/>
          <w:position w:val="0"/>
        </w:rPr>
        <w:t>3</w:t>
      </w:r>
      <w:bookmarkEnd w:id="20"/>
      <w:r>
        <w:rPr>
          <w:color w:val="auto"/>
          <w:spacing w:val="0"/>
          <w:w w:val="100"/>
          <w:position w:val="0"/>
        </w:rPr>
        <w:t>、付款方式</w:t>
      </w:r>
    </w:p>
    <w:p>
      <w:pPr>
        <w:pStyle w:val="89"/>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p>
    <w:p>
      <w:pPr>
        <w:pStyle w:val="89"/>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89"/>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根据许昌市优化政府采购营商环境要求，项目不收取履约保证金。</w:t>
      </w:r>
    </w:p>
    <w:p>
      <w:pPr>
        <w:pStyle w:val="89"/>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89"/>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1" w:name="bookmark77"/>
      <w:r>
        <w:rPr>
          <w:rFonts w:ascii="Times New Roman" w:hAnsi="Times New Roman" w:eastAsia="Times New Roman" w:cs="Times New Roman"/>
          <w:color w:val="auto"/>
          <w:spacing w:val="0"/>
          <w:w w:val="100"/>
          <w:position w:val="0"/>
        </w:rPr>
        <w:t>1</w:t>
      </w:r>
      <w:bookmarkEnd w:id="21"/>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89"/>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2" w:name="bookmark78"/>
      <w:r>
        <w:rPr>
          <w:rFonts w:ascii="Times New Roman" w:hAnsi="Times New Roman" w:eastAsia="Times New Roman" w:cs="Times New Roman"/>
          <w:color w:val="auto"/>
          <w:spacing w:val="0"/>
          <w:w w:val="100"/>
          <w:position w:val="0"/>
        </w:rPr>
        <w:t>2</w:t>
      </w:r>
      <w:bookmarkEnd w:id="22"/>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89"/>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3" w:name="bookmark79"/>
      <w:r>
        <w:rPr>
          <w:rFonts w:ascii="Times New Roman" w:hAnsi="Times New Roman" w:eastAsia="Times New Roman" w:cs="Times New Roman"/>
          <w:color w:val="auto"/>
          <w:spacing w:val="0"/>
          <w:w w:val="100"/>
          <w:position w:val="0"/>
        </w:rPr>
        <w:t>3</w:t>
      </w:r>
      <w:bookmarkEnd w:id="23"/>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89"/>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4" w:name="bookmark80"/>
      <w:r>
        <w:rPr>
          <w:rFonts w:ascii="Times New Roman" w:hAnsi="Times New Roman" w:eastAsia="Times New Roman" w:cs="Times New Roman"/>
          <w:color w:val="auto"/>
          <w:spacing w:val="0"/>
          <w:w w:val="100"/>
          <w:position w:val="0"/>
        </w:rPr>
        <w:t>4</w:t>
      </w:r>
      <w:bookmarkEnd w:id="24"/>
      <w:r>
        <w:rPr>
          <w:color w:val="auto"/>
          <w:spacing w:val="0"/>
          <w:w w:val="100"/>
          <w:position w:val="0"/>
        </w:rPr>
        <w:t>、</w:t>
      </w:r>
      <w:r>
        <w:rPr>
          <w:color w:val="auto"/>
          <w:spacing w:val="0"/>
          <w:w w:val="100"/>
          <w:position w:val="0"/>
        </w:rPr>
        <w:tab/>
      </w:r>
      <w:r>
        <w:rPr>
          <w:color w:val="auto"/>
          <w:spacing w:val="0"/>
          <w:w w:val="100"/>
          <w:position w:val="0"/>
        </w:rPr>
        <w:t>服务范围：负责招标文件所涉及到的所有服务。</w:t>
      </w:r>
    </w:p>
    <w:p>
      <w:pPr>
        <w:pStyle w:val="89"/>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89"/>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5" w:name="bookmark81"/>
      <w:r>
        <w:rPr>
          <w:rFonts w:ascii="Times New Roman" w:hAnsi="Times New Roman" w:eastAsia="Times New Roman" w:cs="Times New Roman"/>
          <w:color w:val="auto"/>
          <w:spacing w:val="0"/>
          <w:w w:val="100"/>
          <w:position w:val="0"/>
        </w:rPr>
        <w:t>1</w:t>
      </w:r>
      <w:bookmarkEnd w:id="25"/>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9"/>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26" w:name="bookmark82"/>
      <w:r>
        <w:rPr>
          <w:rFonts w:ascii="Times New Roman" w:hAnsi="Times New Roman" w:eastAsia="Times New Roman" w:cs="Times New Roman"/>
          <w:color w:val="auto"/>
          <w:spacing w:val="0"/>
          <w:w w:val="100"/>
          <w:position w:val="0"/>
        </w:rPr>
        <w:t>2</w:t>
      </w:r>
      <w:bookmarkEnd w:id="26"/>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89"/>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89"/>
        <w:keepNext w:val="0"/>
        <w:keepLines w:val="0"/>
        <w:widowControl w:val="0"/>
        <w:shd w:val="clear" w:color="auto" w:fill="auto"/>
        <w:tabs>
          <w:tab w:val="left" w:pos="853"/>
        </w:tabs>
        <w:bidi w:val="0"/>
        <w:spacing w:before="0" w:after="0"/>
        <w:ind w:left="0" w:right="0" w:firstLine="480"/>
        <w:jc w:val="both"/>
        <w:rPr>
          <w:color w:val="auto"/>
        </w:rPr>
      </w:pPr>
      <w:bookmarkStart w:id="27" w:name="bookmark83"/>
      <w:r>
        <w:rPr>
          <w:rFonts w:ascii="Times New Roman" w:hAnsi="Times New Roman" w:eastAsia="Times New Roman" w:cs="Times New Roman"/>
          <w:color w:val="auto"/>
          <w:spacing w:val="0"/>
          <w:w w:val="100"/>
          <w:position w:val="0"/>
        </w:rPr>
        <w:t>1</w:t>
      </w:r>
      <w:bookmarkEnd w:id="27"/>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8" w:name="bookmark84"/>
      <w:r>
        <w:rPr>
          <w:rFonts w:ascii="Times New Roman" w:hAnsi="Times New Roman" w:eastAsia="Times New Roman" w:cs="Times New Roman"/>
          <w:color w:val="auto"/>
          <w:spacing w:val="0"/>
          <w:w w:val="100"/>
          <w:position w:val="0"/>
        </w:rPr>
        <w:t>2</w:t>
      </w:r>
      <w:bookmarkEnd w:id="28"/>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9" w:name="bookmark85"/>
      <w:r>
        <w:rPr>
          <w:rFonts w:ascii="Times New Roman" w:hAnsi="Times New Roman" w:eastAsia="Times New Roman" w:cs="Times New Roman"/>
          <w:color w:val="auto"/>
          <w:spacing w:val="0"/>
          <w:w w:val="100"/>
          <w:position w:val="0"/>
        </w:rPr>
        <w:t>3</w:t>
      </w:r>
      <w:bookmarkEnd w:id="29"/>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89"/>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89"/>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0" w:name="bookmark86"/>
      <w:r>
        <w:rPr>
          <w:rFonts w:ascii="Times New Roman" w:hAnsi="Times New Roman" w:eastAsia="Times New Roman" w:cs="Times New Roman"/>
          <w:color w:val="auto"/>
          <w:spacing w:val="0"/>
          <w:w w:val="100"/>
          <w:position w:val="0"/>
        </w:rPr>
        <w:t>1</w:t>
      </w:r>
      <w:bookmarkEnd w:id="30"/>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89"/>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1" w:name="bookmark87"/>
      <w:r>
        <w:rPr>
          <w:rFonts w:ascii="Times New Roman" w:hAnsi="Times New Roman" w:eastAsia="Times New Roman" w:cs="Times New Roman"/>
          <w:color w:val="auto"/>
          <w:spacing w:val="0"/>
          <w:w w:val="100"/>
          <w:position w:val="0"/>
        </w:rPr>
        <w:t>2</w:t>
      </w:r>
      <w:bookmarkEnd w:id="31"/>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89"/>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2" w:name="bookmark88"/>
      <w:r>
        <w:rPr>
          <w:rFonts w:ascii="Times New Roman" w:hAnsi="Times New Roman" w:eastAsia="Times New Roman" w:cs="Times New Roman"/>
          <w:color w:val="auto"/>
          <w:spacing w:val="0"/>
          <w:w w:val="100"/>
          <w:position w:val="0"/>
        </w:rPr>
        <w:t>3</w:t>
      </w:r>
      <w:bookmarkEnd w:id="32"/>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89"/>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89"/>
        <w:keepNext w:val="0"/>
        <w:keepLines w:val="0"/>
        <w:widowControl w:val="0"/>
        <w:shd w:val="clear" w:color="auto" w:fill="auto"/>
        <w:bidi w:val="0"/>
        <w:spacing w:before="0" w:after="0" w:line="400" w:lineRule="exact"/>
        <w:ind w:left="0" w:right="0" w:firstLine="480"/>
        <w:jc w:val="both"/>
        <w:rPr>
          <w:color w:val="auto"/>
        </w:rPr>
      </w:pPr>
      <w:bookmarkStart w:id="33" w:name="bookmark89"/>
      <w:r>
        <w:rPr>
          <w:rFonts w:ascii="Times New Roman" w:hAnsi="Times New Roman" w:eastAsia="Times New Roman" w:cs="Times New Roman"/>
          <w:color w:val="auto"/>
          <w:spacing w:val="0"/>
          <w:w w:val="100"/>
          <w:position w:val="0"/>
        </w:rPr>
        <w:t>1</w:t>
      </w:r>
      <w:bookmarkEnd w:id="33"/>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4" w:name="bookmark90"/>
      <w:r>
        <w:rPr>
          <w:rFonts w:ascii="Times New Roman" w:hAnsi="Times New Roman" w:eastAsia="Times New Roman" w:cs="Times New Roman"/>
          <w:color w:val="auto"/>
          <w:spacing w:val="0"/>
          <w:w w:val="100"/>
          <w:position w:val="0"/>
          <w:lang w:val="zh-CN" w:eastAsia="zh-CN" w:bidi="zh-CN"/>
        </w:rPr>
        <w:t>2</w:t>
      </w:r>
      <w:bookmarkEnd w:id="34"/>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5" w:name="bookmark91"/>
      <w:r>
        <w:rPr>
          <w:rFonts w:ascii="Times New Roman" w:hAnsi="Times New Roman" w:eastAsia="Times New Roman" w:cs="Times New Roman"/>
          <w:color w:val="auto"/>
          <w:spacing w:val="0"/>
          <w:w w:val="100"/>
          <w:position w:val="0"/>
        </w:rPr>
        <w:t>3</w:t>
      </w:r>
      <w:bookmarkEnd w:id="35"/>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rFonts w:ascii="Times New Roman" w:hAnsi="Times New Roman" w:eastAsia="Times New Roman" w:cs="Times New Roman"/>
          <w:color w:val="auto"/>
          <w:spacing w:val="0"/>
          <w:w w:val="100"/>
          <w:position w:val="0"/>
        </w:rPr>
        <w:t>,</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89"/>
        <w:keepNext w:val="0"/>
        <w:keepLines w:val="0"/>
        <w:widowControl w:val="0"/>
        <w:numPr>
          <w:ilvl w:val="0"/>
          <w:numId w:val="13"/>
        </w:numPr>
        <w:shd w:val="clear" w:color="auto" w:fill="auto"/>
        <w:tabs>
          <w:tab w:val="left" w:pos="867"/>
        </w:tabs>
        <w:bidi w:val="0"/>
        <w:spacing w:before="0" w:after="140" w:line="400" w:lineRule="exact"/>
        <w:ind w:left="0" w:right="0" w:firstLine="480"/>
        <w:jc w:val="both"/>
        <w:rPr>
          <w:color w:val="auto"/>
        </w:rPr>
      </w:pPr>
      <w:bookmarkStart w:id="36" w:name="bookmark92"/>
      <w:bookmarkEnd w:id="36"/>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89"/>
        <w:keepNext w:val="0"/>
        <w:keepLines w:val="0"/>
        <w:widowControl w:val="0"/>
        <w:numPr>
          <w:ilvl w:val="0"/>
          <w:numId w:val="13"/>
        </w:numPr>
        <w:shd w:val="clear" w:color="auto" w:fill="auto"/>
        <w:tabs>
          <w:tab w:val="left" w:pos="843"/>
          <w:tab w:val="left" w:pos="5501"/>
        </w:tabs>
        <w:bidi w:val="0"/>
        <w:spacing w:before="0" w:after="0" w:line="382" w:lineRule="auto"/>
        <w:ind w:left="0" w:right="0" w:firstLine="480"/>
        <w:jc w:val="both"/>
        <w:rPr>
          <w:color w:val="auto"/>
        </w:rPr>
      </w:pPr>
      <w:bookmarkStart w:id="37" w:name="bookmark93"/>
      <w:bookmarkEnd w:id="37"/>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89"/>
        <w:keepNext w:val="0"/>
        <w:keepLines w:val="0"/>
        <w:widowControl w:val="0"/>
        <w:numPr>
          <w:ilvl w:val="0"/>
          <w:numId w:val="13"/>
        </w:numPr>
        <w:shd w:val="clear" w:color="auto" w:fill="auto"/>
        <w:tabs>
          <w:tab w:val="left" w:pos="823"/>
          <w:tab w:val="left" w:pos="4301"/>
        </w:tabs>
        <w:bidi w:val="0"/>
        <w:spacing w:before="0" w:after="0" w:line="402" w:lineRule="exact"/>
        <w:ind w:left="0" w:right="0" w:firstLine="480"/>
        <w:jc w:val="both"/>
        <w:rPr>
          <w:color w:val="auto"/>
        </w:rPr>
      </w:pPr>
      <w:bookmarkStart w:id="38" w:name="bookmark94"/>
      <w:bookmarkEnd w:id="38"/>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89"/>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39" w:name="bookmark95"/>
      <w:r>
        <w:rPr>
          <w:rFonts w:ascii="Times New Roman" w:hAnsi="Times New Roman" w:eastAsia="Times New Roman" w:cs="Times New Roman"/>
          <w:color w:val="auto"/>
          <w:spacing w:val="0"/>
          <w:w w:val="100"/>
          <w:position w:val="0"/>
        </w:rPr>
        <w:t>7</w:t>
      </w:r>
      <w:bookmarkEnd w:id="39"/>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p>
    <w:p>
      <w:pPr>
        <w:pStyle w:val="89"/>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89"/>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89"/>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89"/>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9"/>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89"/>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89"/>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89"/>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89"/>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0" w:name="bookmark96"/>
      <w:r>
        <w:rPr>
          <w:rFonts w:ascii="Times New Roman" w:hAnsi="Times New Roman" w:eastAsia="Times New Roman" w:cs="Times New Roman"/>
          <w:color w:val="auto"/>
          <w:spacing w:val="0"/>
          <w:w w:val="100"/>
          <w:position w:val="0"/>
        </w:rPr>
        <w:t>1</w:t>
      </w:r>
      <w:bookmarkEnd w:id="40"/>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89"/>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1" w:name="bookmark97"/>
      <w:r>
        <w:rPr>
          <w:rFonts w:ascii="Times New Roman" w:hAnsi="Times New Roman" w:eastAsia="Times New Roman" w:cs="Times New Roman"/>
          <w:color w:val="auto"/>
          <w:spacing w:val="0"/>
          <w:w w:val="100"/>
          <w:position w:val="0"/>
        </w:rPr>
        <w:t>2</w:t>
      </w:r>
      <w:bookmarkEnd w:id="41"/>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89"/>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2" w:name="bookmark98"/>
      <w:r>
        <w:rPr>
          <w:rFonts w:ascii="Times New Roman" w:hAnsi="Times New Roman" w:eastAsia="Times New Roman" w:cs="Times New Roman"/>
          <w:color w:val="auto"/>
          <w:spacing w:val="0"/>
          <w:w w:val="100"/>
          <w:position w:val="0"/>
        </w:rPr>
        <w:t>3</w:t>
      </w:r>
      <w:bookmarkEnd w:id="42"/>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p>
    <w:p>
      <w:pPr>
        <w:pStyle w:val="89"/>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89"/>
        <w:keepNext w:val="0"/>
        <w:keepLines w:val="0"/>
        <w:widowControl w:val="0"/>
        <w:shd w:val="clear" w:color="auto" w:fill="auto"/>
        <w:bidi w:val="0"/>
        <w:spacing w:before="0" w:after="0" w:line="402" w:lineRule="exact"/>
        <w:ind w:left="0" w:right="0" w:firstLine="480"/>
        <w:jc w:val="both"/>
        <w:rPr>
          <w:color w:val="auto"/>
        </w:rPr>
        <w:sectPr>
          <w:footerReference r:id="rId5" w:type="default"/>
          <w:footerReference r:id="rId6"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89"/>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89"/>
        <w:keepNext w:val="0"/>
        <w:keepLines w:val="0"/>
        <w:widowControl w:val="0"/>
        <w:numPr>
          <w:ilvl w:val="0"/>
          <w:numId w:val="14"/>
        </w:numPr>
        <w:shd w:val="clear" w:color="auto" w:fill="auto"/>
        <w:tabs>
          <w:tab w:val="left" w:pos="791"/>
        </w:tabs>
        <w:bidi w:val="0"/>
        <w:spacing w:before="0" w:after="0" w:line="399" w:lineRule="exact"/>
        <w:ind w:left="0" w:right="0" w:firstLine="460"/>
        <w:jc w:val="both"/>
        <w:rPr>
          <w:color w:val="auto"/>
        </w:rPr>
      </w:pPr>
      <w:bookmarkStart w:id="43" w:name="bookmark99"/>
      <w:bookmarkEnd w:id="43"/>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89"/>
        <w:keepNext w:val="0"/>
        <w:keepLines w:val="0"/>
        <w:widowControl w:val="0"/>
        <w:numPr>
          <w:ilvl w:val="0"/>
          <w:numId w:val="14"/>
        </w:numPr>
        <w:shd w:val="clear" w:color="auto" w:fill="auto"/>
        <w:tabs>
          <w:tab w:val="left" w:pos="800"/>
        </w:tabs>
        <w:bidi w:val="0"/>
        <w:spacing w:before="0" w:after="0" w:line="399" w:lineRule="exact"/>
        <w:ind w:left="0" w:right="0" w:firstLine="460"/>
        <w:jc w:val="both"/>
        <w:rPr>
          <w:color w:val="auto"/>
        </w:rPr>
      </w:pPr>
      <w:bookmarkStart w:id="44" w:name="bookmark100"/>
      <w:bookmarkEnd w:id="44"/>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89"/>
        <w:keepNext w:val="0"/>
        <w:keepLines w:val="0"/>
        <w:widowControl w:val="0"/>
        <w:numPr>
          <w:ilvl w:val="0"/>
          <w:numId w:val="14"/>
        </w:numPr>
        <w:shd w:val="clear" w:color="auto" w:fill="auto"/>
        <w:tabs>
          <w:tab w:val="left" w:pos="800"/>
        </w:tabs>
        <w:bidi w:val="0"/>
        <w:spacing w:before="0" w:after="0" w:line="399" w:lineRule="exact"/>
        <w:ind w:left="0" w:right="0" w:firstLine="460"/>
        <w:jc w:val="both"/>
        <w:rPr>
          <w:color w:val="auto"/>
        </w:rPr>
      </w:pPr>
      <w:bookmarkStart w:id="45" w:name="bookmark101"/>
      <w:bookmarkEnd w:id="45"/>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9"/>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89"/>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46" w:name="bookmark102"/>
      <w:r>
        <w:rPr>
          <w:rFonts w:ascii="Times New Roman" w:hAnsi="Times New Roman" w:eastAsia="Times New Roman" w:cs="Times New Roman"/>
          <w:color w:val="auto"/>
          <w:spacing w:val="0"/>
          <w:w w:val="100"/>
          <w:position w:val="0"/>
        </w:rPr>
        <w:t>1</w:t>
      </w:r>
      <w:bookmarkEnd w:id="46"/>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89"/>
        <w:keepNext w:val="0"/>
        <w:keepLines w:val="0"/>
        <w:widowControl w:val="0"/>
        <w:shd w:val="clear" w:color="auto" w:fill="auto"/>
        <w:tabs>
          <w:tab w:val="left" w:pos="828"/>
        </w:tabs>
        <w:bidi w:val="0"/>
        <w:spacing w:before="0" w:after="0"/>
        <w:ind w:left="0" w:right="0" w:firstLine="460"/>
        <w:jc w:val="both"/>
        <w:rPr>
          <w:color w:val="auto"/>
        </w:rPr>
      </w:pPr>
      <w:bookmarkStart w:id="47" w:name="bookmark103"/>
      <w:r>
        <w:rPr>
          <w:rFonts w:ascii="Times New Roman" w:hAnsi="Times New Roman" w:eastAsia="Times New Roman" w:cs="Times New Roman"/>
          <w:color w:val="auto"/>
          <w:spacing w:val="0"/>
          <w:w w:val="100"/>
          <w:position w:val="0"/>
        </w:rPr>
        <w:t>2</w:t>
      </w:r>
      <w:bookmarkEnd w:id="47"/>
      <w:r>
        <w:rPr>
          <w:color w:val="auto"/>
          <w:spacing w:val="0"/>
          <w:w w:val="100"/>
          <w:position w:val="0"/>
        </w:rPr>
        <w:t>、</w:t>
      </w:r>
      <w:r>
        <w:rPr>
          <w:color w:val="auto"/>
          <w:spacing w:val="0"/>
          <w:w w:val="100"/>
          <w:position w:val="0"/>
        </w:rPr>
        <w:tab/>
      </w:r>
      <w:r>
        <w:rPr>
          <w:color w:val="auto"/>
          <w:spacing w:val="0"/>
          <w:w w:val="100"/>
          <w:position w:val="0"/>
        </w:rPr>
        <w:t>乙方投标文件；</w:t>
      </w:r>
    </w:p>
    <w:p>
      <w:pPr>
        <w:pStyle w:val="89"/>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48" w:name="bookmark104"/>
      <w:r>
        <w:rPr>
          <w:rFonts w:ascii="Times New Roman" w:hAnsi="Times New Roman" w:eastAsia="Times New Roman" w:cs="Times New Roman"/>
          <w:color w:val="auto"/>
          <w:spacing w:val="0"/>
          <w:w w:val="100"/>
          <w:position w:val="0"/>
        </w:rPr>
        <w:t>3</w:t>
      </w:r>
      <w:bookmarkEnd w:id="48"/>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89"/>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49" w:name="bookmark105"/>
      <w:r>
        <w:rPr>
          <w:rFonts w:ascii="Times New Roman" w:hAnsi="Times New Roman" w:eastAsia="Times New Roman" w:cs="Times New Roman"/>
          <w:color w:val="auto"/>
          <w:spacing w:val="0"/>
          <w:w w:val="100"/>
          <w:position w:val="0"/>
        </w:rPr>
        <w:t>4</w:t>
      </w:r>
      <w:bookmarkEnd w:id="49"/>
      <w:r>
        <w:rPr>
          <w:color w:val="auto"/>
          <w:spacing w:val="0"/>
          <w:w w:val="100"/>
          <w:position w:val="0"/>
        </w:rPr>
        <w:t>、</w:t>
      </w:r>
      <w:r>
        <w:rPr>
          <w:color w:val="auto"/>
          <w:spacing w:val="0"/>
          <w:w w:val="100"/>
          <w:position w:val="0"/>
        </w:rPr>
        <w:tab/>
      </w:r>
      <w:r>
        <w:rPr>
          <w:color w:val="auto"/>
          <w:spacing w:val="0"/>
          <w:w w:val="100"/>
          <w:position w:val="0"/>
        </w:rPr>
        <w:t>中标人在评标过程中做出的有关澄清、说明、承诺或者补正文件；</w:t>
      </w:r>
    </w:p>
    <w:p>
      <w:pPr>
        <w:pStyle w:val="89"/>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7" w:type="default"/>
          <w:footerReference r:id="rId8"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0" w:name="bookmark106"/>
      <w:r>
        <w:rPr>
          <w:rFonts w:ascii="Times New Roman" w:hAnsi="Times New Roman" w:eastAsia="Times New Roman" w:cs="Times New Roman"/>
          <w:color w:val="auto"/>
          <w:spacing w:val="0"/>
          <w:w w:val="100"/>
          <w:position w:val="0"/>
        </w:rPr>
        <w:t>5</w:t>
      </w:r>
      <w:bookmarkEnd w:id="50"/>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89"/>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89"/>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9"/>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89"/>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9"/>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89"/>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89"/>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9"/>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89"/>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9"/>
        <w:keepNext w:val="0"/>
        <w:keepLines w:val="0"/>
        <w:widowControl w:val="0"/>
        <w:shd w:val="clear" w:color="auto" w:fill="auto"/>
        <w:bidi w:val="0"/>
        <w:spacing w:before="0" w:after="140" w:line="240" w:lineRule="auto"/>
        <w:ind w:left="0" w:right="0" w:firstLine="0"/>
        <w:jc w:val="left"/>
        <w:rPr>
          <w:color w:val="auto"/>
          <w:sz w:val="2"/>
          <w:szCs w:val="2"/>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pStyle w:val="19"/>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第八章投标文件有关格式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8"/>
        <w:rPr>
          <w:color w:val="auto"/>
          <w:lang w:val="zh-CN"/>
        </w:rPr>
      </w:pPr>
    </w:p>
    <w:p>
      <w:pPr>
        <w:pStyle w:val="29"/>
        <w:rPr>
          <w:color w:val="auto"/>
          <w:lang w:val="zh-CN"/>
        </w:rPr>
      </w:pPr>
    </w:p>
    <w:p>
      <w:pPr>
        <w:rPr>
          <w:color w:val="auto"/>
          <w:lang w:val="zh-CN"/>
        </w:rPr>
      </w:pPr>
    </w:p>
    <w:p>
      <w:pPr>
        <w:pStyle w:val="11"/>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68"/>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8</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9</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10</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zh-CN" w:eastAsia="zh-CN" w:bidi="ar-SA"/>
              </w:rPr>
            </w:pPr>
            <w:r>
              <w:rPr>
                <w:rFonts w:hint="eastAsia" w:ascii="宋体" w:hAnsi="宋体" w:cs="微软雅黑"/>
                <w:color w:val="auto"/>
                <w:szCs w:val="21"/>
              </w:rPr>
              <w:t>11</w:t>
            </w:r>
          </w:p>
        </w:tc>
        <w:tc>
          <w:tcPr>
            <w:tcW w:w="3751" w:type="dxa"/>
            <w:vAlign w:val="center"/>
          </w:tcPr>
          <w:p>
            <w:pPr>
              <w:pStyle w:val="19"/>
              <w:kinsoku w:val="0"/>
              <w:overflowPunct w:val="0"/>
              <w:autoSpaceDE w:val="0"/>
              <w:autoSpaceDN w:val="0"/>
              <w:spacing w:line="320" w:lineRule="exact"/>
              <w:rPr>
                <w:rFonts w:hint="eastAsia"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12</w:t>
            </w:r>
          </w:p>
        </w:tc>
        <w:tc>
          <w:tcPr>
            <w:tcW w:w="3751" w:type="dxa"/>
            <w:vAlign w:val="center"/>
          </w:tcPr>
          <w:p>
            <w:pPr>
              <w:pStyle w:val="19"/>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13</w:t>
            </w:r>
          </w:p>
        </w:tc>
        <w:tc>
          <w:tcPr>
            <w:tcW w:w="3751" w:type="dxa"/>
            <w:vAlign w:val="center"/>
          </w:tcPr>
          <w:p>
            <w:pPr>
              <w:pStyle w:val="19"/>
              <w:kinsoku w:val="0"/>
              <w:overflowPunct w:val="0"/>
              <w:autoSpaceDE w:val="0"/>
              <w:autoSpaceDN w:val="0"/>
              <w:spacing w:line="320" w:lineRule="exact"/>
              <w:rPr>
                <w:rFonts w:hint="eastAsia"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售后服务</w:t>
            </w:r>
            <w:r>
              <w:rPr>
                <w:rFonts w:hint="eastAsia" w:hAnsi="宋体" w:cs="微软雅黑"/>
                <w:bCs/>
                <w:color w:val="auto"/>
                <w:kern w:val="0"/>
                <w:sz w:val="21"/>
                <w:szCs w:val="21"/>
                <w:lang w:eastAsia="zh-CN"/>
              </w:rPr>
              <w:t>承诺</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14</w:t>
            </w:r>
          </w:p>
        </w:tc>
        <w:tc>
          <w:tcPr>
            <w:tcW w:w="3751" w:type="dxa"/>
            <w:vAlign w:val="center"/>
          </w:tcPr>
          <w:p>
            <w:pPr>
              <w:pStyle w:val="19"/>
              <w:kinsoku w:val="0"/>
              <w:overflowPunct w:val="0"/>
              <w:autoSpaceDE w:val="0"/>
              <w:autoSpaceDN w:val="0"/>
              <w:spacing w:line="320" w:lineRule="exact"/>
              <w:rPr>
                <w:rFonts w:hint="eastAsia"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15</w:t>
            </w:r>
          </w:p>
        </w:tc>
        <w:tc>
          <w:tcPr>
            <w:tcW w:w="3751" w:type="dxa"/>
            <w:vAlign w:val="center"/>
          </w:tcPr>
          <w:p>
            <w:pPr>
              <w:pStyle w:val="19"/>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16</w:t>
            </w:r>
          </w:p>
        </w:tc>
        <w:tc>
          <w:tcPr>
            <w:tcW w:w="3751" w:type="dxa"/>
            <w:vAlign w:val="center"/>
          </w:tcPr>
          <w:p>
            <w:pPr>
              <w:pStyle w:val="19"/>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17</w:t>
            </w:r>
          </w:p>
        </w:tc>
        <w:tc>
          <w:tcPr>
            <w:tcW w:w="3751" w:type="dxa"/>
            <w:vAlign w:val="center"/>
          </w:tcPr>
          <w:p>
            <w:pPr>
              <w:pStyle w:val="19"/>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kern w:val="2"/>
                <w:sz w:val="21"/>
                <w:szCs w:val="21"/>
                <w:lang w:val="en-US" w:eastAsia="zh-CN" w:bidi="ar-SA"/>
              </w:rPr>
            </w:pPr>
            <w:r>
              <w:rPr>
                <w:rFonts w:hint="eastAsia" w:ascii="宋体" w:hAnsi="宋体" w:cs="微软雅黑"/>
                <w:color w:val="auto"/>
                <w:szCs w:val="21"/>
                <w:lang w:val="en-US" w:eastAsia="zh-CN"/>
              </w:rPr>
              <w:t>18</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tcBorders>
              <w:bottom w:val="single" w:color="auto" w:sz="4" w:space="0"/>
            </w:tcBorders>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9"/>
        <w:spacing w:line="360" w:lineRule="auto"/>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 xml:space="preserve">项目名称：                                             </w:t>
      </w:r>
      <w:r>
        <w:rPr>
          <w:rFonts w:hint="eastAsia" w:asciiTheme="minorEastAsia" w:hAnsiTheme="minorEastAsia"/>
          <w:color w:val="auto"/>
          <w:szCs w:val="21"/>
          <w:lang w:eastAsia="zh-CN"/>
        </w:rPr>
        <w:t>单位：元</w:t>
      </w:r>
    </w:p>
    <w:tbl>
      <w:tblPr>
        <w:tblStyle w:val="30"/>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大写：</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r>
    </w:tbl>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投标人名称：</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（公章）：</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投标人法定代表人（或授权代表）签字：</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日期：</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numPr>
          <w:ilvl w:val="0"/>
          <w:numId w:val="0"/>
        </w:numPr>
        <w:ind w:left="288" w:leftChars="0"/>
        <w:rPr>
          <w:color w:val="auto"/>
          <w:lang w:val="zh-CN"/>
        </w:rPr>
      </w:pPr>
    </w:p>
    <w:p>
      <w:pPr>
        <w:pStyle w:val="28"/>
        <w:ind w:firstLine="340"/>
        <w:rPr>
          <w:color w:val="auto"/>
          <w:lang w:val="zh-CN"/>
        </w:rPr>
      </w:pPr>
    </w:p>
    <w:p>
      <w:pPr>
        <w:pStyle w:val="29"/>
        <w:ind w:firstLine="480"/>
        <w:rPr>
          <w:color w:val="auto"/>
          <w:lang w:val="zh-CN"/>
        </w:rPr>
      </w:pPr>
    </w:p>
    <w:p>
      <w:pPr>
        <w:rPr>
          <w:color w:val="auto"/>
          <w:lang w:val="zh-CN"/>
        </w:rPr>
      </w:pPr>
    </w:p>
    <w:p>
      <w:pPr>
        <w:pStyle w:val="11"/>
        <w:rPr>
          <w:color w:val="auto"/>
          <w:lang w:val="zh-CN"/>
        </w:rPr>
      </w:pPr>
    </w:p>
    <w:p>
      <w:pPr>
        <w:pStyle w:val="38"/>
        <w:rPr>
          <w:color w:val="auto"/>
          <w:lang w:val="zh-CN"/>
        </w:rPr>
      </w:pPr>
    </w:p>
    <w:p>
      <w:pPr>
        <w:pStyle w:val="38"/>
        <w:rPr>
          <w:color w:val="auto"/>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投 标 函</w:t>
      </w:r>
    </w:p>
    <w:p>
      <w:pPr>
        <w:pStyle w:val="19"/>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（采购人）</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根据贵方</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招标编号）采购的招标公告及投标邀请，</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（姓名和职务）被正式授权并代表投标人</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（投标人名称、地址）提交。</w:t>
      </w:r>
    </w:p>
    <w:p>
      <w:pPr>
        <w:pStyle w:val="19"/>
        <w:adjustRightInd w:val="0"/>
        <w:snapToGrid w:val="0"/>
        <w:spacing w:line="360" w:lineRule="auto"/>
        <w:ind w:firstLine="420" w:firstLineChars="200"/>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拟投入</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 xml:space="preserve"> (项目名称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)的项目负责人姓名：</w:t>
      </w:r>
      <w:r>
        <w:rPr>
          <w:rFonts w:hint="eastAsia" w:asciiTheme="minorEastAsia" w:hAnsiTheme="minorEastAsia" w:eastAsiaTheme="minorEastAsia"/>
          <w:color w:val="auto"/>
          <w:sz w:val="21"/>
          <w:szCs w:val="21"/>
          <w:u w:val="single"/>
        </w:rPr>
        <w:t xml:space="preserve">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我方确认收到贵方提供的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招标编号）招标文件的全部内容。</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我方已完全明白招标文件的所有条款要求，并申明如下：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一、按招标文件提供的全部货物与相关服务详见《开标一览表》。</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四、我方同意按照贵方可能提出的要求而提供与投标有关的任何其它数据、信息或资料。</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五、我方理解贵方不一定接受最低投标价或任何贵方可能收到的投标。</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七、我方在此保证所提交的所有文件和全部说明是真实的和正确的。</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九、我方具备《政府采购法》第二十二条规定的条件；承诺如下：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我方已依法缴纳了各项税费及社会保险费用，如有需要，可随时向采购人提供近三个月内的相关缴费证明，以便核查。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我方已依法建立健全的财务会计制度，如有需要，可随时向采购人提供相关证明材料，以便核查。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 参加政府采购活动前三年内，在经营活动中没有重大违法记录。</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 符合法律、行政法规规定的其他条件。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以上内容如有虚假或与事实不符的，评审委员会可将我方做无效投标处理，我方愿意承担相应的法律责任。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十一、我方对在本函及投标文件中所作的所有承诺承担法律责任。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十二、若我方中标，愿意按</w:t>
      </w:r>
      <w:r>
        <w:rPr>
          <w:rFonts w:hint="eastAsia" w:asciiTheme="minorEastAsia" w:hAnsiTheme="minorEastAsia" w:eastAsiaTheme="minorEastAsia"/>
          <w:color w:val="auto"/>
          <w:sz w:val="21"/>
          <w:szCs w:val="21"/>
          <w:lang w:eastAsia="zh-CN"/>
        </w:rPr>
        <w:t>豫招协</w:t>
      </w:r>
      <w:r>
        <w:rPr>
          <w:rFonts w:hint="eastAsia" w:asciiTheme="minorEastAsia" w:hAnsiTheme="minorEastAsia" w:eastAsiaTheme="minorEastAsia"/>
          <w:color w:val="auto"/>
          <w:sz w:val="21"/>
          <w:szCs w:val="21"/>
        </w:rPr>
        <w:t>〔20</w:t>
      </w:r>
      <w:r>
        <w:rPr>
          <w:rFonts w:hint="eastAsia" w:asciiTheme="minorEastAsia" w:hAnsiTheme="minorEastAsia" w:eastAsiaTheme="minorEastAsia"/>
          <w:color w:val="auto"/>
          <w:sz w:val="21"/>
          <w:szCs w:val="21"/>
          <w:lang w:val="en-US" w:eastAsia="zh-CN"/>
        </w:rPr>
        <w:t>23</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002</w:t>
      </w:r>
      <w:r>
        <w:rPr>
          <w:rFonts w:hint="eastAsia" w:asciiTheme="minorEastAsia" w:hAnsiTheme="minorEastAsia" w:eastAsiaTheme="minorEastAsia"/>
          <w:color w:val="auto"/>
          <w:sz w:val="21"/>
          <w:szCs w:val="21"/>
        </w:rPr>
        <w:t>规定向代理机构支付招标代理服务费。</w:t>
      </w:r>
    </w:p>
    <w:p>
      <w:pPr>
        <w:pStyle w:val="19"/>
        <w:adjustRightInd w:val="0"/>
        <w:snapToGrid w:val="0"/>
        <w:spacing w:line="360" w:lineRule="auto"/>
        <w:rPr>
          <w:rFonts w:asciiTheme="minorEastAsia" w:hAnsiTheme="minorEastAsia" w:eastAsiaTheme="minorEastAsia"/>
          <w:color w:val="auto"/>
          <w:sz w:val="21"/>
          <w:szCs w:val="21"/>
        </w:rPr>
      </w:pPr>
    </w:p>
    <w:p>
      <w:pPr>
        <w:pStyle w:val="19"/>
        <w:adjustRightInd w:val="0"/>
        <w:snapToGrid w:val="0"/>
        <w:spacing w:line="360" w:lineRule="auto"/>
        <w:rPr>
          <w:rFonts w:asciiTheme="minorEastAsia" w:hAnsiTheme="minorEastAsia" w:eastAsiaTheme="minorEastAsia"/>
          <w:color w:val="auto"/>
          <w:sz w:val="21"/>
          <w:szCs w:val="21"/>
        </w:rPr>
      </w:pP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所有与本招标有关的一切正式往来请寄：</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地    址：.  邮政编码：.</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电    话：.  传    真：.</w:t>
      </w:r>
    </w:p>
    <w:p>
      <w:pPr>
        <w:adjustRightInd w:val="0"/>
        <w:snapToGrid w:val="0"/>
        <w:spacing w:line="360" w:lineRule="auto"/>
        <w:rPr>
          <w:rFonts w:asciiTheme="minorEastAsia" w:hAnsiTheme="minorEastAsia"/>
          <w:color w:val="auto"/>
          <w:szCs w:val="21"/>
          <w:u w:val="single"/>
        </w:rPr>
      </w:pPr>
      <w:r>
        <w:rPr>
          <w:rFonts w:hint="eastAsia" w:asciiTheme="minorEastAsia" w:hAnsiTheme="minorEastAsia"/>
          <w:color w:val="auto"/>
          <w:szCs w:val="21"/>
        </w:rPr>
        <w:t>投标人代表姓名：.  职    务：.</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投标人法定代表人（或法定代表人授权代表）签字或盖章：</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投标人名称（盖章）：</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spacing w:line="480" w:lineRule="exact"/>
        <w:jc w:val="center"/>
        <w:rPr>
          <w:rFonts w:asciiTheme="majorEastAsia" w:hAnsiTheme="majorEastAsia" w:eastAsiaTheme="majorEastAsia"/>
          <w:b/>
          <w:bCs/>
          <w:color w:val="auto"/>
          <w:sz w:val="24"/>
          <w:szCs w:val="24"/>
        </w:rPr>
      </w:pPr>
    </w:p>
    <w:p>
      <w:pPr>
        <w:pStyle w:val="29"/>
        <w:ind w:firstLine="480"/>
        <w:rPr>
          <w:rFonts w:hint="eastAsia"/>
          <w:color w:val="auto"/>
        </w:rPr>
      </w:pPr>
    </w:p>
    <w:p>
      <w:pPr>
        <w:rPr>
          <w:rFonts w:hint="eastAsia"/>
          <w:color w:val="auto"/>
        </w:rPr>
      </w:pPr>
    </w:p>
    <w:p>
      <w:pPr>
        <w:pStyle w:val="28"/>
        <w:ind w:firstLine="340"/>
        <w:rPr>
          <w:rFonts w:hint="eastAsia"/>
          <w:color w:val="auto"/>
        </w:rPr>
      </w:pPr>
    </w:p>
    <w:p>
      <w:pPr>
        <w:pStyle w:val="29"/>
        <w:rPr>
          <w:rFonts w:hint="eastAsia"/>
          <w:color w:val="auto"/>
        </w:rPr>
      </w:pPr>
    </w:p>
    <w:p>
      <w:pPr>
        <w:rPr>
          <w:rFonts w:hint="eastAsia"/>
          <w:color w:val="auto"/>
        </w:rPr>
      </w:pPr>
    </w:p>
    <w:p>
      <w:pPr>
        <w:pStyle w:val="28"/>
        <w:ind w:left="0" w:leftChars="0" w:firstLine="0" w:firstLineChars="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60"/>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lang w:eastAsia="zh-CN"/>
        </w:rPr>
        <w:t>、标段</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6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pStyle w:val="28"/>
        <w:ind w:left="0" w:leftChars="0" w:firstLine="0" w:firstLineChars="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lang w:eastAsia="zh-CN"/>
        </w:rPr>
        <w:t>、标段</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cs="宋体" w:asciiTheme="minorEastAsia" w:hAnsiTheme="minorEastAsia"/>
          <w:color w:val="auto"/>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3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spacing w:line="480" w:lineRule="exact"/>
        <w:jc w:val="center"/>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 联系地址和电话: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w:t>
      </w:r>
      <w:r>
        <w:rPr>
          <w:rFonts w:cs="宋体" w:asciiTheme="minorEastAsia" w:hAnsiTheme="minorEastAsia"/>
          <w:color w:val="auto"/>
          <w:szCs w:val="21"/>
          <w:lang w:val="zh-CN"/>
        </w:rPr>
        <w:t>（电子章）: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rPr>
      </w:pPr>
      <w:r>
        <w:rPr>
          <w:rFonts w:hint="eastAsia" w:cs="Arial" w:asciiTheme="minorEastAsia" w:hAnsiTheme="minorEastAsia"/>
          <w:color w:val="auto"/>
          <w:szCs w:val="21"/>
        </w:rPr>
        <w:t>日期:     年  月  日</w:t>
      </w:r>
    </w:p>
    <w:p>
      <w:pPr>
        <w:pStyle w:val="28"/>
        <w:ind w:firstLine="340"/>
        <w:rPr>
          <w:rFonts w:cs="Arial" w:asciiTheme="minorEastAsia" w:hAnsiTheme="minorEastAsia"/>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投标</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招标</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29"/>
        <w:ind w:firstLine="480"/>
        <w:rPr>
          <w:color w:val="auto"/>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8"/>
        <w:ind w:firstLine="340"/>
        <w:rPr>
          <w:color w:val="auto"/>
          <w:lang w:val="zh-CN"/>
        </w:rPr>
      </w:pP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lang w:val="zh-CN"/>
        </w:rPr>
        <w:t>（招标编号、项目名称、标段）的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日期：      年    月    日</w:t>
      </w:r>
    </w:p>
    <w:p>
      <w:pPr>
        <w:autoSpaceDE w:val="0"/>
        <w:autoSpaceDN w:val="0"/>
        <w:adjustRightInd w:val="0"/>
        <w:spacing w:line="360" w:lineRule="auto"/>
        <w:jc w:val="center"/>
        <w:rPr>
          <w:rFonts w:ascii="宋体" w:cs="宋体"/>
          <w:color w:val="auto"/>
          <w:szCs w:val="21"/>
          <w:lang w:val="zh-CN"/>
        </w:rPr>
      </w:pPr>
    </w:p>
    <w:p>
      <w:pPr>
        <w:pStyle w:val="11"/>
        <w:rPr>
          <w:color w:val="auto"/>
          <w:lang w:val="zh-CN"/>
        </w:rPr>
      </w:pPr>
    </w:p>
    <w:p>
      <w:pPr>
        <w:autoSpaceDE w:val="0"/>
        <w:autoSpaceDN w:val="0"/>
        <w:adjustRightInd w:val="0"/>
        <w:spacing w:line="360" w:lineRule="auto"/>
        <w:jc w:val="center"/>
        <w:rPr>
          <w:rFonts w:hint="eastAsia" w:cs="宋体" w:asciiTheme="minorEastAsia" w:hAnsiTheme="minorEastAsia"/>
          <w:color w:val="auto"/>
          <w:sz w:val="24"/>
          <w:szCs w:val="24"/>
          <w:lang w:val="zh-CN"/>
        </w:rPr>
      </w:pPr>
    </w:p>
    <w:p>
      <w:pPr>
        <w:pStyle w:val="28"/>
        <w:ind w:firstLine="340"/>
        <w:rPr>
          <w:rFonts w:hint="eastAsia"/>
          <w:color w:val="auto"/>
          <w:lang w:val="zh-CN"/>
        </w:rPr>
      </w:pPr>
    </w:p>
    <w:p>
      <w:pPr>
        <w:pStyle w:val="29"/>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29"/>
        <w:ind w:firstLine="480"/>
        <w:rPr>
          <w:rFonts w:hint="eastAsia"/>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Times New Roman"/>
          <w:b/>
          <w:bCs/>
          <w:color w:val="auto"/>
          <w:szCs w:val="21"/>
        </w:rPr>
      </w:pPr>
      <w:r>
        <w:rPr>
          <w:rFonts w:hint="eastAsia" w:ascii="宋体" w:hAnsi="宋体" w:eastAsia="宋体"/>
          <w:b/>
          <w:bCs/>
          <w:color w:val="auto"/>
          <w:sz w:val="24"/>
          <w:szCs w:val="24"/>
        </w:rPr>
        <w:t>3.6</w:t>
      </w:r>
      <w:r>
        <w:rPr>
          <w:rFonts w:hint="eastAsia" w:ascii="宋体" w:hAnsi="宋体" w:eastAsia="宋体"/>
          <w:b/>
          <w:bCs/>
          <w:color w:val="auto"/>
          <w:sz w:val="24"/>
          <w:szCs w:val="24"/>
          <w:lang w:val="en-US" w:eastAsia="zh-CN"/>
        </w:rPr>
        <w:t xml:space="preserve"> </w:t>
      </w:r>
      <w:r>
        <w:rPr>
          <w:rFonts w:ascii="宋体" w:hAnsi="宋体" w:eastAsia="宋体" w:cs="Times New Roman"/>
          <w:b/>
          <w:bCs/>
          <w:color w:val="auto"/>
          <w:sz w:val="24"/>
          <w:szCs w:val="24"/>
        </w:rPr>
        <w:t>中小企业声明函</w:t>
      </w:r>
    </w:p>
    <w:p>
      <w:pPr>
        <w:widowControl/>
        <w:shd w:val="clear" w:color="auto"/>
        <w:spacing w:before="100" w:beforeAutospacing="1" w:after="100" w:afterAutospacing="1" w:line="435" w:lineRule="atLeast"/>
        <w:ind w:firstLine="420" w:firstLineChars="200"/>
        <w:jc w:val="left"/>
        <w:rPr>
          <w:rFonts w:ascii="Arial" w:hAnsi="Arial" w:eastAsia="宋体" w:cs="Arial"/>
          <w:color w:val="auto"/>
          <w:kern w:val="0"/>
          <w:szCs w:val="21"/>
        </w:rPr>
      </w:pPr>
      <w:r>
        <w:rPr>
          <w:rFonts w:hint="eastAsia" w:ascii="宋体" w:hAnsi="宋体" w:eastAsia="宋体" w:cs="Arial"/>
          <w:color w:val="auto"/>
          <w:kern w:val="0"/>
          <w:szCs w:val="21"/>
        </w:rPr>
        <w:t>本公司（联合体）郑重声明，根据《政府采购促进中小企业发展管理办法》（财库﹝2020﹞46 号）的规定，本公司（联合体）参加</w:t>
      </w:r>
      <w:r>
        <w:rPr>
          <w:rFonts w:hint="eastAsia" w:ascii="宋体" w:hAnsi="宋体" w:eastAsia="宋体" w:cs="Arial"/>
          <w:color w:val="auto"/>
          <w:kern w:val="0"/>
          <w:szCs w:val="21"/>
          <w:u w:val="single"/>
        </w:rPr>
        <w:t>    （单位名称）</w:t>
      </w:r>
      <w:r>
        <w:rPr>
          <w:rFonts w:hint="eastAsia" w:ascii="宋体" w:hAnsi="宋体" w:eastAsia="宋体" w:cs="Arial"/>
          <w:color w:val="auto"/>
          <w:kern w:val="0"/>
          <w:szCs w:val="21"/>
        </w:rPr>
        <w:t>的</w:t>
      </w:r>
      <w:r>
        <w:rPr>
          <w:rFonts w:hint="eastAsia" w:ascii="宋体" w:hAnsi="宋体" w:eastAsia="宋体" w:cs="Arial"/>
          <w:color w:val="auto"/>
          <w:kern w:val="0"/>
          <w:szCs w:val="21"/>
          <w:u w:val="single"/>
          <w:lang w:val="en-US" w:eastAsia="zh-CN"/>
        </w:rPr>
        <w:t xml:space="preserve">      </w:t>
      </w:r>
      <w:r>
        <w:rPr>
          <w:rFonts w:hint="eastAsia" w:ascii="宋体" w:hAnsi="宋体" w:eastAsia="宋体" w:cs="Arial"/>
          <w:color w:val="auto"/>
          <w:kern w:val="0"/>
          <w:szCs w:val="21"/>
        </w:rPr>
        <w:t>（项目名称</w:t>
      </w:r>
      <w:r>
        <w:rPr>
          <w:rFonts w:hint="eastAsia" w:ascii="宋体" w:hAnsi="宋体" w:eastAsia="宋体" w:cs="Arial"/>
          <w:color w:val="auto"/>
          <w:kern w:val="0"/>
          <w:szCs w:val="21"/>
          <w:lang w:val="en-US" w:eastAsia="zh-CN"/>
        </w:rPr>
        <w:t xml:space="preserve"> </w:t>
      </w:r>
      <w:r>
        <w:rPr>
          <w:rFonts w:hint="eastAsia" w:ascii="宋体" w:hAnsi="宋体" w:eastAsia="宋体" w:cs="Arial"/>
          <w:color w:val="auto"/>
          <w:kern w:val="0"/>
          <w:szCs w:val="21"/>
        </w:rPr>
        <w:t>）采购活动，服务全部由符合政策要求的中小企业承接。相关企业（含联合体中的中小企业、签订分包意向协议的中小企业）的具体情况如下：</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u w:val="single"/>
        </w:rPr>
        <w:t>1.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；承建（承接）企业为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2.</w:t>
      </w:r>
      <w:r>
        <w:rPr>
          <w:rFonts w:hint="eastAsia" w:ascii="宋体" w:hAnsi="宋体" w:eastAsia="宋体" w:cs="Arial"/>
          <w:color w:val="auto"/>
          <w:kern w:val="0"/>
          <w:szCs w:val="21"/>
          <w:u w:val="single"/>
        </w:rPr>
        <w:t>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行业；制造商为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spacing w:line="360" w:lineRule="auto"/>
        <w:ind w:firstLine="707" w:firstLineChars="337"/>
        <w:jc w:val="left"/>
        <w:rPr>
          <w:color w:val="auto"/>
        </w:rPr>
      </w:pPr>
      <w:r>
        <w:rPr>
          <w:color w:val="auto"/>
        </w:rPr>
        <w:t xml:space="preserve">…… </w:t>
      </w:r>
    </w:p>
    <w:p>
      <w:pPr>
        <w:spacing w:line="360" w:lineRule="auto"/>
        <w:ind w:firstLine="420" w:firstLineChars="200"/>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420" w:firstLineChars="200"/>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hint="eastAsia" w:ascii="宋体" w:hAnsi="宋体"/>
          <w:b/>
          <w:bCs/>
          <w:color w:val="auto"/>
          <w:sz w:val="24"/>
          <w:szCs w:val="24"/>
        </w:rPr>
      </w:pPr>
    </w:p>
    <w:p>
      <w:pPr>
        <w:pStyle w:val="28"/>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360" w:lineRule="auto"/>
        <w:jc w:val="center"/>
        <w:rPr>
          <w:rFonts w:cs="宋体" w:asciiTheme="minorEastAsia" w:hAnsiTheme="minorEastAsia"/>
          <w:color w:val="auto"/>
          <w:sz w:val="24"/>
          <w:szCs w:val="24"/>
        </w:rPr>
      </w:pPr>
    </w:p>
    <w:p>
      <w:pPr>
        <w:pStyle w:val="11"/>
        <w:rPr>
          <w:rFonts w:ascii="宋体" w:cs="宋体"/>
          <w:color w:val="auto"/>
          <w:sz w:val="24"/>
          <w:lang w:val="zh-CN"/>
        </w:rPr>
      </w:pPr>
    </w:p>
    <w:p>
      <w:pPr>
        <w:pStyle w:val="11"/>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3.8其他资格证书或材料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11"/>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spacing w:line="480" w:lineRule="exact"/>
        <w:jc w:val="center"/>
        <w:rPr>
          <w:rFonts w:ascii="宋体" w:hAnsi="宋体"/>
          <w:b/>
          <w:bCs/>
          <w:color w:val="auto"/>
          <w:sz w:val="24"/>
          <w:szCs w:val="24"/>
        </w:rPr>
      </w:pPr>
      <w:r>
        <w:rPr>
          <w:rFonts w:hint="eastAsia" w:ascii="宋体" w:hAnsi="宋体"/>
          <w:b/>
          <w:bCs/>
          <w:color w:val="auto"/>
          <w:sz w:val="24"/>
          <w:szCs w:val="24"/>
        </w:rPr>
        <w:t>4.1分项报价表</w:t>
      </w:r>
    </w:p>
    <w:p>
      <w:pPr>
        <w:spacing w:line="480" w:lineRule="exact"/>
        <w:jc w:val="center"/>
        <w:rPr>
          <w:rFonts w:ascii="宋体" w:hAnsi="宋体"/>
          <w:b/>
          <w:bCs/>
          <w:color w:val="auto"/>
          <w:sz w:val="24"/>
          <w:szCs w:val="24"/>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480" w:lineRule="auto"/>
        <w:rPr>
          <w:rFonts w:cs="宋体" w:asciiTheme="minorEastAsia" w:hAnsiTheme="minorEastAsia"/>
          <w:color w:val="auto"/>
          <w:sz w:val="24"/>
          <w:szCs w:val="24"/>
        </w:rPr>
      </w:pP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2</w:t>
      </w:r>
      <w:r>
        <w:rPr>
          <w:rFonts w:hint="eastAsia" w:ascii="宋体" w:hAnsi="宋体"/>
          <w:b/>
          <w:bCs/>
          <w:color w:val="auto"/>
          <w:sz w:val="24"/>
          <w:szCs w:val="24"/>
        </w:rPr>
        <w:t xml:space="preserve">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int="eastAsia" w:hAnsi="宋体" w:eastAsia="宋体"/>
          <w:b/>
          <w:snapToGrid w:val="0"/>
          <w:color w:val="auto"/>
          <w:kern w:val="0"/>
          <w:sz w:val="36"/>
          <w:szCs w:val="36"/>
        </w:rPr>
      </w:pPr>
    </w:p>
    <w:p>
      <w:pPr>
        <w:pStyle w:val="28"/>
        <w:ind w:left="0" w:leftChars="0" w:firstLine="0" w:firstLineChars="0"/>
        <w:rPr>
          <w:rFonts w:hint="eastAsia"/>
          <w:color w:val="auto"/>
          <w:lang w:val="zh-CN"/>
        </w:rPr>
      </w:pPr>
    </w:p>
    <w:p>
      <w:pPr>
        <w:rPr>
          <w:rFonts w:hint="eastAsia"/>
          <w:color w:val="auto"/>
          <w:lang w:val="zh-CN"/>
        </w:rPr>
      </w:pPr>
    </w:p>
    <w:p>
      <w:pPr>
        <w:pStyle w:val="29"/>
        <w:ind w:firstLine="480"/>
        <w:rPr>
          <w:color w:val="auto"/>
          <w:lang w:val="zh-CN"/>
        </w:rPr>
      </w:pPr>
    </w:p>
    <w:p>
      <w:pPr>
        <w:rPr>
          <w:color w:val="auto"/>
          <w:lang w:val="zh-CN"/>
        </w:rPr>
      </w:pPr>
    </w:p>
    <w:p>
      <w:pPr>
        <w:pStyle w:val="2"/>
        <w:numPr>
          <w:ilvl w:val="0"/>
          <w:numId w:val="0"/>
        </w:numPr>
        <w:ind w:left="288" w:leftChars="0"/>
        <w:rPr>
          <w:color w:val="auto"/>
          <w:lang w:val="zh-CN"/>
        </w:rPr>
      </w:pPr>
    </w:p>
    <w:p>
      <w:pPr>
        <w:pStyle w:val="2"/>
        <w:numPr>
          <w:ilvl w:val="0"/>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3</w:t>
      </w:r>
      <w:r>
        <w:rPr>
          <w:rFonts w:hint="eastAsia" w:ascii="宋体" w:hAnsi="宋体"/>
          <w:b/>
          <w:bCs/>
          <w:color w:val="auto"/>
          <w:sz w:val="24"/>
          <w:szCs w:val="24"/>
        </w:rPr>
        <w:t>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color w:val="auto"/>
          <w:szCs w:val="21"/>
          <w:lang w:eastAsia="zh-CN"/>
        </w:rPr>
        <w:t>、标段</w:t>
      </w:r>
      <w:r>
        <w:rPr>
          <w:rFonts w:hint="eastAsia" w:asciiTheme="minorEastAsia" w:hAnsiTheme="minorEastAsia"/>
          <w:color w:val="auto"/>
          <w:szCs w:val="21"/>
        </w:rPr>
        <w:t xml:space="preserve">：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pStyle w:val="11"/>
        <w:rPr>
          <w:color w:val="auto"/>
          <w:lang w:val="zh-CN"/>
        </w:rPr>
      </w:pPr>
    </w:p>
    <w:p>
      <w:pPr>
        <w:pStyle w:val="12"/>
        <w:rPr>
          <w:color w:val="auto"/>
          <w:lang w:val="zh-CN"/>
        </w:rPr>
      </w:pPr>
    </w:p>
    <w:p>
      <w:pPr>
        <w:autoSpaceDE w:val="0"/>
        <w:autoSpaceDN w:val="0"/>
        <w:adjustRightInd w:val="0"/>
        <w:spacing w:line="360" w:lineRule="auto"/>
        <w:jc w:val="center"/>
        <w:outlineLvl w:val="0"/>
        <w:rPr>
          <w:rFonts w:hint="eastAsia" w:ascii="宋体" w:hAnsi="宋体" w:eastAsiaTheme="minorEastAsia"/>
          <w:b/>
          <w:bCs/>
          <w:color w:val="auto"/>
          <w:sz w:val="36"/>
          <w:szCs w:val="36"/>
          <w:lang w:eastAsia="zh-CN"/>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售后服务</w:t>
      </w:r>
      <w:r>
        <w:rPr>
          <w:rFonts w:hint="eastAsia" w:ascii="宋体" w:hAnsi="宋体"/>
          <w:b/>
          <w:bCs/>
          <w:color w:val="auto"/>
          <w:sz w:val="24"/>
          <w:szCs w:val="24"/>
          <w:lang w:eastAsia="zh-CN"/>
        </w:rPr>
        <w:t>承诺</w:t>
      </w: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pStyle w:val="11"/>
        <w:rPr>
          <w:color w:val="auto"/>
        </w:rPr>
      </w:pPr>
    </w:p>
    <w:p>
      <w:pPr>
        <w:pStyle w:val="29"/>
        <w:ind w:firstLine="480"/>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采购</w:t>
      </w:r>
      <w:r>
        <w:rPr>
          <w:rFonts w:ascii="宋体" w:hAnsi="宋体"/>
          <w:b/>
          <w:bCs/>
          <w:color w:val="auto"/>
          <w:szCs w:val="21"/>
        </w:rPr>
        <w:t>文件另有规定外，</w:t>
      </w:r>
      <w:r>
        <w:rPr>
          <w:rFonts w:hint="eastAsia" w:ascii="宋体" w:hAnsi="宋体"/>
          <w:b/>
          <w:bCs/>
          <w:color w:val="auto"/>
          <w:szCs w:val="21"/>
        </w:rPr>
        <w:t>投标人</w:t>
      </w:r>
      <w:r>
        <w:rPr>
          <w:rFonts w:ascii="宋体" w:hAnsi="宋体"/>
          <w:b/>
          <w:bCs/>
          <w:color w:val="auto"/>
          <w:szCs w:val="21"/>
        </w:rPr>
        <w:t>认为需要提交的其他证明材料或资料加盖</w:t>
      </w:r>
      <w:r>
        <w:rPr>
          <w:rFonts w:hint="eastAsia" w:ascii="宋体" w:hAnsi="宋体"/>
          <w:b/>
          <w:bCs/>
          <w:color w:val="auto"/>
          <w:szCs w:val="21"/>
        </w:rPr>
        <w:t>投标人</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51"/>
    <w:sectPr>
      <w:footerReference r:id="rId9" w:type="default"/>
      <w:pgSz w:w="11906" w:h="16838"/>
      <w:pgMar w:top="2098" w:right="1474" w:bottom="1928" w:left="1588" w:header="851" w:footer="992" w:gutter="0"/>
      <w:pgNumType w:start="4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3080" o:spid="_x0000_s308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3081" o:spid="_x0000_s308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_x0000_s3082" o:spid="_x0000_s308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3077"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pPr>
                  <w:pStyle w:val="9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_x0000_s3083" o:spid="_x0000_s308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3079"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pPr>
                  <w:pStyle w:val="9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3084" o:spid="_x0000_s308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6886026"/>
    <w:multiLevelType w:val="singleLevel"/>
    <w:tmpl w:val="A6886026"/>
    <w:lvl w:ilvl="0" w:tentative="0">
      <w:start w:val="1"/>
      <w:numFmt w:val="decimal"/>
      <w:suff w:val="nothing"/>
      <w:lvlText w:val="%1、"/>
      <w:lvlJc w:val="left"/>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DEDDF1C"/>
    <w:multiLevelType w:val="singleLevel"/>
    <w:tmpl w:val="0DEDDF1C"/>
    <w:lvl w:ilvl="0" w:tentative="0">
      <w:start w:val="1"/>
      <w:numFmt w:val="chineseCounting"/>
      <w:suff w:val="nothing"/>
      <w:lvlText w:val="%1、"/>
      <w:lvlJc w:val="left"/>
      <w:rPr>
        <w:rFonts w:hint="eastAsia"/>
      </w:rPr>
    </w:lvl>
  </w:abstractNum>
  <w:abstractNum w:abstractNumId="9">
    <w:nsid w:val="1CBABA70"/>
    <w:multiLevelType w:val="singleLevel"/>
    <w:tmpl w:val="1CBABA70"/>
    <w:lvl w:ilvl="0" w:tentative="0">
      <w:start w:val="1"/>
      <w:numFmt w:val="decimal"/>
      <w:suff w:val="nothing"/>
      <w:lvlText w:val="%1、"/>
      <w:lvlJc w:val="left"/>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2">
    <w:nsid w:val="59F817E8"/>
    <w:multiLevelType w:val="singleLevel"/>
    <w:tmpl w:val="59F817E8"/>
    <w:lvl w:ilvl="0" w:tentative="0">
      <w:start w:val="1"/>
      <w:numFmt w:val="chineseCounting"/>
      <w:pStyle w:val="68"/>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12"/>
  </w:num>
  <w:num w:numId="4">
    <w:abstractNumId w:val="3"/>
  </w:num>
  <w:num w:numId="5">
    <w:abstractNumId w:val="8"/>
  </w:num>
  <w:num w:numId="6">
    <w:abstractNumId w:val="2"/>
  </w:num>
  <w:num w:numId="7">
    <w:abstractNumId w:val="10"/>
  </w:num>
  <w:num w:numId="8">
    <w:abstractNumId w:val="13"/>
  </w:num>
  <w:num w:numId="9">
    <w:abstractNumId w:val="1"/>
  </w:num>
  <w:num w:numId="10">
    <w:abstractNumId w:val="0"/>
  </w:num>
  <w:num w:numId="11">
    <w:abstractNumId w:val="9"/>
  </w:num>
  <w:num w:numId="12">
    <w:abstractNumId w:val="11"/>
  </w:num>
  <w:num w:numId="13">
    <w:abstractNumId w:val="5"/>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 w:name="KSO_WPS_MARK_KEY" w:val="8fe70a09-05ed-496a-98bb-0ea9301eb51a"/>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91"/>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652C0"/>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D2E9D"/>
    <w:rsid w:val="01FA65AD"/>
    <w:rsid w:val="020F6BF8"/>
    <w:rsid w:val="02627A03"/>
    <w:rsid w:val="02883A4A"/>
    <w:rsid w:val="02987B74"/>
    <w:rsid w:val="02B70804"/>
    <w:rsid w:val="02BA46C4"/>
    <w:rsid w:val="02DB7CB9"/>
    <w:rsid w:val="034A5312"/>
    <w:rsid w:val="035D5A48"/>
    <w:rsid w:val="03660C58"/>
    <w:rsid w:val="037A2DDB"/>
    <w:rsid w:val="037F368D"/>
    <w:rsid w:val="03810BC8"/>
    <w:rsid w:val="03B01C9E"/>
    <w:rsid w:val="03E45005"/>
    <w:rsid w:val="03E96876"/>
    <w:rsid w:val="03FF6280"/>
    <w:rsid w:val="04610B65"/>
    <w:rsid w:val="046B4941"/>
    <w:rsid w:val="04D74B21"/>
    <w:rsid w:val="05104E18"/>
    <w:rsid w:val="053828F1"/>
    <w:rsid w:val="0545527A"/>
    <w:rsid w:val="0560706F"/>
    <w:rsid w:val="05617CFD"/>
    <w:rsid w:val="05900FD6"/>
    <w:rsid w:val="05C3315A"/>
    <w:rsid w:val="062B4947"/>
    <w:rsid w:val="0669568A"/>
    <w:rsid w:val="066C1A43"/>
    <w:rsid w:val="068648B3"/>
    <w:rsid w:val="069F204B"/>
    <w:rsid w:val="06C6248C"/>
    <w:rsid w:val="06CC61D3"/>
    <w:rsid w:val="070E46A7"/>
    <w:rsid w:val="07733ED3"/>
    <w:rsid w:val="077A10F3"/>
    <w:rsid w:val="07810AD9"/>
    <w:rsid w:val="079A26F9"/>
    <w:rsid w:val="07BC752A"/>
    <w:rsid w:val="07CC279A"/>
    <w:rsid w:val="07D761FC"/>
    <w:rsid w:val="07DB6498"/>
    <w:rsid w:val="08083865"/>
    <w:rsid w:val="08852C67"/>
    <w:rsid w:val="08A92ADB"/>
    <w:rsid w:val="08BD0334"/>
    <w:rsid w:val="08DC157E"/>
    <w:rsid w:val="093D1475"/>
    <w:rsid w:val="094C36CE"/>
    <w:rsid w:val="09AB11AC"/>
    <w:rsid w:val="0A081459"/>
    <w:rsid w:val="0A635F4B"/>
    <w:rsid w:val="0A973EE9"/>
    <w:rsid w:val="0AD16BED"/>
    <w:rsid w:val="0AD87F40"/>
    <w:rsid w:val="0B505A69"/>
    <w:rsid w:val="0B534700"/>
    <w:rsid w:val="0B662F05"/>
    <w:rsid w:val="0BAD643E"/>
    <w:rsid w:val="0BD04822"/>
    <w:rsid w:val="0C3633F3"/>
    <w:rsid w:val="0C5D5081"/>
    <w:rsid w:val="0C6D5860"/>
    <w:rsid w:val="0C7E6A8E"/>
    <w:rsid w:val="0CA856BF"/>
    <w:rsid w:val="0CB17349"/>
    <w:rsid w:val="0CD914B5"/>
    <w:rsid w:val="0D2F7FD6"/>
    <w:rsid w:val="0D773E61"/>
    <w:rsid w:val="0D780511"/>
    <w:rsid w:val="0D882289"/>
    <w:rsid w:val="0D887163"/>
    <w:rsid w:val="0DA8168E"/>
    <w:rsid w:val="0DB97859"/>
    <w:rsid w:val="0DD64262"/>
    <w:rsid w:val="0DEC6932"/>
    <w:rsid w:val="0E1B7FD7"/>
    <w:rsid w:val="0E305CD7"/>
    <w:rsid w:val="0E317062"/>
    <w:rsid w:val="0E5B405D"/>
    <w:rsid w:val="0EA97878"/>
    <w:rsid w:val="0ECF2B6F"/>
    <w:rsid w:val="0EE97B8E"/>
    <w:rsid w:val="0F0F0F63"/>
    <w:rsid w:val="0F32366B"/>
    <w:rsid w:val="0F833B5D"/>
    <w:rsid w:val="0FBF0F10"/>
    <w:rsid w:val="0FEB546A"/>
    <w:rsid w:val="0FEC3293"/>
    <w:rsid w:val="0FF85550"/>
    <w:rsid w:val="10187F49"/>
    <w:rsid w:val="10291372"/>
    <w:rsid w:val="103A2D2B"/>
    <w:rsid w:val="105D1DBB"/>
    <w:rsid w:val="107931DF"/>
    <w:rsid w:val="109160DD"/>
    <w:rsid w:val="10D96FA4"/>
    <w:rsid w:val="11685955"/>
    <w:rsid w:val="11937599"/>
    <w:rsid w:val="11BA38CE"/>
    <w:rsid w:val="11CD3114"/>
    <w:rsid w:val="120841D8"/>
    <w:rsid w:val="122E6D2D"/>
    <w:rsid w:val="123B4FDC"/>
    <w:rsid w:val="124156C4"/>
    <w:rsid w:val="124235BD"/>
    <w:rsid w:val="1292638E"/>
    <w:rsid w:val="12AB5973"/>
    <w:rsid w:val="12B75DF4"/>
    <w:rsid w:val="12CA0B0F"/>
    <w:rsid w:val="13046389"/>
    <w:rsid w:val="13201BEB"/>
    <w:rsid w:val="13255454"/>
    <w:rsid w:val="13363F94"/>
    <w:rsid w:val="13706DBD"/>
    <w:rsid w:val="13D660DB"/>
    <w:rsid w:val="143A0FC9"/>
    <w:rsid w:val="14627FE2"/>
    <w:rsid w:val="148166BA"/>
    <w:rsid w:val="14992F53"/>
    <w:rsid w:val="14BD0BCC"/>
    <w:rsid w:val="14D561AF"/>
    <w:rsid w:val="14FC1368"/>
    <w:rsid w:val="15046A4F"/>
    <w:rsid w:val="15257DA7"/>
    <w:rsid w:val="1527196A"/>
    <w:rsid w:val="15285CB1"/>
    <w:rsid w:val="15407A60"/>
    <w:rsid w:val="159A2A9E"/>
    <w:rsid w:val="15A841E2"/>
    <w:rsid w:val="15CE1DD3"/>
    <w:rsid w:val="15CE3B81"/>
    <w:rsid w:val="160434BC"/>
    <w:rsid w:val="163F2CAE"/>
    <w:rsid w:val="167C182F"/>
    <w:rsid w:val="16B56AEF"/>
    <w:rsid w:val="16E15B36"/>
    <w:rsid w:val="17057A2A"/>
    <w:rsid w:val="172D7CCE"/>
    <w:rsid w:val="175B58E8"/>
    <w:rsid w:val="178A3129"/>
    <w:rsid w:val="17985E27"/>
    <w:rsid w:val="17B30CC5"/>
    <w:rsid w:val="17B8106A"/>
    <w:rsid w:val="17CF257F"/>
    <w:rsid w:val="17F77804"/>
    <w:rsid w:val="180C12F3"/>
    <w:rsid w:val="1881137E"/>
    <w:rsid w:val="18DE6304"/>
    <w:rsid w:val="18E41ED8"/>
    <w:rsid w:val="18E65685"/>
    <w:rsid w:val="18F953B8"/>
    <w:rsid w:val="19A41AAE"/>
    <w:rsid w:val="19B17A41"/>
    <w:rsid w:val="1A021C2E"/>
    <w:rsid w:val="1A183821"/>
    <w:rsid w:val="1A1F735F"/>
    <w:rsid w:val="1A737B8C"/>
    <w:rsid w:val="1AF70FC5"/>
    <w:rsid w:val="1B302BE8"/>
    <w:rsid w:val="1B311E44"/>
    <w:rsid w:val="1BF400B9"/>
    <w:rsid w:val="1BFD3750"/>
    <w:rsid w:val="1C7A243A"/>
    <w:rsid w:val="1C9D5143"/>
    <w:rsid w:val="1CB57848"/>
    <w:rsid w:val="1D005039"/>
    <w:rsid w:val="1D230C56"/>
    <w:rsid w:val="1D2908C1"/>
    <w:rsid w:val="1D3D2567"/>
    <w:rsid w:val="1DD957B9"/>
    <w:rsid w:val="1DE81558"/>
    <w:rsid w:val="1DE978C4"/>
    <w:rsid w:val="1E4A2212"/>
    <w:rsid w:val="1E7874CB"/>
    <w:rsid w:val="1E825461"/>
    <w:rsid w:val="1E86502B"/>
    <w:rsid w:val="1ED33FB6"/>
    <w:rsid w:val="1ED878F4"/>
    <w:rsid w:val="1EFA1543"/>
    <w:rsid w:val="1F0A02A8"/>
    <w:rsid w:val="1F334282"/>
    <w:rsid w:val="1F4E5D32"/>
    <w:rsid w:val="1FAC462E"/>
    <w:rsid w:val="1FD61FB0"/>
    <w:rsid w:val="1FE65558"/>
    <w:rsid w:val="1FE946BE"/>
    <w:rsid w:val="207709E4"/>
    <w:rsid w:val="20AF4712"/>
    <w:rsid w:val="20C95670"/>
    <w:rsid w:val="20E53C20"/>
    <w:rsid w:val="20EA55E7"/>
    <w:rsid w:val="216E26D1"/>
    <w:rsid w:val="2198698A"/>
    <w:rsid w:val="21AD6D40"/>
    <w:rsid w:val="21BF15BD"/>
    <w:rsid w:val="21CF534E"/>
    <w:rsid w:val="21DB7273"/>
    <w:rsid w:val="22560C5B"/>
    <w:rsid w:val="225F4AB8"/>
    <w:rsid w:val="22A42708"/>
    <w:rsid w:val="22D36EAB"/>
    <w:rsid w:val="230D0531"/>
    <w:rsid w:val="238147AE"/>
    <w:rsid w:val="238242BD"/>
    <w:rsid w:val="23C465C3"/>
    <w:rsid w:val="23CD191B"/>
    <w:rsid w:val="243C084F"/>
    <w:rsid w:val="24506BB2"/>
    <w:rsid w:val="2470714F"/>
    <w:rsid w:val="24947709"/>
    <w:rsid w:val="24E915BF"/>
    <w:rsid w:val="255F4A9B"/>
    <w:rsid w:val="25693F9A"/>
    <w:rsid w:val="25880798"/>
    <w:rsid w:val="25AB3597"/>
    <w:rsid w:val="25E1345C"/>
    <w:rsid w:val="25F807A6"/>
    <w:rsid w:val="263B734F"/>
    <w:rsid w:val="26442526"/>
    <w:rsid w:val="26543C2E"/>
    <w:rsid w:val="265D3E18"/>
    <w:rsid w:val="26812549"/>
    <w:rsid w:val="269353D2"/>
    <w:rsid w:val="26A40624"/>
    <w:rsid w:val="26AE7F5A"/>
    <w:rsid w:val="26E02C80"/>
    <w:rsid w:val="26FF20C4"/>
    <w:rsid w:val="27457A1B"/>
    <w:rsid w:val="274C3FCA"/>
    <w:rsid w:val="2750205B"/>
    <w:rsid w:val="277334B8"/>
    <w:rsid w:val="27821D05"/>
    <w:rsid w:val="27984DD3"/>
    <w:rsid w:val="279B2315"/>
    <w:rsid w:val="27A37FBA"/>
    <w:rsid w:val="27C46B92"/>
    <w:rsid w:val="27FE20B7"/>
    <w:rsid w:val="281A4A03"/>
    <w:rsid w:val="28212744"/>
    <w:rsid w:val="282B09BF"/>
    <w:rsid w:val="284941DC"/>
    <w:rsid w:val="286345FC"/>
    <w:rsid w:val="287F4A54"/>
    <w:rsid w:val="28BC446B"/>
    <w:rsid w:val="292F703A"/>
    <w:rsid w:val="293F6AC5"/>
    <w:rsid w:val="295B52D4"/>
    <w:rsid w:val="299D1B7F"/>
    <w:rsid w:val="299F1664"/>
    <w:rsid w:val="29A03F34"/>
    <w:rsid w:val="29D01E7C"/>
    <w:rsid w:val="29DF0256"/>
    <w:rsid w:val="29F54480"/>
    <w:rsid w:val="2A126E9B"/>
    <w:rsid w:val="2A385615"/>
    <w:rsid w:val="2A3D2C2B"/>
    <w:rsid w:val="2A4D10C0"/>
    <w:rsid w:val="2A876D21"/>
    <w:rsid w:val="2A905CE8"/>
    <w:rsid w:val="2A9B65A1"/>
    <w:rsid w:val="2AA71F8F"/>
    <w:rsid w:val="2B071285"/>
    <w:rsid w:val="2B195446"/>
    <w:rsid w:val="2B237C9A"/>
    <w:rsid w:val="2B3B25A7"/>
    <w:rsid w:val="2B431031"/>
    <w:rsid w:val="2B71330F"/>
    <w:rsid w:val="2B844FB6"/>
    <w:rsid w:val="2B9C71DF"/>
    <w:rsid w:val="2B9D755D"/>
    <w:rsid w:val="2BAD17F5"/>
    <w:rsid w:val="2BC74EA2"/>
    <w:rsid w:val="2BCA6741"/>
    <w:rsid w:val="2BE71E7D"/>
    <w:rsid w:val="2C4604BD"/>
    <w:rsid w:val="2C8578C5"/>
    <w:rsid w:val="2D123A9F"/>
    <w:rsid w:val="2D124F89"/>
    <w:rsid w:val="2D2877B9"/>
    <w:rsid w:val="2D2C3753"/>
    <w:rsid w:val="2D3C391E"/>
    <w:rsid w:val="2D8633EE"/>
    <w:rsid w:val="2D9F12C1"/>
    <w:rsid w:val="2DA91BDB"/>
    <w:rsid w:val="2DAA05D8"/>
    <w:rsid w:val="2DDF4725"/>
    <w:rsid w:val="2E042156"/>
    <w:rsid w:val="2E330B3F"/>
    <w:rsid w:val="2E331215"/>
    <w:rsid w:val="2E6D79D2"/>
    <w:rsid w:val="2EBA26F8"/>
    <w:rsid w:val="2EC36428"/>
    <w:rsid w:val="2EDE558F"/>
    <w:rsid w:val="2EFF2BA5"/>
    <w:rsid w:val="2F106B71"/>
    <w:rsid w:val="2F1F0B51"/>
    <w:rsid w:val="2F5E78CC"/>
    <w:rsid w:val="2F6A673D"/>
    <w:rsid w:val="2FA533D6"/>
    <w:rsid w:val="2FCE0D44"/>
    <w:rsid w:val="2FDF7099"/>
    <w:rsid w:val="300F20AC"/>
    <w:rsid w:val="301A7EDF"/>
    <w:rsid w:val="30292DEB"/>
    <w:rsid w:val="307668EC"/>
    <w:rsid w:val="30980BBB"/>
    <w:rsid w:val="30A11B2E"/>
    <w:rsid w:val="30B90E12"/>
    <w:rsid w:val="30D47455"/>
    <w:rsid w:val="30D61886"/>
    <w:rsid w:val="30E3452C"/>
    <w:rsid w:val="31306024"/>
    <w:rsid w:val="31454C16"/>
    <w:rsid w:val="31682C84"/>
    <w:rsid w:val="318D040C"/>
    <w:rsid w:val="31B347D4"/>
    <w:rsid w:val="31DE5183"/>
    <w:rsid w:val="31F46CAC"/>
    <w:rsid w:val="31FB3AF8"/>
    <w:rsid w:val="323048E9"/>
    <w:rsid w:val="32493792"/>
    <w:rsid w:val="32DC5400"/>
    <w:rsid w:val="32F00761"/>
    <w:rsid w:val="334C3C6E"/>
    <w:rsid w:val="337C1C26"/>
    <w:rsid w:val="33CA6381"/>
    <w:rsid w:val="33E55BB9"/>
    <w:rsid w:val="34011EE2"/>
    <w:rsid w:val="34031BE8"/>
    <w:rsid w:val="34050C5E"/>
    <w:rsid w:val="346E1993"/>
    <w:rsid w:val="348A4B70"/>
    <w:rsid w:val="349120A4"/>
    <w:rsid w:val="34AE374B"/>
    <w:rsid w:val="34B90BA2"/>
    <w:rsid w:val="34C12DD7"/>
    <w:rsid w:val="34E940DB"/>
    <w:rsid w:val="35081201"/>
    <w:rsid w:val="35204D7F"/>
    <w:rsid w:val="354258EB"/>
    <w:rsid w:val="3553798F"/>
    <w:rsid w:val="357F2070"/>
    <w:rsid w:val="35AD3EF5"/>
    <w:rsid w:val="35B01F13"/>
    <w:rsid w:val="35B07A97"/>
    <w:rsid w:val="35B53B02"/>
    <w:rsid w:val="35BB5A78"/>
    <w:rsid w:val="366758E3"/>
    <w:rsid w:val="368C2F70"/>
    <w:rsid w:val="36975214"/>
    <w:rsid w:val="36F80606"/>
    <w:rsid w:val="37064C28"/>
    <w:rsid w:val="370E607B"/>
    <w:rsid w:val="37140F96"/>
    <w:rsid w:val="371619FA"/>
    <w:rsid w:val="373C5526"/>
    <w:rsid w:val="377F4883"/>
    <w:rsid w:val="37842204"/>
    <w:rsid w:val="37D268C3"/>
    <w:rsid w:val="37D95464"/>
    <w:rsid w:val="383F16EE"/>
    <w:rsid w:val="384004B6"/>
    <w:rsid w:val="384A0EEA"/>
    <w:rsid w:val="386D59C9"/>
    <w:rsid w:val="38C4052C"/>
    <w:rsid w:val="38EC05E0"/>
    <w:rsid w:val="38FB43DD"/>
    <w:rsid w:val="39514A69"/>
    <w:rsid w:val="395A4CE6"/>
    <w:rsid w:val="396C7089"/>
    <w:rsid w:val="397C551E"/>
    <w:rsid w:val="39A5464D"/>
    <w:rsid w:val="39F318FC"/>
    <w:rsid w:val="3A6D130B"/>
    <w:rsid w:val="3A814CE7"/>
    <w:rsid w:val="3A8E2FD1"/>
    <w:rsid w:val="3AB0548E"/>
    <w:rsid w:val="3B4A0C97"/>
    <w:rsid w:val="3B7B756F"/>
    <w:rsid w:val="3B8C371F"/>
    <w:rsid w:val="3B932274"/>
    <w:rsid w:val="3BC87466"/>
    <w:rsid w:val="3BD604A5"/>
    <w:rsid w:val="3C047A4D"/>
    <w:rsid w:val="3C1E0B0E"/>
    <w:rsid w:val="3C330E39"/>
    <w:rsid w:val="3C5F6349"/>
    <w:rsid w:val="3CC316B6"/>
    <w:rsid w:val="3DAF7400"/>
    <w:rsid w:val="3DC47494"/>
    <w:rsid w:val="3DE40001"/>
    <w:rsid w:val="3E421737"/>
    <w:rsid w:val="3E801498"/>
    <w:rsid w:val="3ED4389D"/>
    <w:rsid w:val="3EE37DED"/>
    <w:rsid w:val="3EFB0E15"/>
    <w:rsid w:val="3F1C33C6"/>
    <w:rsid w:val="3F416569"/>
    <w:rsid w:val="3F444DCC"/>
    <w:rsid w:val="3F5900B0"/>
    <w:rsid w:val="3F6A0E3E"/>
    <w:rsid w:val="3F7C37F0"/>
    <w:rsid w:val="3F90288C"/>
    <w:rsid w:val="3FDA5E5F"/>
    <w:rsid w:val="3FF52B85"/>
    <w:rsid w:val="401235A2"/>
    <w:rsid w:val="40305DE9"/>
    <w:rsid w:val="405B2F81"/>
    <w:rsid w:val="40677565"/>
    <w:rsid w:val="409018AF"/>
    <w:rsid w:val="40CD3ADB"/>
    <w:rsid w:val="40D907A9"/>
    <w:rsid w:val="40E1035D"/>
    <w:rsid w:val="40FC6F44"/>
    <w:rsid w:val="41016D9A"/>
    <w:rsid w:val="4125649B"/>
    <w:rsid w:val="41365678"/>
    <w:rsid w:val="417325FA"/>
    <w:rsid w:val="41973319"/>
    <w:rsid w:val="41AA4BF2"/>
    <w:rsid w:val="41BE41FA"/>
    <w:rsid w:val="41C55586"/>
    <w:rsid w:val="41E424CB"/>
    <w:rsid w:val="41F0088E"/>
    <w:rsid w:val="42060270"/>
    <w:rsid w:val="420C765B"/>
    <w:rsid w:val="42164036"/>
    <w:rsid w:val="42224789"/>
    <w:rsid w:val="422E75D1"/>
    <w:rsid w:val="42745016"/>
    <w:rsid w:val="42815953"/>
    <w:rsid w:val="429A6A15"/>
    <w:rsid w:val="42F52E10"/>
    <w:rsid w:val="432A2540"/>
    <w:rsid w:val="433441F5"/>
    <w:rsid w:val="434A2E43"/>
    <w:rsid w:val="43776D56"/>
    <w:rsid w:val="43A40672"/>
    <w:rsid w:val="43B84D02"/>
    <w:rsid w:val="443413B8"/>
    <w:rsid w:val="444E5D09"/>
    <w:rsid w:val="44767046"/>
    <w:rsid w:val="4485565B"/>
    <w:rsid w:val="44D65450"/>
    <w:rsid w:val="44D81A76"/>
    <w:rsid w:val="4513605A"/>
    <w:rsid w:val="454D157F"/>
    <w:rsid w:val="45975B03"/>
    <w:rsid w:val="45B03EB7"/>
    <w:rsid w:val="45B97A0D"/>
    <w:rsid w:val="45BC3925"/>
    <w:rsid w:val="45CA7611"/>
    <w:rsid w:val="45EC1356"/>
    <w:rsid w:val="462C3956"/>
    <w:rsid w:val="462D194E"/>
    <w:rsid w:val="467E1C7E"/>
    <w:rsid w:val="46DD36B0"/>
    <w:rsid w:val="470440CB"/>
    <w:rsid w:val="472D73FF"/>
    <w:rsid w:val="47443E67"/>
    <w:rsid w:val="47C22C96"/>
    <w:rsid w:val="481102EC"/>
    <w:rsid w:val="4844455D"/>
    <w:rsid w:val="48561B05"/>
    <w:rsid w:val="485D2A1D"/>
    <w:rsid w:val="48735DEA"/>
    <w:rsid w:val="48A405ED"/>
    <w:rsid w:val="48B85E47"/>
    <w:rsid w:val="48C65BBD"/>
    <w:rsid w:val="48D401DB"/>
    <w:rsid w:val="48E43864"/>
    <w:rsid w:val="48FF4C06"/>
    <w:rsid w:val="49AC1650"/>
    <w:rsid w:val="4A2F37DA"/>
    <w:rsid w:val="4A6022F2"/>
    <w:rsid w:val="4A801B89"/>
    <w:rsid w:val="4A8B215B"/>
    <w:rsid w:val="4A965D14"/>
    <w:rsid w:val="4AB31D2A"/>
    <w:rsid w:val="4AC00FE3"/>
    <w:rsid w:val="4AC66295"/>
    <w:rsid w:val="4AE616BF"/>
    <w:rsid w:val="4B1F21AD"/>
    <w:rsid w:val="4B3C67D0"/>
    <w:rsid w:val="4B6416C5"/>
    <w:rsid w:val="4BA80997"/>
    <w:rsid w:val="4BD06395"/>
    <w:rsid w:val="4BEC6B31"/>
    <w:rsid w:val="4C480FC0"/>
    <w:rsid w:val="4CAA30EC"/>
    <w:rsid w:val="4CC62D22"/>
    <w:rsid w:val="4CDC4199"/>
    <w:rsid w:val="4D0434D4"/>
    <w:rsid w:val="4D0553D3"/>
    <w:rsid w:val="4D0F1E57"/>
    <w:rsid w:val="4D1F6494"/>
    <w:rsid w:val="4D6F2CBC"/>
    <w:rsid w:val="4D7F0662"/>
    <w:rsid w:val="4D942922"/>
    <w:rsid w:val="4D962288"/>
    <w:rsid w:val="4E7D0D8B"/>
    <w:rsid w:val="4E8161A0"/>
    <w:rsid w:val="4EA0023D"/>
    <w:rsid w:val="4EC04089"/>
    <w:rsid w:val="4F334479"/>
    <w:rsid w:val="4F56149D"/>
    <w:rsid w:val="4F613985"/>
    <w:rsid w:val="4F822D0B"/>
    <w:rsid w:val="4FFD135F"/>
    <w:rsid w:val="500D6A78"/>
    <w:rsid w:val="50562F56"/>
    <w:rsid w:val="505A77E4"/>
    <w:rsid w:val="505F79DB"/>
    <w:rsid w:val="507B4249"/>
    <w:rsid w:val="507D6D29"/>
    <w:rsid w:val="50895C9C"/>
    <w:rsid w:val="50A55003"/>
    <w:rsid w:val="50AA2368"/>
    <w:rsid w:val="50B4234B"/>
    <w:rsid w:val="50C8299F"/>
    <w:rsid w:val="50EF0631"/>
    <w:rsid w:val="510B1CEC"/>
    <w:rsid w:val="512E46A0"/>
    <w:rsid w:val="514F3B23"/>
    <w:rsid w:val="51752B27"/>
    <w:rsid w:val="51FA74D0"/>
    <w:rsid w:val="52181704"/>
    <w:rsid w:val="524E4E27"/>
    <w:rsid w:val="5271432D"/>
    <w:rsid w:val="52895E25"/>
    <w:rsid w:val="52CB49C9"/>
    <w:rsid w:val="52E16E11"/>
    <w:rsid w:val="53526B93"/>
    <w:rsid w:val="53672256"/>
    <w:rsid w:val="537961D3"/>
    <w:rsid w:val="539114A7"/>
    <w:rsid w:val="53966D85"/>
    <w:rsid w:val="53AE131D"/>
    <w:rsid w:val="53B607BB"/>
    <w:rsid w:val="5402441A"/>
    <w:rsid w:val="540D4963"/>
    <w:rsid w:val="541B38DD"/>
    <w:rsid w:val="547D39E4"/>
    <w:rsid w:val="548D1853"/>
    <w:rsid w:val="548F677C"/>
    <w:rsid w:val="54AC01D0"/>
    <w:rsid w:val="54BE2A37"/>
    <w:rsid w:val="54CB09CC"/>
    <w:rsid w:val="54D46A7D"/>
    <w:rsid w:val="54D82313"/>
    <w:rsid w:val="551663CF"/>
    <w:rsid w:val="55266A8D"/>
    <w:rsid w:val="55333061"/>
    <w:rsid w:val="55383A98"/>
    <w:rsid w:val="554271C4"/>
    <w:rsid w:val="55664CBF"/>
    <w:rsid w:val="55680542"/>
    <w:rsid w:val="55765394"/>
    <w:rsid w:val="55857916"/>
    <w:rsid w:val="559346D9"/>
    <w:rsid w:val="55AF3089"/>
    <w:rsid w:val="55CD5ACF"/>
    <w:rsid w:val="55E7676A"/>
    <w:rsid w:val="55F2324D"/>
    <w:rsid w:val="56304F01"/>
    <w:rsid w:val="563D4E84"/>
    <w:rsid w:val="56667E72"/>
    <w:rsid w:val="56717635"/>
    <w:rsid w:val="568421D1"/>
    <w:rsid w:val="56BB3A79"/>
    <w:rsid w:val="56F928BE"/>
    <w:rsid w:val="570E7A86"/>
    <w:rsid w:val="575813E7"/>
    <w:rsid w:val="576B2D7A"/>
    <w:rsid w:val="57771BE3"/>
    <w:rsid w:val="57923D07"/>
    <w:rsid w:val="580B0EAB"/>
    <w:rsid w:val="5829793B"/>
    <w:rsid w:val="583A29FB"/>
    <w:rsid w:val="584119B5"/>
    <w:rsid w:val="58CC166E"/>
    <w:rsid w:val="591E5852"/>
    <w:rsid w:val="5927426C"/>
    <w:rsid w:val="592D018B"/>
    <w:rsid w:val="59352B9C"/>
    <w:rsid w:val="59481412"/>
    <w:rsid w:val="59562C77"/>
    <w:rsid w:val="595C45CC"/>
    <w:rsid w:val="595D7221"/>
    <w:rsid w:val="597617D2"/>
    <w:rsid w:val="597948E4"/>
    <w:rsid w:val="597F1F2A"/>
    <w:rsid w:val="59BC4FED"/>
    <w:rsid w:val="59CF2FF0"/>
    <w:rsid w:val="5A2562BC"/>
    <w:rsid w:val="5A291356"/>
    <w:rsid w:val="5A4D7DAF"/>
    <w:rsid w:val="5A70032F"/>
    <w:rsid w:val="5A744D96"/>
    <w:rsid w:val="5AB43A17"/>
    <w:rsid w:val="5ACE5056"/>
    <w:rsid w:val="5AED1980"/>
    <w:rsid w:val="5B4D2EC1"/>
    <w:rsid w:val="5B501B3A"/>
    <w:rsid w:val="5B571F8E"/>
    <w:rsid w:val="5B99781D"/>
    <w:rsid w:val="5BC00E43"/>
    <w:rsid w:val="5BC50747"/>
    <w:rsid w:val="5BDF5215"/>
    <w:rsid w:val="5C871960"/>
    <w:rsid w:val="5CB73713"/>
    <w:rsid w:val="5CBE2543"/>
    <w:rsid w:val="5CC13ECF"/>
    <w:rsid w:val="5D0463D2"/>
    <w:rsid w:val="5D0E5901"/>
    <w:rsid w:val="5D417657"/>
    <w:rsid w:val="5D720CED"/>
    <w:rsid w:val="5D777C27"/>
    <w:rsid w:val="5DA27EEB"/>
    <w:rsid w:val="5DB43C38"/>
    <w:rsid w:val="5DB53F06"/>
    <w:rsid w:val="5DB8605A"/>
    <w:rsid w:val="5DFB2CE6"/>
    <w:rsid w:val="5E2A537C"/>
    <w:rsid w:val="5E4D1784"/>
    <w:rsid w:val="5E9129FF"/>
    <w:rsid w:val="5E916AC6"/>
    <w:rsid w:val="5EAA0B3D"/>
    <w:rsid w:val="5EB8561F"/>
    <w:rsid w:val="5ED05841"/>
    <w:rsid w:val="5ED32FCA"/>
    <w:rsid w:val="5EDB47BE"/>
    <w:rsid w:val="5EEE62D3"/>
    <w:rsid w:val="5F0B6E44"/>
    <w:rsid w:val="5F426E42"/>
    <w:rsid w:val="5F4F1DBC"/>
    <w:rsid w:val="5FA447DA"/>
    <w:rsid w:val="5FAD4C7C"/>
    <w:rsid w:val="5FCA2E7D"/>
    <w:rsid w:val="5FEE7A27"/>
    <w:rsid w:val="5FFE40C5"/>
    <w:rsid w:val="60422732"/>
    <w:rsid w:val="60755A9B"/>
    <w:rsid w:val="609B00D0"/>
    <w:rsid w:val="61065C21"/>
    <w:rsid w:val="615D3495"/>
    <w:rsid w:val="61606F07"/>
    <w:rsid w:val="61832F32"/>
    <w:rsid w:val="61BC1D0D"/>
    <w:rsid w:val="61BF22B1"/>
    <w:rsid w:val="61E03DC5"/>
    <w:rsid w:val="61E96DB8"/>
    <w:rsid w:val="62121232"/>
    <w:rsid w:val="623405FC"/>
    <w:rsid w:val="62D1322E"/>
    <w:rsid w:val="6331783B"/>
    <w:rsid w:val="63367FF0"/>
    <w:rsid w:val="635A5D45"/>
    <w:rsid w:val="63EF4F8A"/>
    <w:rsid w:val="63FA25AE"/>
    <w:rsid w:val="643248A8"/>
    <w:rsid w:val="64422EE1"/>
    <w:rsid w:val="644F0FB6"/>
    <w:rsid w:val="64601415"/>
    <w:rsid w:val="64660DE2"/>
    <w:rsid w:val="64670975"/>
    <w:rsid w:val="64995609"/>
    <w:rsid w:val="64A5151D"/>
    <w:rsid w:val="64AE3D29"/>
    <w:rsid w:val="64BA7ECF"/>
    <w:rsid w:val="64D05306"/>
    <w:rsid w:val="65181BD5"/>
    <w:rsid w:val="65804A46"/>
    <w:rsid w:val="65C47781"/>
    <w:rsid w:val="65E648F1"/>
    <w:rsid w:val="660051BA"/>
    <w:rsid w:val="661577FC"/>
    <w:rsid w:val="665054B9"/>
    <w:rsid w:val="66A36C22"/>
    <w:rsid w:val="66D40875"/>
    <w:rsid w:val="66D9725C"/>
    <w:rsid w:val="66DB4D83"/>
    <w:rsid w:val="66ED7B69"/>
    <w:rsid w:val="676C7569"/>
    <w:rsid w:val="67992784"/>
    <w:rsid w:val="67B24074"/>
    <w:rsid w:val="682A7219"/>
    <w:rsid w:val="68A5554E"/>
    <w:rsid w:val="68AC32D7"/>
    <w:rsid w:val="68B50CC9"/>
    <w:rsid w:val="68E402E6"/>
    <w:rsid w:val="68F260D2"/>
    <w:rsid w:val="690E39BB"/>
    <w:rsid w:val="69474951"/>
    <w:rsid w:val="695A4FEC"/>
    <w:rsid w:val="69FF3DA6"/>
    <w:rsid w:val="6A1A2066"/>
    <w:rsid w:val="6A5F216E"/>
    <w:rsid w:val="6AA36162"/>
    <w:rsid w:val="6AF40B09"/>
    <w:rsid w:val="6B13267C"/>
    <w:rsid w:val="6B160FA9"/>
    <w:rsid w:val="6B5B6CFE"/>
    <w:rsid w:val="6B945283"/>
    <w:rsid w:val="6B9C3DDF"/>
    <w:rsid w:val="6C4050F1"/>
    <w:rsid w:val="6C6E29DA"/>
    <w:rsid w:val="6C9E0DB3"/>
    <w:rsid w:val="6CB54907"/>
    <w:rsid w:val="6D082649"/>
    <w:rsid w:val="6DA7180D"/>
    <w:rsid w:val="6DC43DA1"/>
    <w:rsid w:val="6DD449ED"/>
    <w:rsid w:val="6DFC778C"/>
    <w:rsid w:val="6E1F620B"/>
    <w:rsid w:val="6E386F5E"/>
    <w:rsid w:val="6E781A51"/>
    <w:rsid w:val="6ED63281"/>
    <w:rsid w:val="6F2431DF"/>
    <w:rsid w:val="6F516A80"/>
    <w:rsid w:val="6F605F58"/>
    <w:rsid w:val="6F7A525E"/>
    <w:rsid w:val="6F8E6C1A"/>
    <w:rsid w:val="6FB71DDC"/>
    <w:rsid w:val="70412229"/>
    <w:rsid w:val="70A46938"/>
    <w:rsid w:val="711909E1"/>
    <w:rsid w:val="711C5DC8"/>
    <w:rsid w:val="71284FD1"/>
    <w:rsid w:val="71813699"/>
    <w:rsid w:val="71856886"/>
    <w:rsid w:val="718A7AD1"/>
    <w:rsid w:val="71940794"/>
    <w:rsid w:val="71E010FD"/>
    <w:rsid w:val="72037883"/>
    <w:rsid w:val="721C6DB2"/>
    <w:rsid w:val="725310CC"/>
    <w:rsid w:val="72541E8D"/>
    <w:rsid w:val="72563E57"/>
    <w:rsid w:val="72571E78"/>
    <w:rsid w:val="725F3E95"/>
    <w:rsid w:val="726A345E"/>
    <w:rsid w:val="72827E86"/>
    <w:rsid w:val="72867401"/>
    <w:rsid w:val="72885C0F"/>
    <w:rsid w:val="728F706D"/>
    <w:rsid w:val="72996FB8"/>
    <w:rsid w:val="72A5093A"/>
    <w:rsid w:val="72A51592"/>
    <w:rsid w:val="72BC2E84"/>
    <w:rsid w:val="72C708B1"/>
    <w:rsid w:val="72E13807"/>
    <w:rsid w:val="72F718BE"/>
    <w:rsid w:val="72FA6ED8"/>
    <w:rsid w:val="730B275B"/>
    <w:rsid w:val="732763F5"/>
    <w:rsid w:val="733F6699"/>
    <w:rsid w:val="739B64E9"/>
    <w:rsid w:val="73AD3F4B"/>
    <w:rsid w:val="73B3673E"/>
    <w:rsid w:val="73C82B32"/>
    <w:rsid w:val="74087741"/>
    <w:rsid w:val="741E1EA8"/>
    <w:rsid w:val="7443665D"/>
    <w:rsid w:val="744B676F"/>
    <w:rsid w:val="748A0524"/>
    <w:rsid w:val="748B051E"/>
    <w:rsid w:val="748D4C7B"/>
    <w:rsid w:val="74CD7E40"/>
    <w:rsid w:val="74DC3800"/>
    <w:rsid w:val="74F82FA3"/>
    <w:rsid w:val="756923C9"/>
    <w:rsid w:val="75C80BC8"/>
    <w:rsid w:val="75DE488F"/>
    <w:rsid w:val="75E31EA6"/>
    <w:rsid w:val="75E579CC"/>
    <w:rsid w:val="75F01C92"/>
    <w:rsid w:val="76281A9E"/>
    <w:rsid w:val="764C2CEE"/>
    <w:rsid w:val="76612994"/>
    <w:rsid w:val="768A068B"/>
    <w:rsid w:val="76A855A8"/>
    <w:rsid w:val="76D421E8"/>
    <w:rsid w:val="76FD6F97"/>
    <w:rsid w:val="77145783"/>
    <w:rsid w:val="774F13C6"/>
    <w:rsid w:val="77985E5E"/>
    <w:rsid w:val="77A77766"/>
    <w:rsid w:val="77BF424C"/>
    <w:rsid w:val="77C3470A"/>
    <w:rsid w:val="78620798"/>
    <w:rsid w:val="789467A1"/>
    <w:rsid w:val="78CC4E73"/>
    <w:rsid w:val="78CF789F"/>
    <w:rsid w:val="78E21FA1"/>
    <w:rsid w:val="790B487C"/>
    <w:rsid w:val="79254583"/>
    <w:rsid w:val="79624365"/>
    <w:rsid w:val="797A042B"/>
    <w:rsid w:val="797D5CF8"/>
    <w:rsid w:val="79D13BE6"/>
    <w:rsid w:val="7A097A01"/>
    <w:rsid w:val="7A2605B3"/>
    <w:rsid w:val="7A4E3666"/>
    <w:rsid w:val="7A5C53A7"/>
    <w:rsid w:val="7A897603"/>
    <w:rsid w:val="7AC05D23"/>
    <w:rsid w:val="7ACB0265"/>
    <w:rsid w:val="7ACF0C29"/>
    <w:rsid w:val="7B276391"/>
    <w:rsid w:val="7B4D2C6C"/>
    <w:rsid w:val="7B937ECA"/>
    <w:rsid w:val="7BA61FA1"/>
    <w:rsid w:val="7BB92E7D"/>
    <w:rsid w:val="7BBB62EC"/>
    <w:rsid w:val="7C433F8A"/>
    <w:rsid w:val="7C5331B5"/>
    <w:rsid w:val="7C63789C"/>
    <w:rsid w:val="7C7B758C"/>
    <w:rsid w:val="7D1D3EEF"/>
    <w:rsid w:val="7D1F0C5F"/>
    <w:rsid w:val="7D56683F"/>
    <w:rsid w:val="7D67516A"/>
    <w:rsid w:val="7DA36220"/>
    <w:rsid w:val="7DBF0DE0"/>
    <w:rsid w:val="7DDD542C"/>
    <w:rsid w:val="7DE66169"/>
    <w:rsid w:val="7DF5150A"/>
    <w:rsid w:val="7DF6029C"/>
    <w:rsid w:val="7E47731B"/>
    <w:rsid w:val="7E4F463C"/>
    <w:rsid w:val="7E526CD3"/>
    <w:rsid w:val="7E645B88"/>
    <w:rsid w:val="7E696CC0"/>
    <w:rsid w:val="7E76666C"/>
    <w:rsid w:val="7EEE3685"/>
    <w:rsid w:val="7F075501"/>
    <w:rsid w:val="7F3B4C8F"/>
    <w:rsid w:val="7F444EDD"/>
    <w:rsid w:val="7F527AE0"/>
    <w:rsid w:val="7F5923A2"/>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5"/>
    </w:pPr>
    <w:rPr>
      <w:rFonts w:ascii="Times New Roman" w:hAnsi="Times New Roman" w:eastAsia="宋体" w:cs="Times New Roman"/>
      <w:szCs w:val="20"/>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link w:val="74"/>
    <w:semiHidden/>
    <w:qFormat/>
    <w:uiPriority w:val="0"/>
    <w:pPr>
      <w:jc w:val="left"/>
    </w:pPr>
    <w:rPr>
      <w:rFonts w:ascii="Times New Roman" w:hAnsi="Times New Roman" w:eastAsia="宋体" w:cs="Times New Roman"/>
      <w:kern w:val="0"/>
      <w:sz w:val="20"/>
      <w:szCs w:val="24"/>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Body Text"/>
    <w:basedOn w:val="1"/>
    <w:next w:val="12"/>
    <w:link w:val="45"/>
    <w:unhideWhenUsed/>
    <w:qFormat/>
    <w:uiPriority w:val="1"/>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7"/>
    <w:qFormat/>
    <w:uiPriority w:val="0"/>
    <w:pPr>
      <w:adjustRightInd w:val="0"/>
      <w:spacing w:after="120" w:line="360" w:lineRule="atLeast"/>
      <w:ind w:left="420" w:leftChars="200"/>
      <w:jc w:val="left"/>
      <w:textAlignment w:val="baseline"/>
    </w:pPr>
    <w:rPr>
      <w:kern w:val="0"/>
      <w:sz w:val="24"/>
      <w:szCs w:val="20"/>
    </w:rPr>
  </w:style>
  <w:style w:type="paragraph" w:styleId="15">
    <w:name w:val="envelope return"/>
    <w:basedOn w:val="1"/>
    <w:unhideWhenUsed/>
    <w:qFormat/>
    <w:uiPriority w:val="99"/>
    <w:pPr>
      <w:snapToGrid w:val="0"/>
    </w:pPr>
    <w:rPr>
      <w:rFonts w:ascii="Arial" w:hAnsi="Arial"/>
    </w:rPr>
  </w:style>
  <w:style w:type="paragraph" w:styleId="16">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8"/>
    <w:qFormat/>
    <w:uiPriority w:val="99"/>
    <w:rPr>
      <w:rFonts w:eastAsia="宋体"/>
      <w:sz w:val="24"/>
    </w:rPr>
  </w:style>
  <w:style w:type="paragraph" w:styleId="20">
    <w:name w:val="Date"/>
    <w:basedOn w:val="1"/>
    <w:next w:val="1"/>
    <w:link w:val="49"/>
    <w:unhideWhenUsed/>
    <w:qFormat/>
    <w:uiPriority w:val="99"/>
    <w:pPr>
      <w:ind w:left="100" w:leftChars="2500"/>
    </w:pPr>
  </w:style>
  <w:style w:type="paragraph" w:styleId="21">
    <w:name w:val="Balloon Text"/>
    <w:basedOn w:val="1"/>
    <w:link w:val="51"/>
    <w:semiHidden/>
    <w:unhideWhenUsed/>
    <w:qFormat/>
    <w:uiPriority w:val="99"/>
    <w:rPr>
      <w:sz w:val="18"/>
      <w:szCs w:val="18"/>
    </w:rPr>
  </w:style>
  <w:style w:type="paragraph" w:styleId="22">
    <w:name w:val="footer"/>
    <w:basedOn w:val="1"/>
    <w:link w:val="52"/>
    <w:unhideWhenUsed/>
    <w:qFormat/>
    <w:uiPriority w:val="99"/>
    <w:pPr>
      <w:tabs>
        <w:tab w:val="center" w:pos="4153"/>
        <w:tab w:val="right" w:pos="8306"/>
      </w:tabs>
      <w:snapToGrid w:val="0"/>
      <w:jc w:val="left"/>
    </w:pPr>
    <w:rPr>
      <w:sz w:val="18"/>
      <w:szCs w:val="18"/>
    </w:rPr>
  </w:style>
  <w:style w:type="paragraph" w:styleId="23">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spacing w:after="120" w:line="480" w:lineRule="auto"/>
    </w:pPr>
  </w:style>
  <w:style w:type="paragraph" w:styleId="26">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11"/>
    <w:next w:val="29"/>
    <w:link w:val="56"/>
    <w:qFormat/>
    <w:uiPriority w:val="0"/>
    <w:pPr>
      <w:ind w:firstLine="420" w:firstLineChars="100"/>
    </w:pPr>
    <w:rPr>
      <w:rFonts w:ascii="宋体" w:hAnsi="Times New Roman" w:eastAsia="宋体" w:cs="Times New Roman"/>
      <w:kern w:val="0"/>
      <w:sz w:val="34"/>
      <w:szCs w:val="20"/>
    </w:rPr>
  </w:style>
  <w:style w:type="paragraph" w:styleId="29">
    <w:name w:val="Body Text First Indent 2"/>
    <w:basedOn w:val="14"/>
    <w:next w:val="1"/>
    <w:qFormat/>
    <w:uiPriority w:val="99"/>
    <w:pPr>
      <w:tabs>
        <w:tab w:val="left" w:pos="945"/>
        <w:tab w:val="left" w:pos="1155"/>
      </w:tabs>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000000"/>
      <w:u w:val="none"/>
    </w:rPr>
  </w:style>
  <w:style w:type="character" w:styleId="35">
    <w:name w:val="Emphasis"/>
    <w:basedOn w:val="32"/>
    <w:qFormat/>
    <w:uiPriority w:val="20"/>
    <w:rPr>
      <w:i/>
      <w:iCs/>
    </w:rPr>
  </w:style>
  <w:style w:type="character" w:styleId="36">
    <w:name w:val="Hyperlink"/>
    <w:basedOn w:val="32"/>
    <w:unhideWhenUsed/>
    <w:qFormat/>
    <w:uiPriority w:val="0"/>
    <w:rPr>
      <w:color w:val="000000"/>
      <w:u w:val="none"/>
    </w:rPr>
  </w:style>
  <w:style w:type="character" w:styleId="37">
    <w:name w:val="annotation reference"/>
    <w:qFormat/>
    <w:uiPriority w:val="0"/>
    <w:rPr>
      <w:sz w:val="21"/>
      <w:szCs w:val="21"/>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character" w:customStyle="1" w:styleId="40">
    <w:name w:val="标题 1 Char"/>
    <w:basedOn w:val="32"/>
    <w:link w:val="2"/>
    <w:qFormat/>
    <w:uiPriority w:val="0"/>
    <w:rPr>
      <w:rFonts w:ascii="Calibri" w:hAnsi="Calibri" w:eastAsia="宋体" w:cs="Times New Roman"/>
      <w:b/>
      <w:bCs/>
      <w:kern w:val="44"/>
      <w:sz w:val="44"/>
      <w:szCs w:val="44"/>
    </w:rPr>
  </w:style>
  <w:style w:type="character" w:customStyle="1" w:styleId="41">
    <w:name w:val="标题 2 Char"/>
    <w:basedOn w:val="32"/>
    <w:link w:val="3"/>
    <w:qFormat/>
    <w:uiPriority w:val="0"/>
    <w:rPr>
      <w:rFonts w:ascii="Arial" w:hAnsi="Arial" w:eastAsia="黑体" w:cs="Times New Roman"/>
      <w:b/>
      <w:bCs/>
      <w:kern w:val="0"/>
      <w:sz w:val="32"/>
      <w:szCs w:val="32"/>
    </w:rPr>
  </w:style>
  <w:style w:type="character" w:customStyle="1" w:styleId="42">
    <w:name w:val="标题 3 Char"/>
    <w:basedOn w:val="32"/>
    <w:link w:val="4"/>
    <w:qFormat/>
    <w:uiPriority w:val="0"/>
    <w:rPr>
      <w:rFonts w:ascii="宋体" w:hAnsi="宋体" w:eastAsia="宋体" w:cs="Times New Roman"/>
      <w:b/>
      <w:color w:val="000000"/>
      <w:kern w:val="0"/>
      <w:sz w:val="24"/>
      <w:szCs w:val="20"/>
      <w:lang w:val="en-GB"/>
    </w:rPr>
  </w:style>
  <w:style w:type="character" w:customStyle="1" w:styleId="43">
    <w:name w:val="标题 4 Char"/>
    <w:basedOn w:val="32"/>
    <w:link w:val="5"/>
    <w:qFormat/>
    <w:uiPriority w:val="0"/>
    <w:rPr>
      <w:rFonts w:ascii="Arial" w:hAnsi="Arial" w:eastAsia="黑体" w:cs="Times New Roman"/>
      <w:b/>
      <w:bCs/>
      <w:kern w:val="0"/>
      <w:sz w:val="28"/>
      <w:szCs w:val="28"/>
    </w:rPr>
  </w:style>
  <w:style w:type="character" w:customStyle="1" w:styleId="44">
    <w:name w:val="正文文本 3 Char"/>
    <w:basedOn w:val="32"/>
    <w:link w:val="10"/>
    <w:qFormat/>
    <w:uiPriority w:val="0"/>
    <w:rPr>
      <w:rFonts w:ascii="Times New Roman" w:hAnsi="Times New Roman" w:eastAsia="宋体" w:cs="Times New Roman"/>
      <w:color w:val="FF0000"/>
      <w:sz w:val="24"/>
      <w:szCs w:val="24"/>
    </w:rPr>
  </w:style>
  <w:style w:type="character" w:customStyle="1" w:styleId="45">
    <w:name w:val="正文文本 Char"/>
    <w:basedOn w:val="32"/>
    <w:link w:val="11"/>
    <w:qFormat/>
    <w:uiPriority w:val="99"/>
  </w:style>
  <w:style w:type="character" w:customStyle="1" w:styleId="46">
    <w:name w:val="正文文本缩进 Char"/>
    <w:basedOn w:val="32"/>
    <w:qFormat/>
    <w:uiPriority w:val="0"/>
  </w:style>
  <w:style w:type="character" w:customStyle="1" w:styleId="47">
    <w:name w:val="正文文本缩进 Char1"/>
    <w:basedOn w:val="32"/>
    <w:link w:val="14"/>
    <w:qFormat/>
    <w:uiPriority w:val="0"/>
    <w:rPr>
      <w:kern w:val="0"/>
      <w:sz w:val="24"/>
      <w:szCs w:val="20"/>
    </w:rPr>
  </w:style>
  <w:style w:type="character" w:customStyle="1" w:styleId="48">
    <w:name w:val="纯文本 Char"/>
    <w:basedOn w:val="32"/>
    <w:link w:val="19"/>
    <w:qFormat/>
    <w:uiPriority w:val="99"/>
    <w:rPr>
      <w:rFonts w:eastAsia="宋体"/>
      <w:sz w:val="24"/>
    </w:rPr>
  </w:style>
  <w:style w:type="character" w:customStyle="1" w:styleId="49">
    <w:name w:val="日期 Char"/>
    <w:basedOn w:val="32"/>
    <w:link w:val="20"/>
    <w:qFormat/>
    <w:uiPriority w:val="99"/>
  </w:style>
  <w:style w:type="character" w:customStyle="1" w:styleId="50">
    <w:name w:val="批注框文本 Char"/>
    <w:basedOn w:val="32"/>
    <w:semiHidden/>
    <w:qFormat/>
    <w:uiPriority w:val="99"/>
    <w:rPr>
      <w:sz w:val="18"/>
      <w:szCs w:val="18"/>
    </w:rPr>
  </w:style>
  <w:style w:type="character" w:customStyle="1" w:styleId="51">
    <w:name w:val="批注框文本 Char1"/>
    <w:basedOn w:val="32"/>
    <w:link w:val="21"/>
    <w:semiHidden/>
    <w:qFormat/>
    <w:uiPriority w:val="99"/>
    <w:rPr>
      <w:sz w:val="18"/>
      <w:szCs w:val="18"/>
    </w:rPr>
  </w:style>
  <w:style w:type="character" w:customStyle="1" w:styleId="52">
    <w:name w:val="页脚 Char"/>
    <w:basedOn w:val="32"/>
    <w:link w:val="22"/>
    <w:qFormat/>
    <w:uiPriority w:val="99"/>
    <w:rPr>
      <w:sz w:val="18"/>
      <w:szCs w:val="18"/>
    </w:rPr>
  </w:style>
  <w:style w:type="character" w:customStyle="1" w:styleId="53">
    <w:name w:val="页眉 Char"/>
    <w:basedOn w:val="32"/>
    <w:link w:val="23"/>
    <w:qFormat/>
    <w:uiPriority w:val="99"/>
    <w:rPr>
      <w:sz w:val="18"/>
      <w:szCs w:val="18"/>
    </w:rPr>
  </w:style>
  <w:style w:type="character" w:customStyle="1" w:styleId="54">
    <w:name w:val="HTML 预设格式 Char"/>
    <w:basedOn w:val="32"/>
    <w:semiHidden/>
    <w:qFormat/>
    <w:uiPriority w:val="99"/>
    <w:rPr>
      <w:rFonts w:ascii="宋体" w:hAnsi="宋体" w:eastAsia="宋体" w:cs="宋体"/>
      <w:kern w:val="0"/>
      <w:sz w:val="24"/>
      <w:szCs w:val="24"/>
    </w:rPr>
  </w:style>
  <w:style w:type="character" w:customStyle="1" w:styleId="55">
    <w:name w:val="HTML 预设格式 Char1"/>
    <w:basedOn w:val="32"/>
    <w:link w:val="26"/>
    <w:semiHidden/>
    <w:qFormat/>
    <w:uiPriority w:val="99"/>
    <w:rPr>
      <w:rFonts w:ascii="Courier New" w:hAnsi="Courier New" w:cs="Courier New"/>
      <w:sz w:val="20"/>
      <w:szCs w:val="20"/>
    </w:rPr>
  </w:style>
  <w:style w:type="character" w:customStyle="1" w:styleId="56">
    <w:name w:val="正文首行缩进 Char"/>
    <w:basedOn w:val="45"/>
    <w:link w:val="28"/>
    <w:qFormat/>
    <w:uiPriority w:val="0"/>
    <w:rPr>
      <w:rFonts w:ascii="宋体" w:hAnsi="Times New Roman" w:eastAsia="宋体" w:cs="Times New Roman"/>
      <w:kern w:val="0"/>
      <w:sz w:val="34"/>
      <w:szCs w:val="20"/>
    </w:rPr>
  </w:style>
  <w:style w:type="character" w:customStyle="1" w:styleId="57">
    <w:name w:val="纯文本 Char1"/>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2"/>
    <w:qFormat/>
    <w:uiPriority w:val="0"/>
  </w:style>
  <w:style w:type="paragraph" w:customStyle="1" w:styleId="6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qFormat/>
    <w:uiPriority w:val="1"/>
    <w:pPr>
      <w:ind w:firstLine="420"/>
    </w:pPr>
  </w:style>
  <w:style w:type="character" w:customStyle="1" w:styleId="74">
    <w:name w:val="批注文字 Char"/>
    <w:link w:val="9"/>
    <w:semiHidden/>
    <w:qFormat/>
    <w:uiPriority w:val="0"/>
    <w:rPr>
      <w:szCs w:val="24"/>
    </w:rPr>
  </w:style>
  <w:style w:type="character" w:customStyle="1" w:styleId="75">
    <w:name w:val="批注文字 字符"/>
    <w:basedOn w:val="32"/>
    <w:semiHidden/>
    <w:qFormat/>
    <w:uiPriority w:val="99"/>
    <w:rPr>
      <w:rFonts w:asciiTheme="minorHAnsi" w:hAnsiTheme="minorHAnsi" w:eastAsiaTheme="minorEastAsia" w:cstheme="minorBidi"/>
      <w:kern w:val="2"/>
      <w:sz w:val="21"/>
      <w:szCs w:val="22"/>
    </w:rPr>
  </w:style>
  <w:style w:type="paragraph" w:customStyle="1" w:styleId="76">
    <w:name w:val="无间隔1"/>
    <w:basedOn w:val="1"/>
    <w:qFormat/>
    <w:uiPriority w:val="0"/>
    <w:pPr>
      <w:spacing w:line="400" w:lineRule="exact"/>
    </w:pPr>
    <w:rPr>
      <w:sz w:val="24"/>
    </w:rPr>
  </w:style>
  <w:style w:type="character" w:customStyle="1" w:styleId="77">
    <w:name w:val="right"/>
    <w:basedOn w:val="32"/>
    <w:qFormat/>
    <w:uiPriority w:val="0"/>
    <w:rPr>
      <w:color w:val="999999"/>
      <w:sz w:val="18"/>
      <w:szCs w:val="18"/>
    </w:rPr>
  </w:style>
  <w:style w:type="character" w:customStyle="1" w:styleId="78">
    <w:name w:val="green"/>
    <w:basedOn w:val="32"/>
    <w:qFormat/>
    <w:uiPriority w:val="0"/>
    <w:rPr>
      <w:color w:val="66AE00"/>
      <w:sz w:val="18"/>
      <w:szCs w:val="18"/>
    </w:rPr>
  </w:style>
  <w:style w:type="character" w:customStyle="1" w:styleId="79">
    <w:name w:val="red"/>
    <w:basedOn w:val="32"/>
    <w:qFormat/>
    <w:uiPriority w:val="0"/>
    <w:rPr>
      <w:color w:val="FF0000"/>
      <w:sz w:val="18"/>
      <w:szCs w:val="18"/>
    </w:rPr>
  </w:style>
  <w:style w:type="character" w:customStyle="1" w:styleId="80">
    <w:name w:val="red1"/>
    <w:basedOn w:val="32"/>
    <w:qFormat/>
    <w:uiPriority w:val="0"/>
    <w:rPr>
      <w:color w:val="66AE00"/>
      <w:sz w:val="18"/>
      <w:szCs w:val="18"/>
    </w:rPr>
  </w:style>
  <w:style w:type="character" w:customStyle="1" w:styleId="81">
    <w:name w:val="red2"/>
    <w:basedOn w:val="32"/>
    <w:qFormat/>
    <w:uiPriority w:val="0"/>
    <w:rPr>
      <w:color w:val="CC0000"/>
    </w:rPr>
  </w:style>
  <w:style w:type="character" w:customStyle="1" w:styleId="82">
    <w:name w:val="red3"/>
    <w:basedOn w:val="32"/>
    <w:qFormat/>
    <w:uiPriority w:val="0"/>
    <w:rPr>
      <w:color w:val="FF0000"/>
    </w:rPr>
  </w:style>
  <w:style w:type="character" w:customStyle="1" w:styleId="83">
    <w:name w:val="hover25"/>
    <w:basedOn w:val="32"/>
    <w:qFormat/>
    <w:uiPriority w:val="0"/>
  </w:style>
  <w:style w:type="character" w:customStyle="1" w:styleId="84">
    <w:name w:val="active4"/>
    <w:basedOn w:val="32"/>
    <w:qFormat/>
    <w:uiPriority w:val="0"/>
    <w:rPr>
      <w:color w:val="FFFFFF"/>
      <w:shd w:val="clear" w:color="auto" w:fill="2B7AFC"/>
    </w:rPr>
  </w:style>
  <w:style w:type="character" w:customStyle="1" w:styleId="85">
    <w:name w:val="blue"/>
    <w:basedOn w:val="32"/>
    <w:qFormat/>
    <w:uiPriority w:val="0"/>
    <w:rPr>
      <w:color w:val="0371C6"/>
      <w:sz w:val="21"/>
      <w:szCs w:val="21"/>
    </w:rPr>
  </w:style>
  <w:style w:type="character" w:customStyle="1" w:styleId="86">
    <w:name w:val="gb-jt"/>
    <w:basedOn w:val="32"/>
    <w:qFormat/>
    <w:uiPriority w:val="0"/>
  </w:style>
  <w:style w:type="character" w:customStyle="1" w:styleId="87">
    <w:name w:val="green1"/>
    <w:basedOn w:val="32"/>
    <w:qFormat/>
    <w:uiPriority w:val="0"/>
    <w:rPr>
      <w:color w:val="66AE00"/>
      <w:sz w:val="18"/>
      <w:szCs w:val="18"/>
    </w:rPr>
  </w:style>
  <w:style w:type="paragraph" w:customStyle="1" w:styleId="88">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9">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0">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0" textRotate="1"/>
    <customShpInfo spid="_x0000_s3081" textRotate="1"/>
    <customShpInfo spid="_x0000_s3082" textRotate="1"/>
    <customShpInfo spid="_x0000_s3077"/>
    <customShpInfo spid="_x0000_s3083" textRotate="1"/>
    <customShpInfo spid="_x0000_s3079"/>
    <customShpInfo spid="_x0000_s308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61</Pages>
  <Words>38294</Words>
  <Characters>40349</Characters>
  <Lines>297</Lines>
  <Paragraphs>83</Paragraphs>
  <TotalTime>18</TotalTime>
  <ScaleCrop>false</ScaleCrop>
  <LinksUpToDate>false</LinksUpToDate>
  <CharactersWithSpaces>41378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WPS_1591240706</cp:lastModifiedBy>
  <cp:lastPrinted>2022-08-01T07:03:00Z</cp:lastPrinted>
  <dcterms:modified xsi:type="dcterms:W3CDTF">2024-08-05T12:02:58Z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154CEA885CCA416795107758FAC2E672</vt:lpwstr>
  </property>
</Properties>
</file>